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Atención a las recomendaciones de Secretaría Académica</w:t>
      </w:r>
    </w:p>
    <w:p>
      <w:pPr>
        <w:spacing w:before="0" w:after="240" w:line="240" w:lineRule="auto"/>
        <w:jc w:val="center"/>
      </w:pPr>
      <w:r>
        <w:rPr>
          <w:rFonts w:ascii="Century Gothic" w:hAnsi="Century Gothic" w:cs="Century Gothic" w:eastAsia="Century Gothic"/>
          <w:b w:val="0"/>
          <w:i/>
          <w:sz w:val="20"/>
        </w:rPr>
        <w:t>Propuestas para revisión y decisión de la Comisión Académica</w:t>
      </w:r>
    </w:p>
    <w:p>
      <w:pPr>
        <w:spacing w:before="0" w:after="120" w:line="240" w:lineRule="auto"/>
        <w:jc w:val="both"/>
      </w:pPr>
      <w:r>
        <w:rPr>
          <w:rFonts w:ascii="Century Gothic" w:hAnsi="Century Gothic" w:cs="Century Gothic" w:eastAsia="Century Gothic"/>
          <w:b w:val="0"/>
          <w:i w:val="0"/>
          <w:sz w:val="20"/>
        </w:rPr>
        <w:t>Recomendaciones de la Nota STRIA.ACAD. N.º 1793/2026 de Secretaría Académica que condicionan la implementación administrativa del Rediseño Curricular. Ninguna se da por cumplida: cada fila resume lo que se propone, a qué punto del documento iría y la decisión que debe tomar la Comisión Académica.</w:t>
      </w:r>
    </w:p>
    <w:p>
      <w:pPr>
        <w:keepNext/>
        <w:spacing w:before="40" w:after="80" w:line="240" w:lineRule="auto"/>
        <w:jc w:val="center"/>
      </w:pPr>
      <w:r>
        <w:rPr>
          <w:rFonts w:ascii="Century Gothic" w:hAnsi="Century Gothic" w:cs="Century Gothic" w:eastAsia="Century Gothic"/>
          <w:b/>
          <w:i w:val="0"/>
          <w:sz w:val="20"/>
        </w:rPr>
        <w:t>Lista de control de las recomendaciones</w:t>
      </w:r>
    </w:p>
    <w:tbl>
      <w:tblPr>
        <w:tblW w:type="auto" w:w="0"/>
        <w:jc w:val="center"/>
        <w:tblLayout w:type="fixed"/>
        <w:tblLook w:firstColumn="1" w:firstRow="1" w:lastColumn="0" w:lastRow="0" w:noHBand="0" w:noVBand="1" w:val="04A0"/>
      </w:tblPr>
      <w:tblGrid>
        <w:gridCol w:w="454"/>
        <w:gridCol w:w="2041"/>
        <w:gridCol w:w="2041"/>
        <w:gridCol w:w="2948"/>
        <w:gridCol w:w="1701"/>
      </w:tblGrid>
      <w:tr>
        <w:trPr>
          <w:tblHeader/>
        </w:trPr>
        <w:tc>
          <w:tcPr>
            <w:tcW w:type="dxa" w:w="4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N.º</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Recomendación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Situación de la propuesta</w:t>
            </w:r>
          </w:p>
        </w:tc>
        <w:tc>
          <w:tcPr>
            <w:tcW w:type="dxa" w:w="294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Contenido sugerido y puntos de destino</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Decisión de la Comisión</w:t>
            </w:r>
          </w:p>
        </w:tc>
      </w:tr>
      <w:tr>
        <w:tc>
          <w:tcPr>
            <w:tcW w:type="dxa" w:w="4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Completar la documentación metodológica del estudio de mercado laboral y las proyecciones de demanda.</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Propuesta elaborada. Incorporada en forma provisional y resaltada en amarillo en el documento consolidado, pendiente de aprobación.</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Metodología del estudio y fichas técnicas → 3.3.5</w:t>
            </w:r>
          </w:p>
          <w:p>
            <w:pPr>
              <w:spacing w:before="0" w:after="0" w:line="240" w:lineRule="auto"/>
              <w:jc w:val="both"/>
            </w:pPr>
            <w:r>
              <w:rPr>
                <w:rFonts w:ascii="Century Gothic" w:hAnsi="Century Gothic" w:cs="Century Gothic" w:eastAsia="Century Gothic"/>
                <w:b w:val="0"/>
                <w:i w:val="0"/>
                <w:sz w:val="16"/>
              </w:rPr>
              <w:t>Proyecciones de demanda → 3.3.6</w:t>
            </w:r>
          </w:p>
          <w:p>
            <w:pPr>
              <w:spacing w:before="0" w:after="0" w:line="240" w:lineRule="auto"/>
              <w:jc w:val="both"/>
            </w:pPr>
            <w:r>
              <w:rPr>
                <w:rFonts w:ascii="Century Gothic" w:hAnsi="Century Gothic" w:cs="Century Gothic" w:eastAsia="Century Gothic"/>
                <w:b w:val="0"/>
                <w:i w:val="0"/>
                <w:sz w:val="16"/>
              </w:rPr>
              <w:t>Cuatro gráficos → 3.3.4, 3.3.5 y 3.3.6</w:t>
            </w:r>
          </w:p>
          <w:p>
            <w:pPr>
              <w:spacing w:before="0" w:after="0" w:line="240" w:lineRule="auto"/>
              <w:jc w:val="both"/>
            </w:pPr>
            <w:r>
              <w:rPr>
                <w:rFonts w:ascii="Century Gothic" w:hAnsi="Century Gothic" w:cs="Century Gothic" w:eastAsia="Century Gothic"/>
                <w:b w:val="0"/>
                <w:i w:val="0"/>
                <w:sz w:val="16"/>
              </w:rPr>
              <w:t>Ajustes → 3.1.3, 3.2.1, 3.3.2, 9.1.2, 11.1.1, 12.1.5 y 12.2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 Adjuntar</w:t>
            </w:r>
          </w:p>
          <w:p>
            <w:pPr>
              <w:spacing w:before="0" w:after="0" w:line="240" w:lineRule="auto"/>
              <w:jc w:val="both"/>
            </w:pPr>
            <w:r>
              <w:rPr>
                <w:rFonts w:ascii="Century Gothic" w:hAnsi="Century Gothic" w:cs="Century Gothic" w:eastAsia="Century Gothic"/>
                <w:b w:val="0"/>
                <w:i w:val="0"/>
                <w:sz w:val="16"/>
              </w:rPr>
              <w:t>☐ Corregir en el documento</w:t>
            </w:r>
          </w:p>
          <w:p>
            <w:pPr>
              <w:spacing w:before="0" w:after="0" w:line="240" w:lineRule="auto"/>
              <w:jc w:val="both"/>
            </w:pPr>
            <w:r>
              <w:rPr>
                <w:rFonts w:ascii="Century Gothic" w:hAnsi="Century Gothic" w:cs="Century Gothic" w:eastAsia="Century Gothic"/>
                <w:b w:val="0"/>
                <w:i w:val="0"/>
                <w:sz w:val="16"/>
              </w:rPr>
              <w:t>☐ No incorporar</w:t>
            </w:r>
          </w:p>
        </w:tc>
      </w:tr>
      <w:tr>
        <w:tc>
          <w:tcPr>
            <w:tcW w:type="dxa" w:w="4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Verificar la disponibilidad de recursos académicos, tecnológicos y convenios para las prácticas preprofesionales.</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Propuesta elaborada con los datos del documento. Falta el inventario de convenios vigentes, que no está disponible.</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Disponibilidad de recursos y convenios → 4.8.4 (nuevo)</w:t>
            </w:r>
          </w:p>
          <w:p>
            <w:pPr>
              <w:spacing w:before="0" w:after="0" w:line="240" w:lineRule="auto"/>
              <w:jc w:val="both"/>
            </w:pPr>
            <w:r>
              <w:rPr>
                <w:rFonts w:ascii="Century Gothic" w:hAnsi="Century Gothic" w:cs="Century Gothic" w:eastAsia="Century Gothic"/>
                <w:b w:val="0"/>
                <w:i w:val="0"/>
                <w:sz w:val="16"/>
              </w:rPr>
              <w:t>Ajustes → 4.8.3, 10.4, 11.2.3, 11.3.4, 12.1.2, 13.1.2 y 16.2</w:t>
            </w:r>
          </w:p>
          <w:p>
            <w:pPr>
              <w:spacing w:before="0" w:after="0" w:line="240" w:lineRule="auto"/>
              <w:jc w:val="both"/>
            </w:pPr>
            <w:r>
              <w:rPr>
                <w:rFonts w:ascii="Century Gothic" w:hAnsi="Century Gothic" w:cs="Century Gothic" w:eastAsia="Century Gothic"/>
                <w:b w:val="0"/>
                <w:i w:val="0"/>
                <w:sz w:val="16"/>
              </w:rPr>
              <w:t>Formularios de evidencia → anexo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 Adjuntar</w:t>
            </w:r>
          </w:p>
          <w:p>
            <w:pPr>
              <w:spacing w:before="0" w:after="0" w:line="240" w:lineRule="auto"/>
              <w:jc w:val="both"/>
            </w:pPr>
            <w:r>
              <w:rPr>
                <w:rFonts w:ascii="Century Gothic" w:hAnsi="Century Gothic" w:cs="Century Gothic" w:eastAsia="Century Gothic"/>
                <w:b w:val="0"/>
                <w:i w:val="0"/>
                <w:sz w:val="16"/>
              </w:rPr>
              <w:t>☐ Corregir en el documento</w:t>
            </w:r>
          </w:p>
          <w:p>
            <w:pPr>
              <w:spacing w:before="0" w:after="0" w:line="240" w:lineRule="auto"/>
              <w:jc w:val="both"/>
            </w:pPr>
            <w:r>
              <w:rPr>
                <w:rFonts w:ascii="Century Gothic" w:hAnsi="Century Gothic" w:cs="Century Gothic" w:eastAsia="Century Gothic"/>
                <w:b w:val="0"/>
                <w:i w:val="0"/>
                <w:sz w:val="16"/>
              </w:rPr>
              <w:t>☐ No incorporar</w:t>
            </w:r>
          </w:p>
        </w:tc>
      </w:tr>
      <w:tr>
        <w:tc>
          <w:tcPr>
            <w:tcW w:type="dxa" w:w="4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Revisar y uniformar los sistemas de evaluación de las 43 asignaturas.</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Diagnóstico de los 43 planes elaborado. La homogeneización de elementos de competencia queda como sugerencia, porque los planes se trabajaron con los docentes de cada asignatura.</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Sistema de evaluación común → 4.7.4</w:t>
            </w:r>
          </w:p>
          <w:p>
            <w:pPr>
              <w:spacing w:before="0" w:after="0" w:line="240" w:lineRule="auto"/>
              <w:jc w:val="both"/>
            </w:pPr>
            <w:r>
              <w:rPr>
                <w:rFonts w:ascii="Century Gothic" w:hAnsi="Century Gothic" w:cs="Century Gothic" w:eastAsia="Century Gothic"/>
                <w:b w:val="0"/>
                <w:i w:val="0"/>
                <w:sz w:val="16"/>
              </w:rPr>
              <w:t>Cuadro de verificación de los 43 planes → 4.7.4 o anexo</w:t>
            </w:r>
          </w:p>
          <w:p>
            <w:pPr>
              <w:spacing w:before="0" w:after="0" w:line="240" w:lineRule="auto"/>
              <w:jc w:val="both"/>
            </w:pPr>
            <w:r>
              <w:rPr>
                <w:rFonts w:ascii="Century Gothic" w:hAnsi="Century Gothic" w:cs="Century Gothic" w:eastAsia="Century Gothic"/>
                <w:b w:val="0"/>
                <w:i w:val="0"/>
                <w:sz w:val="16"/>
              </w:rPr>
              <w:t>Ajustes puntuales → planes CPA-504 y CPA-508 (4.5)</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 Adjuntar</w:t>
            </w:r>
          </w:p>
          <w:p>
            <w:pPr>
              <w:spacing w:before="0" w:after="0" w:line="240" w:lineRule="auto"/>
              <w:jc w:val="both"/>
            </w:pPr>
            <w:r>
              <w:rPr>
                <w:rFonts w:ascii="Century Gothic" w:hAnsi="Century Gothic" w:cs="Century Gothic" w:eastAsia="Century Gothic"/>
                <w:b w:val="0"/>
                <w:i w:val="0"/>
                <w:sz w:val="16"/>
              </w:rPr>
              <w:t>☐ Corregir en el documento</w:t>
            </w:r>
          </w:p>
          <w:p>
            <w:pPr>
              <w:spacing w:before="0" w:after="0" w:line="240" w:lineRule="auto"/>
              <w:jc w:val="both"/>
            </w:pPr>
            <w:r>
              <w:rPr>
                <w:rFonts w:ascii="Century Gothic" w:hAnsi="Century Gothic" w:cs="Century Gothic" w:eastAsia="Century Gothic"/>
                <w:b w:val="0"/>
                <w:i w:val="0"/>
                <w:sz w:val="16"/>
              </w:rPr>
              <w:t>☐ No incorporar</w:t>
            </w:r>
          </w:p>
        </w:tc>
      </w:tr>
      <w:tr>
        <w:tc>
          <w:tcPr>
            <w:tcW w:type="dxa" w:w="4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Precisar la clasificación de las asignaturas y la consistencia de las unidades horarias.</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Verificación elaborada. La forma de expresar las unidades horarias requiere decisión de la Comisión.</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Clasificación consolidada de las 43 asignaturas → 4.4.1</w:t>
            </w:r>
          </w:p>
          <w:p>
            <w:pPr>
              <w:spacing w:before="0" w:after="0" w:line="240" w:lineRule="auto"/>
              <w:jc w:val="both"/>
            </w:pPr>
            <w:r>
              <w:rPr>
                <w:rFonts w:ascii="Century Gothic" w:hAnsi="Century Gothic" w:cs="Century Gothic" w:eastAsia="Century Gothic"/>
                <w:b w:val="0"/>
                <w:i w:val="0"/>
                <w:sz w:val="16"/>
              </w:rPr>
              <w:t>Criterio de unidades horarias y créditos → 4.4.4, 8.2, 8.3 y 8.5</w:t>
            </w:r>
          </w:p>
          <w:p>
            <w:pPr>
              <w:spacing w:before="0" w:after="0" w:line="240" w:lineRule="auto"/>
              <w:jc w:val="both"/>
            </w:pPr>
            <w:r>
              <w:rPr>
                <w:rFonts w:ascii="Century Gothic" w:hAnsi="Century Gothic" w:cs="Century Gothic" w:eastAsia="Century Gothic"/>
                <w:b w:val="0"/>
                <w:i w:val="0"/>
                <w:sz w:val="16"/>
              </w:rPr>
              <w:t>Unificación del nombre del área → 4.4.1, 4.5 y 13.1.3</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 Adjuntar</w:t>
            </w:r>
          </w:p>
          <w:p>
            <w:pPr>
              <w:spacing w:before="0" w:after="0" w:line="240" w:lineRule="auto"/>
              <w:jc w:val="both"/>
            </w:pPr>
            <w:r>
              <w:rPr>
                <w:rFonts w:ascii="Century Gothic" w:hAnsi="Century Gothic" w:cs="Century Gothic" w:eastAsia="Century Gothic"/>
                <w:b w:val="0"/>
                <w:i w:val="0"/>
                <w:sz w:val="16"/>
              </w:rPr>
              <w:t>☐ Corregir en el documento</w:t>
            </w:r>
          </w:p>
          <w:p>
            <w:pPr>
              <w:spacing w:before="0" w:after="0" w:line="240" w:lineRule="auto"/>
              <w:jc w:val="both"/>
            </w:pPr>
            <w:r>
              <w:rPr>
                <w:rFonts w:ascii="Century Gothic" w:hAnsi="Century Gothic" w:cs="Century Gothic" w:eastAsia="Century Gothic"/>
                <w:b w:val="0"/>
                <w:i w:val="0"/>
                <w:sz w:val="16"/>
              </w:rPr>
              <w:t>☐ No incorporar</w:t>
            </w:r>
          </w:p>
        </w:tc>
      </w:tr>
      <w:tr>
        <w:tc>
          <w:tcPr>
            <w:tcW w:type="dxa" w:w="4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Fortalecer la incorporación verificable de las dimensiones transversales que correspondan al perfil profesional.</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Matriz de verificación elaborada. La forma de registrar los ejes en cada plan queda como sugerencia. Nota sobre interacción social.</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Matriz de ejes transversales por asignatura → 4.4.1 o anexo</w:t>
            </w:r>
          </w:p>
          <w:p>
            <w:pPr>
              <w:spacing w:before="0" w:after="0" w:line="240" w:lineRule="auto"/>
              <w:jc w:val="both"/>
            </w:pPr>
            <w:r>
              <w:rPr>
                <w:rFonts w:ascii="Century Gothic" w:hAnsi="Century Gothic" w:cs="Century Gothic" w:eastAsia="Century Gothic"/>
                <w:b w:val="0"/>
                <w:i w:val="0"/>
                <w:sz w:val="16"/>
              </w:rPr>
              <w:t>Indicadores de seguimiento → 12.1</w:t>
            </w:r>
          </w:p>
          <w:p>
            <w:pPr>
              <w:spacing w:before="0" w:after="0" w:line="240" w:lineRule="auto"/>
              <w:jc w:val="both"/>
            </w:pPr>
            <w:r>
              <w:rPr>
                <w:rFonts w:ascii="Century Gothic" w:hAnsi="Century Gothic" w:cs="Century Gothic" w:eastAsia="Century Gothic"/>
                <w:b w:val="0"/>
                <w:i w:val="0"/>
                <w:sz w:val="16"/>
              </w:rPr>
              <w:t>Redacción del eje de interacción social → 4.4.1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 Adjuntar</w:t>
            </w:r>
          </w:p>
          <w:p>
            <w:pPr>
              <w:spacing w:before="0" w:after="0" w:line="240" w:lineRule="auto"/>
              <w:jc w:val="both"/>
            </w:pPr>
            <w:r>
              <w:rPr>
                <w:rFonts w:ascii="Century Gothic" w:hAnsi="Century Gothic" w:cs="Century Gothic" w:eastAsia="Century Gothic"/>
                <w:b w:val="0"/>
                <w:i w:val="0"/>
                <w:sz w:val="16"/>
              </w:rPr>
              <w:t>☐ Corregir en el documento</w:t>
            </w:r>
          </w:p>
          <w:p>
            <w:pPr>
              <w:spacing w:before="0" w:after="0" w:line="240" w:lineRule="auto"/>
              <w:jc w:val="both"/>
            </w:pPr>
            <w:r>
              <w:rPr>
                <w:rFonts w:ascii="Century Gothic" w:hAnsi="Century Gothic" w:cs="Century Gothic" w:eastAsia="Century Gothic"/>
                <w:b w:val="0"/>
                <w:i w:val="0"/>
                <w:sz w:val="16"/>
              </w:rPr>
              <w:t>☐ No incorporar</w:t>
            </w:r>
          </w:p>
        </w:tc>
      </w:tr>
    </w:tbl>
    <w:p>
      <w:pPr>
        <w:spacing w:before="40" w:after="200" w:line="240" w:lineRule="auto"/>
        <w:jc w:val="left"/>
      </w:pPr>
      <w:r>
        <w:rPr>
          <w:rFonts w:ascii="Century Gothic" w:hAnsi="Century Gothic" w:cs="Century Gothic" w:eastAsia="Century Gothic"/>
          <w:b w:val="0"/>
          <w:i w:val="0"/>
          <w:sz w:val="16"/>
        </w:rPr>
        <w:t>Además, Secretaría Académica recomienda aprobar el rediseño «a nivel licenciatura»; los grados intermedios (puntos 1.6, 1.9, 1.11, 5.4.1 y 5.4.3) requieren una consulta expresa a Secretaría Académica.</w:t>
      </w:r>
    </w:p>
    <w:p>
      <w:r>
        <w:br w:type="page"/>
      </w:r>
    </w:p>
    <w:p>
      <w:pPr>
        <w:keepNext/>
        <w:spacing w:before="160" w:after="200" w:line="240" w:lineRule="auto"/>
        <w:jc w:val="left"/>
      </w:pPr>
      <w:r>
        <w:rPr>
          <w:rFonts w:ascii="Century Gothic" w:hAnsi="Century Gothic" w:cs="Century Gothic" w:eastAsia="Century Gothic"/>
          <w:b/>
          <w:i w:val="0"/>
          <w:sz w:val="24"/>
        </w:rPr>
        <w:t>Presentación</w:t>
      </w:r>
    </w:p>
    <w:p>
      <w:pPr>
        <w:spacing w:before="0" w:after="200" w:line="240" w:lineRule="auto"/>
        <w:jc w:val="both"/>
      </w:pPr>
      <w:r>
        <w:rPr>
          <w:rFonts w:ascii="Century Gothic" w:hAnsi="Century Gothic" w:cs="Century Gothic" w:eastAsia="Century Gothic"/>
          <w:b w:val="0"/>
          <w:i w:val="0"/>
          <w:sz w:val="20"/>
        </w:rPr>
        <w:t>Este documento reúne, para revisión de la Comisión Académica, lo que se puede elaborar con la información disponible para atender cada recomendación. Para cada una se indica el diagnóstico, el contenido sugerido, su punto de destino en el documento y lo que queda como sugerencia o nota porque requiere decisiones o información que la Comisión no tiene.</w:t>
      </w:r>
    </w:p>
    <w:p>
      <w:pPr>
        <w:spacing w:before="0" w:after="200" w:line="240" w:lineRule="auto"/>
        <w:jc w:val="both"/>
      </w:pPr>
      <w:r>
        <w:rPr>
          <w:rFonts w:ascii="Century Gothic" w:hAnsi="Century Gothic" w:cs="Century Gothic" w:eastAsia="Century Gothic"/>
          <w:b w:val="0"/>
          <w:i w:val="0"/>
          <w:sz w:val="20"/>
        </w:rPr>
        <w:t>Las fuentes usadas son exclusivamente el documento consolidado del Rediseño Curricular, sus 43 planes de asignatura, la Resolución HCU N.º 032/2025, el Reglamento del Régimen Académico Estudiantil del Sistema de la Universidad Boliviana, el estudio de Ipsos CIESMORI (2025), el Diagnóstico de la Carrera 2026 y publicaciones oficiales del BID y del SEPREC. No se dispone del informe técnico completo de Secretaría Académica, del Reglamento General de Evaluación Estudiantil de la UMSA ni del formato de cargas horarias de Secretaría Académica; por ello, la atención se basa en el texto de las recomendaciones.</w:t>
      </w:r>
    </w:p>
    <w:p>
      <w:pPr>
        <w:spacing w:before="0" w:after="200" w:line="240" w:lineRule="auto"/>
        <w:jc w:val="both"/>
      </w:pPr>
      <w:r>
        <w:rPr>
          <w:rFonts w:ascii="Century Gothic" w:hAnsi="Century Gothic" w:cs="Century Gothic" w:eastAsia="Century Gothic"/>
          <w:b w:val="0"/>
          <w:i w:val="0"/>
          <w:sz w:val="20"/>
        </w:rPr>
        <w:t>Una vez que la Comisión marque su decisión en la lista de control y corrija este documento, su contenido se incorporará en los puntos indicados, resaltado en amarillo hasta su aprobación final.</w:t>
      </w:r>
    </w:p>
    <w:p>
      <w:r>
        <w:br w:type="page"/>
      </w:r>
    </w:p>
    <w:p>
      <w:pPr>
        <w:keepNext/>
        <w:spacing w:before="160" w:after="200" w:line="240" w:lineRule="auto"/>
        <w:jc w:val="left"/>
      </w:pPr>
      <w:r>
        <w:rPr>
          <w:rFonts w:ascii="Century Gothic" w:hAnsi="Century Gothic" w:cs="Century Gothic" w:eastAsia="Century Gothic"/>
          <w:b/>
          <w:i w:val="0"/>
          <w:sz w:val="24"/>
        </w:rPr>
        <w:t>Recomendación 1. Estudio de mercado laboral y proyecciones de demanda</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val="0"/>
                <w:i w:val="0"/>
                <w:sz w:val="20"/>
              </w:rPr>
              <w:t>«Completar la documentación metodológica del estudio de mercado laboral y las proyecciones de demanda.»</w:t>
            </w:r>
          </w:p>
        </w:tc>
      </w:tr>
    </w:tbl>
    <w:p>
      <w:pPr>
        <w:spacing w:before="0" w:after="120" w:line="240" w:lineRule="auto"/>
        <w:jc w:val="left"/>
      </w:pPr>
    </w:p>
    <w:p>
      <w:pPr>
        <w:keepNext/>
        <w:spacing w:before="120" w:after="200" w:line="240" w:lineRule="auto"/>
        <w:jc w:val="left"/>
      </w:pPr>
      <w:r>
        <w:rPr>
          <w:rFonts w:ascii="Century Gothic" w:hAnsi="Century Gothic" w:cs="Century Gothic" w:eastAsia="Century Gothic"/>
          <w:b/>
          <w:i w:val="0"/>
          <w:sz w:val="24"/>
        </w:rPr>
        <w:t>Diagnóstico</w:t>
      </w:r>
    </w:p>
    <w:p>
      <w:pPr>
        <w:spacing w:before="0" w:after="200" w:line="240" w:lineRule="auto"/>
        <w:jc w:val="both"/>
      </w:pPr>
      <w:r>
        <w:rPr>
          <w:rFonts w:ascii="Century Gothic" w:hAnsi="Century Gothic" w:cs="Century Gothic" w:eastAsia="Century Gothic"/>
          <w:b w:val="0"/>
          <w:i w:val="0"/>
          <w:sz w:val="20"/>
        </w:rPr>
        <w:t>El punto 3.3 presentaba los resultados de Ipsos CIESMORI, de la Encuesta de demanda laboral del BID y del diagnóstico FODA del Instituto de Investigaciones, sin describir cómo se obtuvieron, y el punto 11.1.1 no proyectaba la demanda académica al periodo de implementación, pese a que el Artículo 12 de la Resolución HCU N.º 032/2025 pide la bibliografía «de acuerdo al número proyectado de estudiantes».</w:t>
      </w:r>
    </w:p>
    <w:p>
      <w:pPr>
        <w:keepNext/>
        <w:spacing w:before="120" w:after="200" w:line="240" w:lineRule="auto"/>
        <w:jc w:val="left"/>
      </w:pPr>
      <w:r>
        <w:rPr>
          <w:rFonts w:ascii="Century Gothic" w:hAnsi="Century Gothic" w:cs="Century Gothic" w:eastAsia="Century Gothic"/>
          <w:b/>
          <w:i w:val="0"/>
          <w:sz w:val="24"/>
        </w:rPr>
        <w:t>Contenido sugerido</w:t>
      </w:r>
    </w:p>
    <w:p>
      <w:pPr>
        <w:keepNext/>
        <w:spacing w:before="40" w:after="80" w:line="240" w:lineRule="auto"/>
        <w:jc w:val="center"/>
      </w:pPr>
      <w:r>
        <w:rPr>
          <w:rFonts w:ascii="Century Gothic" w:hAnsi="Century Gothic" w:cs="Century Gothic" w:eastAsia="Century Gothic"/>
          <w:b/>
          <w:i w:val="0"/>
          <w:sz w:val="20"/>
        </w:rPr>
        <w:t>Cuadro 1.1. Contenido propuesto para la Recomendación 1</w:t>
      </w:r>
    </w:p>
    <w:tbl>
      <w:tblPr>
        <w:tblW w:type="auto" w:w="0"/>
        <w:jc w:val="center"/>
        <w:tblLayout w:type="fixed"/>
        <w:tblLook w:firstColumn="1" w:firstRow="1" w:lastColumn="0" w:lastRow="0" w:noHBand="0" w:noVBand="1" w:val="04A0"/>
      </w:tblPr>
      <w:tblGrid>
        <w:gridCol w:w="4535"/>
        <w:gridCol w:w="2268"/>
        <w:gridCol w:w="2268"/>
      </w:tblGrid>
      <w:tr>
        <w:trPr>
          <w:tblHeader/>
        </w:trPr>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Contenido</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Punto</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Situación en el consolidado</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Fuentes del estudio, fichas técnicas de Ipsos CIESMORI, del BID y del FODA, precisión de las muestras, tratamiento de los datos, triangulación y limitaciones (Cuadros 24 a 29)</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3.3.5 (nuevo)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Incorporado y resaltado</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Proyección de matriculados, inscritos, inscripciones y paralelos 2027–2031; titulados; base empresarial del SEPREC; escenarios (Cuadros 30 a 32)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3.3.6 (nuevo)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Incorporado y resaltado</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Gráficos de brechas de competencias, triangulación, proyección de estudiantes y desplazamiento de la demanda</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3.3.4, 3.3.5 y 3.3.6</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Incorporado; título y fuente resaltados</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Periodo de la Encuesta del BID, fichas técnicas, proyecciones, actualización anual y consulta a empleadores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3.1.3, 3.2.1, 3.3.2, 9.1.2, 11.1.1, 12.1.5 y 12.2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Incorporado y resaltado</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Renumeración de los cuadros del punto 3 (24 a 33 pasan a 33 a 42) e índices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3.4 y 3.5</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Incorporado</w:t>
            </w:r>
          </w:p>
        </w:tc>
      </w:tr>
    </w:tbl>
    <w:p>
      <w:pPr>
        <w:spacing w:before="40" w:after="200" w:line="240" w:lineRule="auto"/>
        <w:jc w:val="left"/>
      </w:pPr>
      <w:r>
        <w:rPr>
          <w:rFonts w:ascii="Century Gothic" w:hAnsi="Century Gothic" w:cs="Century Gothic" w:eastAsia="Century Gothic"/>
          <w:b w:val="0"/>
          <w:i w:val="0"/>
          <w:sz w:val="16"/>
        </w:rPr>
        <w:t>Fuente: documento consolidado del Rediseño Curricular, versión de subsanación.</w:t>
      </w:r>
    </w:p>
    <w:p>
      <w:pPr>
        <w:keepNext/>
        <w:spacing w:before="120" w:after="200" w:line="240" w:lineRule="auto"/>
        <w:jc w:val="left"/>
      </w:pPr>
      <w:r>
        <w:rPr>
          <w:rFonts w:ascii="Century Gothic" w:hAnsi="Century Gothic" w:cs="Century Gothic" w:eastAsia="Century Gothic"/>
          <w:b/>
          <w:i w:val="0"/>
          <w:sz w:val="24"/>
        </w:rPr>
        <w:t>Tratamiento del archivo «Punto 1»</w:t>
      </w:r>
    </w:p>
    <w:p>
      <w:pPr>
        <w:spacing w:before="0" w:after="200" w:line="240" w:lineRule="auto"/>
        <w:jc w:val="both"/>
      </w:pPr>
      <w:r>
        <w:rPr>
          <w:rFonts w:ascii="Century Gothic" w:hAnsi="Century Gothic" w:cs="Century Gothic" w:eastAsia="Century Gothic"/>
          <w:b w:val="0"/>
          <w:i w:val="0"/>
          <w:sz w:val="20"/>
        </w:rPr>
        <w:t>El archivo de apoyo «Punto 1» se cotejó con sus fuentes. Se incorporó lo verificable y se dejó fuera lo que no tiene respaldo documental:</w:t>
      </w:r>
    </w:p>
    <w:p>
      <w:pPr>
        <w:keepNext/>
        <w:spacing w:before="40" w:after="80" w:line="240" w:lineRule="auto"/>
        <w:jc w:val="center"/>
      </w:pPr>
      <w:r>
        <w:rPr>
          <w:rFonts w:ascii="Century Gothic" w:hAnsi="Century Gothic" w:cs="Century Gothic" w:eastAsia="Century Gothic"/>
          <w:b/>
          <w:i w:val="0"/>
          <w:sz w:val="20"/>
        </w:rPr>
        <w:t>Cuadro 1.2. Cotejo del archivo «Punto 1» con sus fuentes</w:t>
      </w:r>
    </w:p>
    <w:tbl>
      <w:tblPr>
        <w:tblW w:type="auto" w:w="0"/>
        <w:jc w:val="center"/>
        <w:tblLayout w:type="fixed"/>
        <w:tblLook w:firstColumn="1" w:firstRow="1" w:lastColumn="0" w:lastRow="0" w:noHBand="0" w:noVBand="1" w:val="04A0"/>
      </w:tblPr>
      <w:tblGrid>
        <w:gridCol w:w="3005"/>
        <w:gridCol w:w="3969"/>
        <w:gridCol w:w="2098"/>
      </w:tblGrid>
      <w:tr>
        <w:trPr>
          <w:tblHeader/>
        </w:trPr>
        <w:tc>
          <w:tcPr>
            <w:tcW w:type="dxa" w:w="300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Contenido del archivo</w:t>
            </w:r>
          </w:p>
        </w:tc>
        <w:tc>
          <w:tcPr>
            <w:tcW w:type="dxa" w:w="39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Resultado del cotejo</w:t>
            </w:r>
          </w:p>
        </w:tc>
        <w:tc>
          <w:tcPr>
            <w:tcW w:type="dxa" w:w="209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Decisión</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Composición de la muestra de Contaduría: 59 % mujeres</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El 59 % corresponde a la Facultad; en Contaduría es 67 % mujeres y 33 % varones (Ipsos, lámina 9)</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Incorporado corregido</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Edad, residencia y estado civil de la muestra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Coinciden con Ipsos (láminas 9, 15 y 16), salvo «Cochabamba y Santa Cruz 2 %»: es Santa Cruz 1 % y otras 1 %</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Incorporado corregido</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Ejercicio de la carrera: 63 %, frente a 57 % y 49 %</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Coincide con Ipsos (lámina 22)</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Incorporado</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La Paz con 117.800 empresas, septiembre de 2025</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El SEPREC registra 122.339 en septiembre y 122.956 en noviembre de 2025</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Incorporado con el dato de noviembre</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«Brecha tecnológica del 93 %»</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El 93 % es la proporción que considera totalmente necesarias las habilidades tecnológicas básicas, no una brecha</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Sustituido por las brechas del Cuadro 22</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Matrícula de 6.057 en 2013 frente a 4.447 en 2023 (−26,6 %)</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Coincide con el Diagnóstico 2026</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Incorporado</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Saturación del perfil tradicional y no de la profesión</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Conclusión coherente con la triangulación</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Incorporado</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Modelo del CEUB D = f(Ne, Rp, Oe, Ea)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No se encontró la guía citada</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No incorporado</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Fase cualitativa con firmas «Big Four»</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Ipsos solo menciona empleadores, expertos en talento humano y en educación; su informe no está disponible</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Incorporado como limitación</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Demanda de 1.100 a 1.300 contadores por año y oferta de 400 a 500 titulados</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Supuestos sin fuente; la DSIE registra entre 274 y 523 titulados, con promedio de 379</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No incorporado</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Más del 80 % de los ingresos de las firmas proviene de consultoría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Sin fuente</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No incorporado</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Metas del 45 % en mandos medios y desempleo menor al 5 %</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No son datos; podrían adoptarse como metas aprobadas en el punto 12</w:t>
            </w:r>
          </w:p>
        </w:tc>
        <w:tc>
          <w:tcPr>
            <w:tcW w:type="dxa" w:w="209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No incorporado</w:t>
            </w:r>
          </w:p>
        </w:tc>
      </w:tr>
    </w:tbl>
    <w:p>
      <w:pPr>
        <w:spacing w:before="40" w:after="200" w:line="240" w:lineRule="auto"/>
        <w:jc w:val="left"/>
      </w:pPr>
      <w:r>
        <w:rPr>
          <w:rFonts w:ascii="Century Gothic" w:hAnsi="Century Gothic" w:cs="Century Gothic" w:eastAsia="Century Gothic"/>
          <w:b w:val="0"/>
          <w:i w:val="0"/>
          <w:sz w:val="16"/>
        </w:rPr>
        <w:t>Fuente: elaboración propia con base en Ipsos CIESMORI (2025), Diagnóstico de la Carrera 2026 y SEPREC (2025).</w:t>
      </w:r>
    </w:p>
    <w:p>
      <w:pPr>
        <w:keepNext/>
        <w:spacing w:before="120" w:after="200" w:line="240" w:lineRule="auto"/>
        <w:jc w:val="left"/>
      </w:pPr>
      <w:r>
        <w:rPr>
          <w:rFonts w:ascii="Century Gothic" w:hAnsi="Century Gothic" w:cs="Century Gothic" w:eastAsia="Century Gothic"/>
          <w:b/>
          <w:i w:val="0"/>
          <w:sz w:val="24"/>
        </w:rPr>
        <w:t>Pendiente</w:t>
      </w:r>
    </w:p>
    <w:p>
      <w:pPr>
        <w:numPr>
          <w:ilvl w:val="0"/>
          <w:numId w:val="901"/>
        </w:numPr>
        <w:spacing w:before="0" w:after="160" w:line="240" w:lineRule="auto"/>
        <w:jc w:val="both"/>
      </w:pPr>
      <w:r>
        <w:rPr>
          <w:rFonts w:ascii="Century Gothic" w:hAnsi="Century Gothic" w:cs="Century Gothic" w:eastAsia="Century Gothic"/>
          <w:b w:val="0"/>
          <w:i w:val="0"/>
          <w:sz w:val="20"/>
        </w:rPr>
        <w:t>Cotejar con la nota técnica IDB-TN-2795 del BID la cifra de 1.931 empresas, que proviene del Diagnóstico de la Carrera 2026.</w:t>
      </w:r>
    </w:p>
    <w:p>
      <w:pPr>
        <w:numPr>
          <w:ilvl w:val="0"/>
          <w:numId w:val="901"/>
        </w:numPr>
        <w:spacing w:before="0" w:after="200" w:line="240" w:lineRule="auto"/>
        <w:jc w:val="both"/>
      </w:pPr>
      <w:r>
        <w:rPr>
          <w:rFonts w:ascii="Century Gothic" w:hAnsi="Century Gothic" w:cs="Century Gothic" w:eastAsia="Century Gothic"/>
          <w:b w:val="0"/>
          <w:i w:val="0"/>
          <w:sz w:val="20"/>
        </w:rPr>
        <w:t>Si la Comisión dispone de la guía del CEUB citada en el archivo «Punto 1», puede agregarse al punto 3.3.5 con su cita completa.</w:t>
      </w:r>
    </w:p>
    <w:p>
      <w:r>
        <w:br w:type="page"/>
      </w:r>
    </w:p>
    <w:p>
      <w:pPr>
        <w:keepNext/>
        <w:spacing w:before="160" w:after="200" w:line="240" w:lineRule="auto"/>
        <w:jc w:val="left"/>
      </w:pPr>
      <w:r>
        <w:rPr>
          <w:rFonts w:ascii="Century Gothic" w:hAnsi="Century Gothic" w:cs="Century Gothic" w:eastAsia="Century Gothic"/>
          <w:b/>
          <w:i w:val="0"/>
          <w:sz w:val="24"/>
        </w:rPr>
        <w:t>Recomendación 2. Recursos y convenios para las prácticas preprofesionales</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val="0"/>
                <w:i w:val="0"/>
                <w:sz w:val="20"/>
              </w:rPr>
              <w:t>«Verificar la disponibilidad de recursos académicos, tecnológicos y convenios para las prácticas preprofesionales.»</w:t>
            </w:r>
          </w:p>
        </w:tc>
      </w:tr>
    </w:tbl>
    <w:p>
      <w:pPr>
        <w:spacing w:before="0" w:after="120" w:line="240" w:lineRule="auto"/>
        <w:jc w:val="left"/>
      </w:pPr>
    </w:p>
    <w:p>
      <w:pPr>
        <w:keepNext/>
        <w:spacing w:before="120" w:after="200" w:line="240" w:lineRule="auto"/>
        <w:jc w:val="left"/>
      </w:pPr>
      <w:r>
        <w:rPr>
          <w:rFonts w:ascii="Century Gothic" w:hAnsi="Century Gothic" w:cs="Century Gothic" w:eastAsia="Century Gothic"/>
          <w:b/>
          <w:i w:val="0"/>
          <w:sz w:val="24"/>
        </w:rPr>
        <w:t>Diagnóstico</w:t>
      </w:r>
    </w:p>
    <w:p>
      <w:pPr>
        <w:numPr>
          <w:ilvl w:val="0"/>
          <w:numId w:val="902"/>
        </w:numPr>
        <w:spacing w:before="0" w:after="160" w:line="240" w:lineRule="auto"/>
        <w:jc w:val="both"/>
      </w:pPr>
      <w:r>
        <w:rPr>
          <w:rFonts w:ascii="Century Gothic" w:hAnsi="Century Gothic" w:cs="Century Gothic" w:eastAsia="Century Gothic"/>
          <w:b w:val="0"/>
          <w:i w:val="0"/>
          <w:sz w:val="20"/>
        </w:rPr>
        <w:t>No existe un inventario de los convenios vigentes que podrían recibir practicantes, aunque la Carrera opera convenios para el trabajo dirigido externo (punto 13.1.4).</w:t>
      </w:r>
    </w:p>
    <w:p>
      <w:pPr>
        <w:numPr>
          <w:ilvl w:val="0"/>
          <w:numId w:val="902"/>
        </w:numPr>
        <w:spacing w:before="0" w:after="160" w:line="240" w:lineRule="auto"/>
        <w:jc w:val="both"/>
      </w:pPr>
      <w:r>
        <w:rPr>
          <w:rFonts w:ascii="Century Gothic" w:hAnsi="Century Gothic" w:cs="Century Gothic" w:eastAsia="Century Gothic"/>
          <w:b w:val="0"/>
          <w:i w:val="0"/>
          <w:sz w:val="20"/>
        </w:rPr>
        <w:t>No se estima cuántas plazas de práctica, tutores y convenios se necesitan ni desde qué gestión.</w:t>
      </w:r>
    </w:p>
    <w:p>
      <w:pPr>
        <w:numPr>
          <w:ilvl w:val="0"/>
          <w:numId w:val="902"/>
        </w:numPr>
        <w:spacing w:before="0" w:after="160" w:line="240" w:lineRule="auto"/>
        <w:jc w:val="both"/>
      </w:pPr>
      <w:r>
        <w:rPr>
          <w:rFonts w:ascii="Century Gothic" w:hAnsi="Century Gothic" w:cs="Century Gothic" w:eastAsia="Century Gothic"/>
          <w:b w:val="0"/>
          <w:i w:val="0"/>
          <w:sz w:val="20"/>
        </w:rPr>
        <w:t>El Reglamento de Prácticas Preprofesionales, al que remite el punto 4.8.3, no figura en el Cuadro 2 de reglamentos del punto 13.1.2.</w:t>
      </w:r>
    </w:p>
    <w:p>
      <w:pPr>
        <w:numPr>
          <w:ilvl w:val="0"/>
          <w:numId w:val="902"/>
        </w:numPr>
        <w:spacing w:before="0" w:after="160" w:line="240" w:lineRule="auto"/>
        <w:jc w:val="both"/>
      </w:pPr>
      <w:r>
        <w:rPr>
          <w:rFonts w:ascii="Century Gothic" w:hAnsi="Century Gothic" w:cs="Century Gothic" w:eastAsia="Century Gothic"/>
          <w:b w:val="0"/>
          <w:i w:val="0"/>
          <w:sz w:val="20"/>
        </w:rPr>
        <w:t>El punto 4.8.3 acredita las horas de práctica en las «asignaturas vinculadas», pero ningún punto las identifica.</w:t>
      </w:r>
    </w:p>
    <w:p>
      <w:pPr>
        <w:numPr>
          <w:ilvl w:val="0"/>
          <w:numId w:val="902"/>
        </w:numPr>
        <w:spacing w:before="0" w:after="160" w:line="240" w:lineRule="auto"/>
        <w:jc w:val="both"/>
      </w:pPr>
      <w:r>
        <w:rPr>
          <w:rFonts w:ascii="Century Gothic" w:hAnsi="Century Gothic" w:cs="Century Gothic" w:eastAsia="Century Gothic"/>
          <w:b w:val="0"/>
          <w:i w:val="0"/>
          <w:sz w:val="20"/>
        </w:rPr>
        <w:t>El punto 10.4 indica 106 puestos de laboratorio, mientras que los puntos 14.3 y 14.5 registran que 24 de las 39 computadoras del Monoblock Central están en mal estado.</w:t>
      </w:r>
    </w:p>
    <w:p>
      <w:pPr>
        <w:numPr>
          <w:ilvl w:val="0"/>
          <w:numId w:val="902"/>
        </w:numPr>
        <w:spacing w:before="0" w:after="160" w:line="240" w:lineRule="auto"/>
        <w:jc w:val="both"/>
      </w:pPr>
      <w:r>
        <w:rPr>
          <w:rFonts w:ascii="Century Gothic" w:hAnsi="Century Gothic" w:cs="Century Gothic" w:eastAsia="Century Gothic"/>
          <w:b w:val="0"/>
          <w:i w:val="0"/>
          <w:sz w:val="20"/>
        </w:rPr>
        <w:t>La coordinación de prácticas no tiene un responsable asignado en el punto 11.2.3.</w:t>
      </w:r>
    </w:p>
    <w:p>
      <w:pPr>
        <w:numPr>
          <w:ilvl w:val="0"/>
          <w:numId w:val="902"/>
        </w:numPr>
        <w:spacing w:before="0" w:after="200" w:line="240" w:lineRule="auto"/>
        <w:jc w:val="both"/>
      </w:pPr>
      <w:r>
        <w:rPr>
          <w:rFonts w:ascii="Century Gothic" w:hAnsi="Century Gothic" w:cs="Century Gothic" w:eastAsia="Century Gothic"/>
          <w:b w:val="0"/>
          <w:i w:val="0"/>
          <w:sz w:val="20"/>
        </w:rPr>
        <w:t>La consultoría social contable, que el punto 4.8.2 incluye como nivel de práctica, es una línea que el punto 7 prevé crear; hoy la Carrera no desarrolla interacción social como requisito de egreso ni de asignatura.</w:t>
      </w:r>
    </w:p>
    <w:p>
      <w:pPr>
        <w:keepNext/>
        <w:spacing w:before="120" w:after="200" w:line="240" w:lineRule="auto"/>
        <w:jc w:val="left"/>
      </w:pPr>
      <w:r>
        <w:rPr>
          <w:rFonts w:ascii="Century Gothic" w:hAnsi="Century Gothic" w:cs="Century Gothic" w:eastAsia="Century Gothic"/>
          <w:b/>
          <w:i w:val="0"/>
          <w:sz w:val="24"/>
        </w:rPr>
        <w:t>Contenido sugerido para el nuevo punto 4.8.4</w:t>
      </w:r>
    </w:p>
    <w:p>
      <w:pPr>
        <w:spacing w:before="0" w:after="200" w:line="240" w:lineRule="auto"/>
        <w:jc w:val="both"/>
      </w:pPr>
      <w:r>
        <w:rPr>
          <w:rFonts w:ascii="Century Gothic" w:hAnsi="Century Gothic" w:cs="Century Gothic" w:eastAsia="Century Gothic"/>
          <w:b w:val="0"/>
          <w:i w:val="0"/>
          <w:sz w:val="20"/>
        </w:rPr>
        <w:t>Como el Rediseño Curricular se implementa año por año desde 2027 (punto 16.2), las prácticas en organizaciones comienzan en 2029, cuando la primera cohorte llega a tercer año. Las gestiones 2027 y 2028 quedan para suscribir convenios y aprobar el reglamento.</w:t>
      </w:r>
    </w:p>
    <w:p>
      <w:pPr>
        <w:keepNext/>
        <w:spacing w:before="40" w:after="80" w:line="240" w:lineRule="auto"/>
        <w:jc w:val="center"/>
      </w:pPr>
      <w:r>
        <w:rPr>
          <w:rFonts w:ascii="Century Gothic" w:hAnsi="Century Gothic" w:cs="Century Gothic" w:eastAsia="Century Gothic"/>
          <w:b/>
          <w:i w:val="0"/>
          <w:sz w:val="20"/>
        </w:rPr>
        <w:t>Cuadro 2.1. Calendario de las prácticas durante la implementación</w:t>
      </w:r>
    </w:p>
    <w:tbl>
      <w:tblPr>
        <w:tblW w:type="auto" w:w="0"/>
        <w:jc w:val="center"/>
        <w:tblLayout w:type="fixed"/>
        <w:tblLook w:firstColumn="1" w:firstRow="1" w:lastColumn="0" w:lastRow="0" w:noHBand="0" w:noVBand="1" w:val="04A0"/>
      </w:tblPr>
      <w:tblGrid>
        <w:gridCol w:w="907"/>
        <w:gridCol w:w="1077"/>
        <w:gridCol w:w="2948"/>
        <w:gridCol w:w="4139"/>
      </w:tblGrid>
      <w:tr>
        <w:trPr>
          <w:tblHeader/>
        </w:trPr>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Gestión</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Año que inicia</w:t>
            </w:r>
          </w:p>
        </w:tc>
        <w:tc>
          <w:tcPr>
            <w:tcW w:type="dxa" w:w="294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Niveles de práctica en vigencia</w:t>
            </w:r>
          </w:p>
        </w:tc>
        <w:tc>
          <w:tcPr>
            <w:tcW w:type="dxa" w:w="413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Recursos que deben estar disponibles</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2027</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Primero</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Prácticas formativas en asignaturas</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Laboratorios, software de ofimática y análisis de datos (CPA-102, MAT-101 y MAT-102)</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2028</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Segundo</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Prácticas formativas en asignaturas</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Software contable y aplicativos tributarios (CPA-201 y CPA-203); reglamento aprobado y convenios suscritos</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2029</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Tercero</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Primeras prácticas preprofesionales en organizaciones</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Convenios con cupos, tutores académicos y de la entidad; sistemas ERP (CPA-305)</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2030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Cuarto</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Se agregan gabinetes y simulación profesional</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Herramientas de auditoría asistida por computadora (CPA-407); espacios de simulación</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2031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Quinto</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Todos los niveles</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Herramientas de auditoría (CPA-502, CPA-505 y CPA-508); convenios con entidades sin fines de lucro (CPA-507)</w:t>
            </w:r>
          </w:p>
        </w:tc>
      </w:tr>
    </w:tbl>
    <w:p>
      <w:pPr>
        <w:spacing w:before="40" w:after="200" w:line="240" w:lineRule="auto"/>
        <w:jc w:val="left"/>
      </w:pPr>
      <w:r>
        <w:rPr>
          <w:rFonts w:ascii="Century Gothic" w:hAnsi="Century Gothic" w:cs="Century Gothic" w:eastAsia="Century Gothic"/>
          <w:b w:val="0"/>
          <w:i w:val="0"/>
          <w:sz w:val="16"/>
        </w:rPr>
        <w:t>Fuente: elaboración con base en los puntos 4.8.2, 10.3 y 16.2 y en la malla del punto 4.4.3.</w:t>
      </w:r>
    </w:p>
    <w:p>
      <w:pPr>
        <w:spacing w:before="0" w:after="200" w:line="240" w:lineRule="auto"/>
        <w:jc w:val="both"/>
      </w:pPr>
      <w:r>
        <w:rPr>
          <w:rFonts w:ascii="Century Gothic" w:hAnsi="Century Gothic" w:cs="Century Gothic" w:eastAsia="Century Gothic"/>
          <w:b w:val="0"/>
          <w:i w:val="0"/>
          <w:sz w:val="20"/>
        </w:rPr>
        <w:t>La demanda se estima con la primera cohorte, igual al promedio de nuevos inscritos de 2023 a 2025, 472 estudiantes (DSIE, citada en el Diagnóstico 2026), sin descontar el abandono, por lo que es un máximo:</w:t>
      </w:r>
    </w:p>
    <w:p>
      <w:pPr>
        <w:keepNext/>
        <w:spacing w:before="40" w:after="80" w:line="240" w:lineRule="auto"/>
        <w:jc w:val="center"/>
      </w:pPr>
      <w:r>
        <w:rPr>
          <w:rFonts w:ascii="Century Gothic" w:hAnsi="Century Gothic" w:cs="Century Gothic" w:eastAsia="Century Gothic"/>
          <w:b/>
          <w:i w:val="0"/>
          <w:sz w:val="20"/>
        </w:rPr>
        <w:t>Cuadro 2.2. Plazas de práctica y tutores académicos requeridos</w:t>
      </w:r>
    </w:p>
    <w:tbl>
      <w:tblPr>
        <w:tblW w:type="auto" w:w="0"/>
        <w:jc w:val="center"/>
        <w:tblLayout w:type="fixed"/>
        <w:tblLook w:firstColumn="1" w:firstRow="1" w:lastColumn="0" w:lastRow="0" w:noHBand="0" w:noVBand="1" w:val="04A0"/>
      </w:tblPr>
      <w:tblGrid>
        <w:gridCol w:w="1020"/>
        <w:gridCol w:w="2268"/>
        <w:gridCol w:w="2268"/>
        <w:gridCol w:w="1757"/>
        <w:gridCol w:w="1757"/>
      </w:tblGrid>
      <w:tr>
        <w:trPr>
          <w:tblHeader/>
        </w:trPr>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Gestión</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Alternativa A: una práctica entre 3.º y 5.º año</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Alternativa B: una práctica por año</w:t>
            </w:r>
          </w:p>
        </w:tc>
        <w:tc>
          <w:tcPr>
            <w:tcW w:type="dxa" w:w="175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Tutores, alternativa A</w:t>
            </w:r>
          </w:p>
        </w:tc>
        <w:tc>
          <w:tcPr>
            <w:tcW w:type="dxa" w:w="175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Tutores, alternativa B</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2029</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Hasta 472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472</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2030</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Hasta 472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944</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48</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2031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Hasta 472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1.416</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71</w:t>
            </w:r>
          </w:p>
        </w:tc>
      </w:tr>
    </w:tbl>
    <w:p>
      <w:pPr>
        <w:spacing w:before="40" w:after="200" w:line="240" w:lineRule="auto"/>
        <w:jc w:val="left"/>
      </w:pPr>
      <w:r>
        <w:rPr>
          <w:rFonts w:ascii="Century Gothic" w:hAnsi="Century Gothic" w:cs="Century Gothic" w:eastAsia="Century Gothic"/>
          <w:b w:val="0"/>
          <w:i w:val="0"/>
          <w:sz w:val="16"/>
        </w:rPr>
        <w:t>Fuente: elaboración propia. Relación referencial de 20 practicantes por tutor, que fijará el reglamento.</w:t>
      </w:r>
    </w:p>
    <w:p>
      <w:pPr>
        <w:keepNext/>
        <w:spacing w:before="40" w:after="80" w:line="240" w:lineRule="auto"/>
        <w:jc w:val="center"/>
      </w:pPr>
      <w:r>
        <w:rPr>
          <w:rFonts w:ascii="Century Gothic" w:hAnsi="Century Gothic" w:cs="Century Gothic" w:eastAsia="Century Gothic"/>
          <w:b/>
          <w:i w:val="0"/>
          <w:sz w:val="20"/>
        </w:rPr>
        <w:t>Cuadro 2.3. Verificación de la disponibilidad de recursos para las prácticas</w:t>
      </w:r>
    </w:p>
    <w:tbl>
      <w:tblPr>
        <w:tblW w:type="auto" w:w="0"/>
        <w:jc w:val="center"/>
        <w:tblLayout w:type="fixed"/>
        <w:tblLook w:firstColumn="1" w:firstRow="1" w:lastColumn="0" w:lastRow="0" w:noHBand="0" w:noVBand="1" w:val="04A0"/>
      </w:tblPr>
      <w:tblGrid>
        <w:gridCol w:w="1644"/>
        <w:gridCol w:w="737"/>
        <w:gridCol w:w="3005"/>
        <w:gridCol w:w="1984"/>
        <w:gridCol w:w="1701"/>
      </w:tblGrid>
      <w:tr>
        <w:trPr>
          <w:tblHeader/>
        </w:trPr>
        <w:tc>
          <w:tcPr>
            <w:tcW w:type="dxa" w:w="164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Recurso</w:t>
            </w:r>
          </w:p>
        </w:tc>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Desde</w:t>
            </w:r>
          </w:p>
        </w:tc>
        <w:tc>
          <w:tcPr>
            <w:tcW w:type="dxa" w:w="300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Situación verificada</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Acción</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Financiamiento</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Laboratorios de computación</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2027</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Parcialmente disponible.</w:t>
            </w:r>
            <w:r>
              <w:rPr>
                <w:rFonts w:ascii="Century Gothic" w:hAnsi="Century Gothic" w:cs="Century Gothic" w:eastAsia="Century Gothic"/>
                <w:b w:val="0"/>
                <w:i w:val="0"/>
                <w:sz w:val="16"/>
              </w:rPr>
              <w:t xml:space="preserve"> 70 puestos en Nava Morales; en el Monoblock Central, 24 de 39 computadoras en mal estado; el 90 % cumplió su ciclo de vida (10.4, 14.3 y 14.5)</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Renovación de 70 computadoras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Bs 820.000 en 2027 (Cuadros 14 y 15 del punto 11.3.5)</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Análisis de datos: Python, R, SPSS, Power BI y Excel</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2027</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Disponible</w:t>
            </w:r>
            <w:r>
              <w:rPr>
                <w:rFonts w:ascii="Century Gothic" w:hAnsi="Century Gothic" w:cs="Century Gothic" w:eastAsia="Century Gothic"/>
                <w:b w:val="0"/>
                <w:i w:val="0"/>
                <w:sz w:val="16"/>
              </w:rPr>
              <w:t xml:space="preserve"> en Nava Morales (10.3)</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Instalar en el Monoblock al renovar los equipos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Software de uso libre y licencias existentes</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Software contable y aplicativos tributarios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2028</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Disponible</w:t>
            </w:r>
            <w:r>
              <w:rPr>
                <w:rFonts w:ascii="Century Gothic" w:hAnsi="Century Gothic" w:cs="Century Gothic" w:eastAsia="Century Gothic"/>
                <w:b w:val="0"/>
                <w:i w:val="0"/>
                <w:sz w:val="16"/>
              </w:rPr>
              <w:t>: módulos académicos y SIAT-Desktop (10.3)</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Actualización anual</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Bs 41.000 por año (Cuadro 21 del punto 11.3.5)</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Sistemas ERP</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2029</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No disponible</w:t>
            </w:r>
            <w:r>
              <w:rPr>
                <w:rFonts w:ascii="Century Gothic" w:hAnsi="Century Gothic" w:cs="Century Gothic" w:eastAsia="Century Gothic"/>
                <w:b w:val="0"/>
                <w:i w:val="0"/>
                <w:sz w:val="16"/>
              </w:rPr>
              <w:t xml:space="preserve"> (10.3)</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Alianza universitaria o código abierto, gestionada en 2027 y 2028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Alianzas con proveedores (11.3.3)</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Herramientas de auditoría asistida por computadora</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2030</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No disponible</w:t>
            </w:r>
            <w:r>
              <w:rPr>
                <w:rFonts w:ascii="Century Gothic" w:hAnsi="Century Gothic" w:cs="Century Gothic" w:eastAsia="Century Gothic"/>
                <w:b w:val="0"/>
                <w:i w:val="0"/>
                <w:sz w:val="16"/>
              </w:rPr>
              <w:t xml:space="preserve"> (10.3)</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Licencia académica o alternativa abierta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Alianzas con proveedores y firmas (11.3.3)</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Plataforma virtual para planes e informes de práctica</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2029</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Parcialmente disponible</w:t>
            </w:r>
            <w:r>
              <w:rPr>
                <w:rFonts w:ascii="Century Gothic" w:hAnsi="Century Gothic" w:cs="Century Gothic" w:eastAsia="Century Gothic"/>
                <w:b w:val="0"/>
                <w:i w:val="0"/>
                <w:sz w:val="16"/>
              </w:rPr>
              <w:t>: Moodle con limitaciones de capacidad (10.12)</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Ampliación y aula virtual de prácticas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Corto plazo del Cuadro 6 del punto 11.1.4</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Salas de simulación</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2030</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No disponible</w:t>
            </w:r>
            <w:r>
              <w:rPr>
                <w:rFonts w:ascii="Century Gothic" w:hAnsi="Century Gothic" w:cs="Century Gothic" w:eastAsia="Century Gothic"/>
                <w:b w:val="0"/>
                <w:i w:val="0"/>
                <w:sz w:val="16"/>
              </w:rPr>
              <w:t xml:space="preserve"> (14.3)</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Habilitación de salas para gabinetes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Mediano plazo del punto 11.1.4</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Tutores académicos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2029</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Parcialmente disponible</w:t>
            </w:r>
            <w:r>
              <w:rPr>
                <w:rFonts w:ascii="Century Gothic" w:hAnsi="Century Gothic" w:cs="Century Gothic" w:eastAsia="Century Gothic"/>
                <w:b w:val="0"/>
                <w:i w:val="0"/>
                <w:sz w:val="16"/>
              </w:rPr>
              <w:t>: menos de dos de cada cien cargas son de tiempo completo (3.1.2)</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Horas de tutoría de práctica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Presupuesto ordinario (11.3.3)</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Coordinación de prácticas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2028</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No disponible</w:t>
            </w:r>
            <w:r>
              <w:rPr>
                <w:rFonts w:ascii="Century Gothic" w:hAnsi="Century Gothic" w:cs="Century Gothic" w:eastAsia="Century Gothic"/>
                <w:b w:val="0"/>
                <w:i w:val="0"/>
                <w:sz w:val="16"/>
              </w:rPr>
              <w:t>; la unidad de vinculación figura solo como mitigación (11.3.4)</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Designar un coordinador con apoyo administrativo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Presupuesto ordinario (11.2.3)</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Convenios con entidades receptoras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2029</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Parcialmente disponible</w:t>
            </w:r>
            <w:r>
              <w:rPr>
                <w:rFonts w:ascii="Century Gothic" w:hAnsi="Century Gothic" w:cs="Century Gothic" w:eastAsia="Century Gothic"/>
                <w:b w:val="0"/>
                <w:i w:val="0"/>
                <w:sz w:val="16"/>
              </w:rPr>
              <w:t>: hay convenios de trabajo dirigido externo (13.1.4), sin inventario de número, vigencia ni cupos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Inventario en 2027 y convenios con cupos hasta 2028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Sin costo directo (11.3.3)</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Espacios internos sin convenio</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2029</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Parcialmente disponible</w:t>
            </w:r>
            <w:r>
              <w:rPr>
                <w:rFonts w:ascii="Century Gothic" w:hAnsi="Century Gothic" w:cs="Century Gothic" w:eastAsia="Century Gothic"/>
                <w:b w:val="0"/>
                <w:i w:val="0"/>
                <w:sz w:val="16"/>
              </w:rPr>
              <w:t>: dependencias de la UMSA para trabajo dirigido interno (Resolución HCU N.º 330/2022) e Instituto de Investigaciones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Fijar cupos internos por gestión</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Presupuesto ordinario</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Consultoría social contable</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2030</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No disponible</w:t>
            </w:r>
            <w:r>
              <w:rPr>
                <w:rFonts w:ascii="Century Gothic" w:hAnsi="Century Gothic" w:cs="Century Gothic" w:eastAsia="Century Gothic"/>
                <w:b w:val="0"/>
                <w:i w:val="0"/>
                <w:sz w:val="16"/>
              </w:rPr>
              <w:t>: prevista en el punto 7, no constituida</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Decidir si se mantiene como nivel de práctica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Por definir</w:t>
            </w:r>
          </w:p>
        </w:tc>
      </w:tr>
      <w:tr>
        <w:tc>
          <w:tcPr>
            <w:tcW w:type="dxa" w:w="16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Reglamento de Prácticas Preprofesionales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2028</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No disponible</w:t>
            </w:r>
            <w:r>
              <w:rPr>
                <w:rFonts w:ascii="Century Gothic" w:hAnsi="Century Gothic" w:cs="Century Gothic" w:eastAsia="Century Gothic"/>
                <w:b w:val="0"/>
                <w:i w:val="0"/>
                <w:sz w:val="16"/>
              </w:rPr>
              <w:t>: anunciado en 4.8.3, ausente en 13.1.2</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Elaborar y aprobar en 2028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No requiere</w:t>
            </w:r>
          </w:p>
        </w:tc>
      </w:tr>
    </w:tbl>
    <w:p>
      <w:pPr>
        <w:spacing w:before="40" w:after="200" w:line="240" w:lineRule="auto"/>
        <w:jc w:val="left"/>
      </w:pPr>
      <w:r>
        <w:rPr>
          <w:rFonts w:ascii="Century Gothic" w:hAnsi="Century Gothic" w:cs="Century Gothic" w:eastAsia="Century Gothic"/>
          <w:b w:val="0"/>
          <w:i w:val="0"/>
          <w:sz w:val="16"/>
        </w:rPr>
        <w:t>Fuente: elaboración con base en los puntos 3.1.2, 4.8, 7, 10, 11, 13.1.4 y 14.</w:t>
      </w:r>
    </w:p>
    <w:p>
      <w:pPr>
        <w:spacing w:before="0" w:after="200" w:line="240" w:lineRule="auto"/>
        <w:jc w:val="both"/>
      </w:pPr>
      <w:r>
        <w:rPr>
          <w:rFonts w:ascii="Century Gothic" w:hAnsi="Century Gothic" w:cs="Century Gothic" w:eastAsia="Century Gothic"/>
          <w:b w:val="0"/>
          <w:i w:val="0"/>
          <w:sz w:val="20"/>
        </w:rPr>
        <w:t>De los trece recursos, dos están disponibles, cinco lo están parcialmente y seis no están disponibles. Los de 2027 y 2028 tienen financiamiento previsto; los no disponibles dependen sobre todo de gestiones sin costo directo: convenios, reglamento, coordinación y alianzas con proveedores.</w:t>
      </w:r>
    </w:p>
    <w:p>
      <w:pPr>
        <w:keepNext/>
        <w:spacing w:before="120" w:after="200" w:line="240" w:lineRule="auto"/>
        <w:jc w:val="left"/>
      </w:pPr>
      <w:r>
        <w:rPr>
          <w:rFonts w:ascii="Century Gothic" w:hAnsi="Century Gothic" w:cs="Century Gothic" w:eastAsia="Century Gothic"/>
          <w:b/>
          <w:i w:val="0"/>
          <w:sz w:val="24"/>
        </w:rPr>
        <w:t>Ajustes en otros puntos</w:t>
      </w:r>
    </w:p>
    <w:p>
      <w:pPr>
        <w:keepNext/>
        <w:spacing w:before="40" w:after="80" w:line="240" w:lineRule="auto"/>
        <w:jc w:val="center"/>
      </w:pPr>
      <w:r>
        <w:rPr>
          <w:rFonts w:ascii="Century Gothic" w:hAnsi="Century Gothic" w:cs="Century Gothic" w:eastAsia="Century Gothic"/>
          <w:b/>
          <w:i w:val="0"/>
          <w:sz w:val="20"/>
        </w:rPr>
        <w:t>Cuadro 2.4. Ajustes de concordancia sugeridos</w:t>
      </w:r>
    </w:p>
    <w:tbl>
      <w:tblPr>
        <w:tblW w:type="auto" w:w="0"/>
        <w:jc w:val="center"/>
        <w:tblLayout w:type="fixed"/>
        <w:tblLook w:firstColumn="1" w:firstRow="1" w:lastColumn="0" w:lastRow="0" w:noHBand="0" w:noVBand="1" w:val="04A0"/>
      </w:tblPr>
      <w:tblGrid>
        <w:gridCol w:w="1417"/>
        <w:gridCol w:w="7654"/>
      </w:tblGrid>
      <w:tr>
        <w:trPr>
          <w:tblHeader/>
        </w:trPr>
        <w:tc>
          <w:tcPr>
            <w:tcW w:type="dxa" w:w="141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Punto</w:t>
            </w:r>
          </w:p>
        </w:tc>
        <w:tc>
          <w:tcPr>
            <w:tcW w:type="dxa" w:w="76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Ajuste</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4.8.3</w:t>
            </w:r>
          </w:p>
        </w:tc>
        <w:tc>
          <w:tcPr>
            <w:tcW w:type="dxa" w:w="76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Indicar que el Reglamento de Prácticas identificará las asignaturas vinculadas de tercer a quinto año.</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4.8.2</w:t>
            </w:r>
          </w:p>
        </w:tc>
        <w:tc>
          <w:tcPr>
            <w:tcW w:type="dxa" w:w="76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Condicionar el nivel «Consultoría social contable» a la creación de esa línea prevista en el punto 7.</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10.4</w:t>
            </w:r>
          </w:p>
        </w:tc>
        <w:tc>
          <w:tcPr>
            <w:tcW w:type="dxa" w:w="76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Precisar que 24 de las 39 computadoras del Monoblock Central están en mal estado hasta su renovación.</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11.2.3</w:t>
            </w:r>
          </w:p>
        </w:tc>
        <w:tc>
          <w:tcPr>
            <w:tcW w:type="dxa" w:w="76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Agregar la fila «Coordinación de prácticas y vinculación».</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11.3.4</w:t>
            </w:r>
          </w:p>
        </w:tc>
        <w:tc>
          <w:tcPr>
            <w:tcW w:type="dxa" w:w="76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En la fase de preparación, aprobar el Reglamento de Prácticas y suscribir convenios con cupos para 2029.</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12.1.2</w:t>
            </w:r>
          </w:p>
        </w:tc>
        <w:tc>
          <w:tcPr>
            <w:tcW w:type="dxa" w:w="76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Agregar los indicadores de prácticas: convenios vigentes, cupos, practicantes con tutor y prácticas concluidas.</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13.1.2</w:t>
            </w:r>
          </w:p>
        </w:tc>
        <w:tc>
          <w:tcPr>
            <w:tcW w:type="dxa" w:w="76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Agregar el «Reglamento de Prácticas Preprofesionales», con situación «Elaborar».</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16.2</w:t>
            </w:r>
          </w:p>
        </w:tc>
        <w:tc>
          <w:tcPr>
            <w:tcW w:type="dxa" w:w="76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En 2028, aprobar el Reglamento de Prácticas y los convenios con cupos para 2029.</w:t>
            </w:r>
          </w:p>
        </w:tc>
      </w:tr>
    </w:tbl>
    <w:p>
      <w:pPr>
        <w:spacing w:before="40" w:after="200" w:line="240" w:lineRule="auto"/>
        <w:jc w:val="left"/>
      </w:pPr>
      <w:r>
        <w:rPr>
          <w:rFonts w:ascii="Century Gothic" w:hAnsi="Century Gothic" w:cs="Century Gothic" w:eastAsia="Century Gothic"/>
          <w:b w:val="0"/>
          <w:i w:val="0"/>
          <w:sz w:val="16"/>
        </w:rPr>
        <w:t>Fuente: elaboración propia.</w:t>
      </w:r>
    </w:p>
    <w:p>
      <w:pPr>
        <w:keepNext/>
        <w:spacing w:before="120" w:after="200" w:line="240" w:lineRule="auto"/>
        <w:jc w:val="left"/>
      </w:pPr>
      <w:r>
        <w:rPr>
          <w:rFonts w:ascii="Century Gothic" w:hAnsi="Century Gothic" w:cs="Century Gothic" w:eastAsia="Century Gothic"/>
          <w:b/>
          <w:i w:val="0"/>
          <w:sz w:val="24"/>
        </w:rPr>
        <w:t>Instrumentos para reunir las evidencias</w:t>
      </w:r>
    </w:p>
    <w:p>
      <w:pPr>
        <w:keepNext/>
        <w:spacing w:before="40" w:after="80" w:line="240" w:lineRule="auto"/>
        <w:jc w:val="center"/>
      </w:pPr>
      <w:r>
        <w:rPr>
          <w:rFonts w:ascii="Century Gothic" w:hAnsi="Century Gothic" w:cs="Century Gothic" w:eastAsia="Century Gothic"/>
          <w:b/>
          <w:i w:val="0"/>
          <w:sz w:val="20"/>
        </w:rPr>
        <w:t>Formulario 2.1. Registro de convenios para prácticas preprofesionales</w:t>
      </w:r>
    </w:p>
    <w:tbl>
      <w:tblPr>
        <w:tblW w:type="auto" w:w="0"/>
        <w:jc w:val="center"/>
        <w:tblLayout w:type="fixed"/>
        <w:tblLook w:firstColumn="1" w:firstRow="1" w:lastColumn="0" w:lastRow="0" w:noHBand="0" w:noVBand="1" w:val="04A0"/>
      </w:tblPr>
      <w:tblGrid>
        <w:gridCol w:w="510"/>
        <w:gridCol w:w="1928"/>
        <w:gridCol w:w="1304"/>
        <w:gridCol w:w="1587"/>
        <w:gridCol w:w="1020"/>
        <w:gridCol w:w="1587"/>
        <w:gridCol w:w="1134"/>
      </w:tblGrid>
      <w:tr>
        <w:trPr>
          <w:tblHeader/>
        </w:trPr>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N.º</w:t>
            </w:r>
          </w:p>
        </w:tc>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Entidad</w:t>
            </w:r>
          </w:p>
        </w:tc>
        <w:tc>
          <w:tcPr>
            <w:tcW w:type="dxa" w:w="130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Tipo de convenio</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Suscripción y vigencia</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Cupos por gestión</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Áreas de práctica</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Estado</w:t>
            </w:r>
          </w:p>
        </w:tc>
      </w:tr>
      <w:tr>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r>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r>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bl>
    <w:p>
      <w:pPr>
        <w:spacing w:before="40" w:after="200" w:line="240" w:lineRule="auto"/>
        <w:jc w:val="left"/>
      </w:pPr>
      <w:r>
        <w:rPr>
          <w:rFonts w:ascii="Century Gothic" w:hAnsi="Century Gothic" w:cs="Century Gothic" w:eastAsia="Century Gothic"/>
          <w:b w:val="0"/>
          <w:i w:val="0"/>
          <w:sz w:val="16"/>
        </w:rPr>
        <w:t>Responsable: Coordinación de Prácticas, con información del Decanato y de la Secretaría General.</w:t>
      </w:r>
    </w:p>
    <w:p>
      <w:pPr>
        <w:keepNext/>
        <w:spacing w:before="40" w:after="80" w:line="240" w:lineRule="auto"/>
        <w:jc w:val="center"/>
      </w:pPr>
      <w:r>
        <w:rPr>
          <w:rFonts w:ascii="Century Gothic" w:hAnsi="Century Gothic" w:cs="Century Gothic" w:eastAsia="Century Gothic"/>
          <w:b/>
          <w:i w:val="0"/>
          <w:sz w:val="20"/>
        </w:rPr>
        <w:t>Formulario 2.2. Verificación de equipos y software de los laboratorios</w:t>
      </w:r>
    </w:p>
    <w:tbl>
      <w:tblPr>
        <w:tblW w:type="auto" w:w="0"/>
        <w:jc w:val="center"/>
        <w:tblLayout w:type="fixed"/>
        <w:tblLook w:firstColumn="1" w:firstRow="1" w:lastColumn="0" w:lastRow="0" w:noHBand="0" w:noVBand="1" w:val="04A0"/>
      </w:tblPr>
      <w:tblGrid>
        <w:gridCol w:w="1474"/>
        <w:gridCol w:w="964"/>
        <w:gridCol w:w="1134"/>
        <w:gridCol w:w="1134"/>
        <w:gridCol w:w="1814"/>
        <w:gridCol w:w="1247"/>
        <w:gridCol w:w="1304"/>
      </w:tblGrid>
      <w:tr>
        <w:trPr>
          <w:tblHeader/>
        </w:trPr>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Laboratorio</w:t>
            </w:r>
          </w:p>
        </w:tc>
        <w:tc>
          <w:tcPr>
            <w:tcW w:type="dxa" w:w="96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Puestos</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Equipos operativos</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En mal estado</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Software instalado</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Fecha</w:t>
            </w:r>
          </w:p>
        </w:tc>
        <w:tc>
          <w:tcPr>
            <w:tcW w:type="dxa" w:w="130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Responsable</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Nava Morales</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Monoblock Central</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bl>
    <w:p>
      <w:pPr>
        <w:spacing w:before="40" w:after="200" w:line="240" w:lineRule="auto"/>
        <w:jc w:val="left"/>
      </w:pPr>
      <w:r>
        <w:rPr>
          <w:rFonts w:ascii="Century Gothic" w:hAnsi="Century Gothic" w:cs="Century Gothic" w:eastAsia="Century Gothic"/>
          <w:b w:val="0"/>
          <w:i w:val="0"/>
          <w:sz w:val="16"/>
        </w:rPr>
        <w:t>Responsable: Centro de Cómputo de la Carrera.</w:t>
      </w:r>
    </w:p>
    <w:p>
      <w:pPr>
        <w:keepNext/>
        <w:spacing w:before="120" w:after="200" w:line="240" w:lineRule="auto"/>
        <w:jc w:val="left"/>
      </w:pPr>
      <w:r>
        <w:rPr>
          <w:rFonts w:ascii="Century Gothic" w:hAnsi="Century Gothic" w:cs="Century Gothic" w:eastAsia="Century Gothic"/>
          <w:b/>
          <w:i w:val="0"/>
          <w:sz w:val="24"/>
        </w:rPr>
        <w:t>Decisiones pendientes de la Comisión</w:t>
      </w:r>
    </w:p>
    <w:p>
      <w:pPr>
        <w:numPr>
          <w:ilvl w:val="0"/>
          <w:numId w:val="903"/>
        </w:numPr>
        <w:spacing w:before="0" w:after="160" w:line="240" w:lineRule="auto"/>
        <w:jc w:val="both"/>
      </w:pPr>
      <w:r>
        <w:rPr>
          <w:rFonts w:ascii="Century Gothic" w:hAnsi="Century Gothic" w:cs="Century Gothic" w:eastAsia="Century Gothic"/>
          <w:b w:val="0"/>
          <w:i w:val="0"/>
          <w:sz w:val="20"/>
        </w:rPr>
        <w:t>Elegir la alternativa A o B del Cuadro 2.2 y la relación de practicantes por tutor.</w:t>
      </w:r>
    </w:p>
    <w:p>
      <w:pPr>
        <w:numPr>
          <w:ilvl w:val="0"/>
          <w:numId w:val="903"/>
        </w:numPr>
        <w:spacing w:before="0" w:after="160" w:line="240" w:lineRule="auto"/>
        <w:jc w:val="both"/>
      </w:pPr>
      <w:r>
        <w:rPr>
          <w:rFonts w:ascii="Century Gothic" w:hAnsi="Century Gothic" w:cs="Century Gothic" w:eastAsia="Century Gothic"/>
          <w:b w:val="0"/>
          <w:i w:val="0"/>
          <w:sz w:val="20"/>
        </w:rPr>
        <w:t>Identificar las asignaturas vinculadas a la práctica; CPA-408, CPA-504, CPA-507 y CPA-510 ya prevén trabajo con entidades reales.</w:t>
      </w:r>
    </w:p>
    <w:p>
      <w:pPr>
        <w:numPr>
          <w:ilvl w:val="0"/>
          <w:numId w:val="903"/>
        </w:numPr>
        <w:spacing w:before="0" w:after="160" w:line="240" w:lineRule="auto"/>
        <w:jc w:val="both"/>
      </w:pPr>
      <w:r>
        <w:rPr>
          <w:rFonts w:ascii="Century Gothic" w:hAnsi="Century Gothic" w:cs="Century Gothic" w:eastAsia="Century Gothic"/>
          <w:b w:val="0"/>
          <w:i w:val="0"/>
          <w:sz w:val="20"/>
        </w:rPr>
        <w:t>Elaborar el inventario de convenios vigentes con el Decanato y la Secretaría General (Formulario 2.1).</w:t>
      </w:r>
    </w:p>
    <w:p>
      <w:pPr>
        <w:numPr>
          <w:ilvl w:val="0"/>
          <w:numId w:val="903"/>
        </w:numPr>
        <w:spacing w:before="0" w:after="200" w:line="240" w:lineRule="auto"/>
        <w:jc w:val="both"/>
      </w:pPr>
      <w:r>
        <w:rPr>
          <w:rFonts w:ascii="Century Gothic" w:hAnsi="Century Gothic" w:cs="Century Gothic" w:eastAsia="Century Gothic"/>
          <w:b w:val="0"/>
          <w:i w:val="0"/>
          <w:sz w:val="20"/>
        </w:rPr>
        <w:t>Confirmar con el Centro de Cómputo si el Monoblock Central tiene 36 puestos o 39 computadoras (Formulario 2.2).</w:t>
      </w:r>
    </w:p>
    <w:p>
      <w:r>
        <w:br w:type="page"/>
      </w:r>
    </w:p>
    <w:p>
      <w:pPr>
        <w:keepNext/>
        <w:spacing w:before="160" w:after="200" w:line="240" w:lineRule="auto"/>
        <w:jc w:val="left"/>
      </w:pPr>
      <w:r>
        <w:rPr>
          <w:rFonts w:ascii="Century Gothic" w:hAnsi="Century Gothic" w:cs="Century Gothic" w:eastAsia="Century Gothic"/>
          <w:b/>
          <w:i w:val="0"/>
          <w:sz w:val="24"/>
        </w:rPr>
        <w:t>Recomendación 3. Sistema de evaluación de las 43 asignaturas</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val="0"/>
                <w:i w:val="0"/>
                <w:sz w:val="20"/>
              </w:rPr>
              <w:t>«Revisar y uniformar los sistemas de evaluación de las 43 asignaturas.»</w:t>
            </w:r>
          </w:p>
        </w:tc>
      </w:tr>
    </w:tbl>
    <w:p>
      <w:pPr>
        <w:spacing w:before="0" w:after="120" w:line="240" w:lineRule="auto"/>
        <w:jc w:val="left"/>
      </w:pPr>
    </w:p>
    <w:p>
      <w:pPr>
        <w:keepNext/>
        <w:spacing w:before="120" w:after="200" w:line="240" w:lineRule="auto"/>
        <w:jc w:val="left"/>
      </w:pPr>
      <w:r>
        <w:rPr>
          <w:rFonts w:ascii="Century Gothic" w:hAnsi="Century Gothic" w:cs="Century Gothic" w:eastAsia="Century Gothic"/>
          <w:b/>
          <w:i w:val="0"/>
          <w:sz w:val="24"/>
        </w:rPr>
        <w:t>Diagnóstico</w:t>
      </w:r>
    </w:p>
    <w:p>
      <w:pPr>
        <w:spacing w:before="0" w:after="200" w:line="240" w:lineRule="auto"/>
        <w:jc w:val="both"/>
      </w:pPr>
      <w:r>
        <w:rPr>
          <w:rFonts w:ascii="Century Gothic" w:hAnsi="Century Gothic" w:cs="Century Gothic" w:eastAsia="Century Gothic"/>
          <w:b w:val="0"/>
          <w:i w:val="0"/>
          <w:sz w:val="20"/>
        </w:rPr>
        <w:t>Se revisaron los apartados de estrategias de evaluación, criterios de calificación y niveles de logro de los 43 planes de asignatura del punto 4.5. El sistema de evaluación ya es común en sus elementos esenciales:</w:t>
      </w:r>
    </w:p>
    <w:p>
      <w:pPr>
        <w:keepNext/>
        <w:spacing w:before="40" w:after="80" w:line="240" w:lineRule="auto"/>
        <w:jc w:val="center"/>
      </w:pPr>
      <w:r>
        <w:rPr>
          <w:rFonts w:ascii="Century Gothic" w:hAnsi="Century Gothic" w:cs="Century Gothic" w:eastAsia="Century Gothic"/>
          <w:b/>
          <w:i w:val="0"/>
          <w:sz w:val="20"/>
        </w:rPr>
        <w:t>Cuadro 3.1. Elementos del sistema de evaluación verificados en los planes</w:t>
      </w:r>
    </w:p>
    <w:tbl>
      <w:tblPr>
        <w:tblW w:type="auto" w:w="0"/>
        <w:jc w:val="center"/>
        <w:tblLayout w:type="fixed"/>
        <w:tblLook w:firstColumn="1" w:firstRow="1" w:lastColumn="0" w:lastRow="0" w:noHBand="0" w:noVBand="1" w:val="04A0"/>
      </w:tblPr>
      <w:tblGrid>
        <w:gridCol w:w="3969"/>
        <w:gridCol w:w="1701"/>
        <w:gridCol w:w="3402"/>
      </w:tblGrid>
      <w:tr>
        <w:trPr>
          <w:tblHeader/>
        </w:trPr>
        <w:tc>
          <w:tcPr>
            <w:tcW w:type="dxa" w:w="39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Elemento</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Planes que lo cumplen</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Observación</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Escala de 1 a 100 puntos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43 de 43</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Concordante con el punto 4.7.4</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Rúbrica de tres niveles: Insuficiente (1–50), Suficiente (51–80) y Destacado (81–100)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43 de 43</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Mismos rangos en todos los planes</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Calificación por evidencias de producto con ponderaciones que suman 100 %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43 de 43</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Cada producto con su rúbrica</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Nota mínima de aprobación de 51 puntos declarada en el plan</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41 de 43</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No figura en CPA-504 ni en CPA-508</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Evaluación diagnóstica, formativa y sumativa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43 de 43</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Con redacción distinta: CPA-403 en una línea; CPA-408, CPA-507 y CPA-508 con otro formato</w:t>
            </w:r>
          </w:p>
        </w:tc>
      </w:tr>
      <w:tr>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Cuatro productos por elemento de competencia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42 de 43</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CPA-402 tiene 28 productos para 6 elementos</w:t>
            </w:r>
          </w:p>
        </w:tc>
      </w:tr>
    </w:tbl>
    <w:p>
      <w:pPr>
        <w:spacing w:before="40" w:after="200" w:line="240" w:lineRule="auto"/>
        <w:jc w:val="left"/>
      </w:pPr>
      <w:r>
        <w:rPr>
          <w:rFonts w:ascii="Century Gothic" w:hAnsi="Century Gothic" w:cs="Century Gothic" w:eastAsia="Century Gothic"/>
          <w:b w:val="0"/>
          <w:i w:val="0"/>
          <w:sz w:val="16"/>
        </w:rPr>
        <w:t>Fuente: elaboración propia con base en los 43 planes de asignatura del punto 4.5.</w:t>
      </w:r>
    </w:p>
    <w:p>
      <w:pPr>
        <w:spacing w:before="0" w:after="200" w:line="240" w:lineRule="auto"/>
        <w:jc w:val="both"/>
      </w:pPr>
      <w:r>
        <w:rPr>
          <w:rFonts w:ascii="Century Gothic" w:hAnsi="Century Gothic" w:cs="Century Gothic" w:eastAsia="Century Gothic"/>
          <w:b w:val="0"/>
          <w:i w:val="0"/>
          <w:sz w:val="20"/>
        </w:rPr>
        <w:t>Lo que varía entre asignaturas es la cantidad de elementos de competencia, de 2 a 10, y por tanto la cantidad de productos, de 8 a 40, y el peso de cada producto, de 1 % a 21 %. Distribución de los planes según su número de elementos: 2 elementos, 2 planes; 3 elementos, 4 planes; 4 elementos, 12 planes; 5 elementos, 9 planes; 6 elementos, 11 planes; 7 elementos, 2 planes; 8 elementos, 1 planes; 9 elementos, 1 planes; 10 elementos, 1 planes.</w:t>
      </w:r>
    </w:p>
    <w:p>
      <w:pPr>
        <w:keepNext/>
        <w:spacing w:before="120" w:after="200" w:line="240" w:lineRule="auto"/>
        <w:jc w:val="left"/>
      </w:pPr>
      <w:r>
        <w:rPr>
          <w:rFonts w:ascii="Century Gothic" w:hAnsi="Century Gothic" w:cs="Century Gothic" w:eastAsia="Century Gothic"/>
          <w:b/>
          <w:i w:val="0"/>
          <w:sz w:val="24"/>
        </w:rPr>
        <w:t>Contenido sugerido</w:t>
      </w:r>
    </w:p>
    <w:p>
      <w:pPr>
        <w:keepNext/>
        <w:spacing w:before="80" w:after="200" w:line="240" w:lineRule="auto"/>
        <w:jc w:val="left"/>
      </w:pPr>
      <w:r>
        <w:rPr>
          <w:rFonts w:ascii="Century Gothic" w:hAnsi="Century Gothic" w:cs="Century Gothic" w:eastAsia="Century Gothic"/>
          <w:b/>
          <w:i w:val="0"/>
          <w:sz w:val="22"/>
        </w:rPr>
        <w:t>Texto para el punto 4.7.4</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Sistema de evaluación común.</w:t>
            </w:r>
            <w:r>
              <w:rPr>
                <w:rFonts w:ascii="Century Gothic" w:hAnsi="Century Gothic" w:cs="Century Gothic" w:eastAsia="Century Gothic"/>
                <w:b w:val="0"/>
                <w:i w:val="0"/>
                <w:sz w:val="20"/>
              </w:rPr>
              <w:t xml:space="preserve"> Las 43 asignaturas aplican el mismo sistema de evaluación: escala de 1 a 100 puntos; calificación de cada elemento de competencia mediante sus evidencias de producto, cuyas ponderaciones suman 100 %; rúbrica de tres niveles de logro para cada producto, Insuficiente (1 a 50), Suficiente (51 a 80) y Destacado (81 a 100); evaluación diagnóstica, formativa y sumativa; y nota mínima de aprobación de 51 puntos. La cantidad de elementos de competencia y el peso de cada producto se definen en cada plan según la naturaleza de la asignatura, conforme al Cuadro de verificación de los planes.</w:t>
            </w:r>
          </w:p>
        </w:tc>
      </w:tr>
    </w:tbl>
    <w:p>
      <w:pPr>
        <w:spacing w:before="0" w:after="120" w:line="240" w:lineRule="auto"/>
        <w:jc w:val="left"/>
      </w:pPr>
    </w:p>
    <w:p>
      <w:pPr>
        <w:keepNext/>
        <w:spacing w:before="80" w:after="200" w:line="240" w:lineRule="auto"/>
        <w:jc w:val="left"/>
      </w:pPr>
      <w:r>
        <w:rPr>
          <w:rFonts w:ascii="Century Gothic" w:hAnsi="Century Gothic" w:cs="Century Gothic" w:eastAsia="Century Gothic"/>
          <w:b/>
          <w:i w:val="0"/>
          <w:sz w:val="22"/>
        </w:rPr>
        <w:t>Cuadro de verificación por asignatura</w:t>
      </w:r>
    </w:p>
    <w:p>
      <w:pPr>
        <w:keepNext/>
        <w:spacing w:before="40" w:after="80" w:line="240" w:lineRule="auto"/>
        <w:jc w:val="center"/>
      </w:pPr>
      <w:r>
        <w:rPr>
          <w:rFonts w:ascii="Century Gothic" w:hAnsi="Century Gothic" w:cs="Century Gothic" w:eastAsia="Century Gothic"/>
          <w:b/>
          <w:i w:val="0"/>
          <w:sz w:val="20"/>
        </w:rPr>
        <w:t>Cuadro 3.2. Verificación del sistema de evaluación por asignatura</w:t>
      </w:r>
    </w:p>
    <w:tbl>
      <w:tblPr>
        <w:tblW w:type="auto" w:w="0"/>
        <w:jc w:val="center"/>
        <w:tblLayout w:type="fixed"/>
        <w:tblLook w:firstColumn="1" w:firstRow="1" w:lastColumn="0" w:lastRow="0" w:noHBand="0" w:noVBand="1" w:val="04A0"/>
      </w:tblPr>
      <w:tblGrid>
        <w:gridCol w:w="1247"/>
        <w:gridCol w:w="1134"/>
        <w:gridCol w:w="1134"/>
        <w:gridCol w:w="1701"/>
        <w:gridCol w:w="1247"/>
        <w:gridCol w:w="1361"/>
        <w:gridCol w:w="1247"/>
      </w:tblGrid>
      <w:tr>
        <w:trPr>
          <w:tblHeader/>
        </w:trPr>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Sigla</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Elementos</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Productos</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Peso por producto</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Escala</w:t>
            </w:r>
          </w:p>
        </w:tc>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Rúbrica</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Nota mínima</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CPA-101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7 %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CPA-102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8 % a 21 %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ADM-101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8 % a 17 %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DER-101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 a 12 %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DER-102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 a 7 %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ECO-101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12 %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MAT-101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 a 10 %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MAT-102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8 %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1 % a 4 %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9</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1 % a 5 %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14 %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5 % a 12 %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ADM-201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5 % a 10 %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DER-201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7 %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ECO-201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 a 7 %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MAT-201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5 %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8 %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5 % a 9 %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10 %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10 %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8 %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ADM-301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 a 5 %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ECO-301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11 %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MAT-301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6 %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4 %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14 %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6 % a 10 %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8 %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1 % a 11 %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8 %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CPA-407</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1 % a 9 %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CPA-408</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10 %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MAT-401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5 % a 5 %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 a 10 %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10 %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6 % a 12 %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6 %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Agregar</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8 %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7 % a 9 %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CPA-507</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 a 9 %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CPA-508</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 a 9 %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Agregar</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CPA-509</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4 % a 7 %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CPA-510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2 % a 12 %</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 niveles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51</w:t>
            </w:r>
          </w:p>
        </w:tc>
      </w:tr>
    </w:tbl>
    <w:p>
      <w:pPr>
        <w:spacing w:before="40" w:after="200" w:line="240" w:lineRule="auto"/>
        <w:jc w:val="left"/>
      </w:pPr>
      <w:r>
        <w:rPr>
          <w:rFonts w:ascii="Century Gothic" w:hAnsi="Century Gothic" w:cs="Century Gothic" w:eastAsia="Century Gothic"/>
          <w:b w:val="0"/>
          <w:i w:val="0"/>
          <w:sz w:val="16"/>
        </w:rPr>
        <w:t>Fuente: elaboración propia con base en los planes de asignatura del punto 4.5.</w:t>
      </w:r>
    </w:p>
    <w:p>
      <w:pPr>
        <w:keepNext/>
        <w:spacing w:before="80" w:after="200" w:line="240" w:lineRule="auto"/>
        <w:jc w:val="left"/>
      </w:pPr>
      <w:r>
        <w:rPr>
          <w:rFonts w:ascii="Century Gothic" w:hAnsi="Century Gothic" w:cs="Century Gothic" w:eastAsia="Century Gothic"/>
          <w:b/>
          <w:i w:val="0"/>
          <w:sz w:val="22"/>
        </w:rPr>
        <w:t>Ajustes puntuales</w:t>
      </w:r>
    </w:p>
    <w:p>
      <w:pPr>
        <w:numPr>
          <w:ilvl w:val="0"/>
          <w:numId w:val="904"/>
        </w:numPr>
        <w:spacing w:before="0" w:after="160" w:line="240" w:lineRule="auto"/>
        <w:jc w:val="both"/>
      </w:pPr>
      <w:r>
        <w:rPr>
          <w:rFonts w:ascii="Century Gothic" w:hAnsi="Century Gothic" w:cs="Century Gothic" w:eastAsia="Century Gothic"/>
          <w:b w:val="0"/>
          <w:i w:val="0"/>
          <w:sz w:val="20"/>
        </w:rPr>
        <w:t>Agregar «Nota mínima de aprobación: 51/100» en los criterios de calificación de CPA-504 Auditoría Gubernamental y CPA-508 Auditoría Forense y Prevención de Delitos Económicos.</w:t>
      </w:r>
    </w:p>
    <w:p>
      <w:pPr>
        <w:numPr>
          <w:ilvl w:val="0"/>
          <w:numId w:val="904"/>
        </w:numPr>
        <w:spacing w:before="0" w:after="200" w:line="240" w:lineRule="auto"/>
        <w:jc w:val="both"/>
      </w:pPr>
      <w:r>
        <w:rPr>
          <w:rFonts w:ascii="Century Gothic" w:hAnsi="Century Gothic" w:cs="Century Gothic" w:eastAsia="Century Gothic"/>
          <w:b w:val="0"/>
          <w:i w:val="0"/>
          <w:sz w:val="20"/>
        </w:rPr>
        <w:t>Opcional: usar en todos los planes la misma redacción del apartado «Criterios de calificación», tomando como modelo el de la mayoría de los planes. Es un cambio de forma, no de contenido.</w:t>
      </w:r>
    </w:p>
    <w:p>
      <w:pPr>
        <w:keepNext/>
        <w:spacing w:before="120" w:after="200" w:line="240" w:lineRule="auto"/>
        <w:jc w:val="left"/>
      </w:pPr>
      <w:r>
        <w:rPr>
          <w:rFonts w:ascii="Century Gothic" w:hAnsi="Century Gothic" w:cs="Century Gothic" w:eastAsia="Century Gothic"/>
          <w:b/>
          <w:i w:val="0"/>
          <w:sz w:val="24"/>
        </w:rPr>
        <w:t>Sugerencias para la Comisión</w:t>
      </w:r>
    </w:p>
    <w:p>
      <w:pPr>
        <w:spacing w:before="0" w:after="200" w:line="240" w:lineRule="auto"/>
        <w:jc w:val="both"/>
      </w:pPr>
      <w:r>
        <w:rPr>
          <w:rFonts w:ascii="Century Gothic" w:hAnsi="Century Gothic" w:cs="Century Gothic" w:eastAsia="Century Gothic"/>
          <w:b w:val="0"/>
          <w:i w:val="0"/>
          <w:sz w:val="20"/>
        </w:rPr>
        <w:t>Los planes de asignatura se elaboraron con los docentes de cada asignatura. Por ello, las siguientes medidas quedan como sugerencia para la complementación curricular anual del Artículo 7 de la Resolución HCU N.º 032/2025 y no se aplican en esta etapa:</w:t>
      </w:r>
    </w:p>
    <w:p>
      <w:pPr>
        <w:numPr>
          <w:ilvl w:val="0"/>
          <w:numId w:val="905"/>
        </w:numPr>
        <w:spacing w:before="0" w:after="160" w:line="240" w:lineRule="auto"/>
        <w:jc w:val="both"/>
      </w:pPr>
      <w:r>
        <w:rPr>
          <w:rFonts w:ascii="Century Gothic" w:hAnsi="Century Gothic" w:cs="Century Gothic" w:eastAsia="Century Gothic"/>
          <w:b w:val="0"/>
          <w:i w:val="0"/>
          <w:sz w:val="20"/>
        </w:rPr>
        <w:t>Establecer un rango de elementos de competencia según los créditos de la asignatura, por ejemplo, un número menor para las de 4 y 5 créditos y uno mayor para las de 7 a 9 créditos.</w:t>
      </w:r>
    </w:p>
    <w:p>
      <w:pPr>
        <w:numPr>
          <w:ilvl w:val="0"/>
          <w:numId w:val="905"/>
        </w:numPr>
        <w:spacing w:before="0" w:after="160" w:line="240" w:lineRule="auto"/>
        <w:jc w:val="both"/>
      </w:pPr>
      <w:r>
        <w:rPr>
          <w:rFonts w:ascii="Century Gothic" w:hAnsi="Century Gothic" w:cs="Century Gothic" w:eastAsia="Century Gothic"/>
          <w:b w:val="0"/>
          <w:i w:val="0"/>
          <w:sz w:val="20"/>
        </w:rPr>
        <w:t>Fijar un peso mínimo y máximo por producto para evitar productos con menos del 2 % de la calificación.</w:t>
      </w:r>
    </w:p>
    <w:p>
      <w:pPr>
        <w:numPr>
          <w:ilvl w:val="0"/>
          <w:numId w:val="905"/>
        </w:numPr>
        <w:spacing w:before="0" w:after="200" w:line="240" w:lineRule="auto"/>
        <w:jc w:val="both"/>
      </w:pPr>
      <w:r>
        <w:rPr>
          <w:rFonts w:ascii="Century Gothic" w:hAnsi="Century Gothic" w:cs="Century Gothic" w:eastAsia="Century Gothic"/>
          <w:b w:val="0"/>
          <w:i w:val="0"/>
          <w:sz w:val="20"/>
        </w:rPr>
        <w:t>Revisar el plan de CPA-402, que tiene más productos que los cuatro por elemento del resto de los planes.</w:t>
      </w:r>
    </w:p>
    <w:p>
      <w:r>
        <w:br w:type="page"/>
      </w:r>
    </w:p>
    <w:p>
      <w:pPr>
        <w:keepNext/>
        <w:spacing w:before="160" w:after="200" w:line="240" w:lineRule="auto"/>
        <w:jc w:val="left"/>
      </w:pPr>
      <w:r>
        <w:rPr>
          <w:rFonts w:ascii="Century Gothic" w:hAnsi="Century Gothic" w:cs="Century Gothic" w:eastAsia="Century Gothic"/>
          <w:b/>
          <w:i w:val="0"/>
          <w:sz w:val="24"/>
        </w:rPr>
        <w:t>Recomendación 4. Clasificación de las asignaturas y unidades horarias</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val="0"/>
                <w:i w:val="0"/>
                <w:sz w:val="20"/>
              </w:rPr>
              <w:t>«Precisar la clasificación de las asignaturas y la consistencia de las unidades horarias.»</w:t>
            </w:r>
          </w:p>
        </w:tc>
      </w:tr>
    </w:tbl>
    <w:p>
      <w:pPr>
        <w:spacing w:before="0" w:after="120" w:line="240" w:lineRule="auto"/>
        <w:jc w:val="left"/>
      </w:pPr>
    </w:p>
    <w:p>
      <w:pPr>
        <w:keepNext/>
        <w:spacing w:before="120" w:after="200" w:line="240" w:lineRule="auto"/>
        <w:jc w:val="left"/>
      </w:pPr>
      <w:r>
        <w:rPr>
          <w:rFonts w:ascii="Century Gothic" w:hAnsi="Century Gothic" w:cs="Century Gothic" w:eastAsia="Century Gothic"/>
          <w:b/>
          <w:i w:val="0"/>
          <w:sz w:val="24"/>
        </w:rPr>
        <w:t>Verificación de consistencia</w:t>
      </w:r>
    </w:p>
    <w:p>
      <w:pPr>
        <w:keepNext/>
        <w:spacing w:before="40" w:after="80" w:line="240" w:lineRule="auto"/>
        <w:jc w:val="center"/>
      </w:pPr>
      <w:r>
        <w:rPr>
          <w:rFonts w:ascii="Century Gothic" w:hAnsi="Century Gothic" w:cs="Century Gothic" w:eastAsia="Century Gothic"/>
          <w:b/>
          <w:i w:val="0"/>
          <w:sz w:val="20"/>
        </w:rPr>
        <w:t>Cuadro 4.1. Verificaciones realizadas</w:t>
      </w:r>
    </w:p>
    <w:tbl>
      <w:tblPr>
        <w:tblW w:type="auto" w:w="0"/>
        <w:jc w:val="center"/>
        <w:tblLayout w:type="fixed"/>
        <w:tblLook w:firstColumn="1" w:firstRow="1" w:lastColumn="0" w:lastRow="0" w:noHBand="0" w:noVBand="1" w:val="04A0"/>
      </w:tblPr>
      <w:tblGrid>
        <w:gridCol w:w="5102"/>
        <w:gridCol w:w="3969"/>
      </w:tblGrid>
      <w:tr>
        <w:trPr>
          <w:tblHeader/>
        </w:trPr>
        <w:tc>
          <w:tcPr>
            <w:tcW w:type="dxa" w:w="5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Verificación</w:t>
            </w:r>
          </w:p>
        </w:tc>
        <w:tc>
          <w:tcPr>
            <w:tcW w:type="dxa" w:w="39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Resultado</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Horas presenciales, créditos, horas totales, prerrequisitos y nombres de los 43 planes frente a la malla del punto 4.4.3</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Sin diferencias</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Suma HP + HAA + HTG + HIP + HE igual al total de horas en cada plan</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43 de 43</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Horas presenciales por área de los planes frente al Cuadro 1 del punto 4.4.1</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Coinciden: Información Financiera 2.400, Aseguramiento 1.600, Matemáticas 720, Administración 480, Economía 480 y Derecho 320; total 6.000</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Créditos y horas de trabajo por año</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60 créditos y 1.800 horas en cada año; 300 créditos y 9.000 horas en total</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Horas de investigación y práctica (HIP) frente al punto 8.4</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Coinciden: 874 horas</w:t>
            </w:r>
          </w:p>
        </w:tc>
      </w:tr>
    </w:tbl>
    <w:p>
      <w:pPr>
        <w:spacing w:before="40" w:after="200" w:line="240" w:lineRule="auto"/>
        <w:jc w:val="left"/>
      </w:pPr>
      <w:r>
        <w:rPr>
          <w:rFonts w:ascii="Century Gothic" w:hAnsi="Century Gothic" w:cs="Century Gothic" w:eastAsia="Century Gothic"/>
          <w:b w:val="0"/>
          <w:i w:val="0"/>
          <w:sz w:val="16"/>
        </w:rPr>
        <w:t>Fuente: elaboración propia con base en los puntos 4.4.1, 4.4.3, 4.5 y 8.4.</w:t>
      </w:r>
    </w:p>
    <w:p>
      <w:pPr>
        <w:keepNext/>
        <w:spacing w:before="120" w:after="200" w:line="240" w:lineRule="auto"/>
        <w:jc w:val="left"/>
      </w:pPr>
      <w:r>
        <w:rPr>
          <w:rFonts w:ascii="Century Gothic" w:hAnsi="Century Gothic" w:cs="Century Gothic" w:eastAsia="Century Gothic"/>
          <w:b/>
          <w:i w:val="0"/>
          <w:sz w:val="24"/>
        </w:rPr>
        <w:t>Inconsistencias encontradas</w:t>
      </w:r>
    </w:p>
    <w:p>
      <w:pPr>
        <w:numPr>
          <w:ilvl w:val="0"/>
          <w:numId w:val="906"/>
        </w:numPr>
        <w:spacing w:before="0" w:after="160" w:line="240" w:lineRule="auto"/>
        <w:jc w:val="both"/>
      </w:pPr>
      <w:r>
        <w:rPr>
          <w:rFonts w:ascii="Century Gothic" w:hAnsi="Century Gothic" w:cs="Century Gothic" w:eastAsia="Century Gothic"/>
          <w:b/>
          <w:i w:val="0"/>
          <w:sz w:val="20"/>
        </w:rPr>
        <w:t>Suma de unidades distintas.</w:t>
      </w:r>
      <w:r>
        <w:rPr>
          <w:rFonts w:ascii="Century Gothic" w:hAnsi="Century Gothic" w:cs="Century Gothic" w:eastAsia="Century Gothic"/>
          <w:b w:val="0"/>
          <w:i w:val="0"/>
          <w:sz w:val="20"/>
        </w:rPr>
        <w:t xml:space="preserve"> Las horas presenciales son horas académicas de 45 minutos (punto 8.2), mientras que las horas no presenciales son horas cronológicas (punto 8.4). Los puntos 4.4.4, 8.3 y 8.5 las suman como «horas de trabajo» (6.000 + 3.000 = 9.000) para obtener los 300 créditos.</w:t>
      </w:r>
    </w:p>
    <w:p>
      <w:pPr>
        <w:numPr>
          <w:ilvl w:val="0"/>
          <w:numId w:val="906"/>
        </w:numPr>
        <w:spacing w:before="0" w:after="160" w:line="240" w:lineRule="auto"/>
        <w:jc w:val="both"/>
      </w:pPr>
      <w:r>
        <w:rPr>
          <w:rFonts w:ascii="Century Gothic" w:hAnsi="Century Gothic" w:cs="Century Gothic" w:eastAsia="Century Gothic"/>
          <w:b/>
          <w:i w:val="0"/>
          <w:sz w:val="20"/>
        </w:rPr>
        <w:t>Mismas horas presenciales, distintos créditos.</w:t>
      </w:r>
      <w:r>
        <w:rPr>
          <w:rFonts w:ascii="Century Gothic" w:hAnsi="Century Gothic" w:cs="Century Gothic" w:eastAsia="Century Gothic"/>
          <w:b w:val="0"/>
          <w:i w:val="0"/>
          <w:sz w:val="20"/>
        </w:rPr>
        <w:t xml:space="preserve"> Una asignatura de 160 horas presenciales tiene 9 créditos en primer año, 8 en segundo y quinto, y 7 u 8 en tercero y cuarto. El punto 4.4.4 lo explica por el trabajo no presencial, pero no indica el criterio que diferencia a las asignaturas de un mismo año.</w:t>
      </w:r>
    </w:p>
    <w:p>
      <w:pPr>
        <w:numPr>
          <w:ilvl w:val="0"/>
          <w:numId w:val="906"/>
        </w:numPr>
        <w:spacing w:before="0" w:after="160" w:line="240" w:lineRule="auto"/>
        <w:jc w:val="both"/>
      </w:pPr>
      <w:r>
        <w:rPr>
          <w:rFonts w:ascii="Century Gothic" w:hAnsi="Century Gothic" w:cs="Century Gothic" w:eastAsia="Century Gothic"/>
          <w:b/>
          <w:i w:val="0"/>
          <w:sz w:val="20"/>
        </w:rPr>
        <w:t>Distribución de las horas no presenciales sin criterio común.</w:t>
      </w:r>
      <w:r>
        <w:rPr>
          <w:rFonts w:ascii="Century Gothic" w:hAnsi="Century Gothic" w:cs="Century Gothic" w:eastAsia="Century Gothic"/>
          <w:b w:val="0"/>
          <w:i w:val="0"/>
          <w:sz w:val="20"/>
        </w:rPr>
        <w:t xml:space="preserve"> Por ejemplo, CPA-101 asigna 65 horas a aprendizaje autónomo y 2 a evaluación, y CPA-402 asigna 6 y 25.</w:t>
      </w:r>
    </w:p>
    <w:p>
      <w:pPr>
        <w:numPr>
          <w:ilvl w:val="0"/>
          <w:numId w:val="906"/>
        </w:numPr>
        <w:spacing w:before="0" w:after="160" w:line="240" w:lineRule="auto"/>
        <w:jc w:val="both"/>
      </w:pPr>
      <w:r>
        <w:rPr>
          <w:rFonts w:ascii="Century Gothic" w:hAnsi="Century Gothic" w:cs="Century Gothic" w:eastAsia="Century Gothic"/>
          <w:b/>
          <w:i w:val="0"/>
          <w:sz w:val="20"/>
        </w:rPr>
        <w:t>Nombre del área de aseguramiento.</w:t>
      </w:r>
      <w:r>
        <w:rPr>
          <w:rFonts w:ascii="Century Gothic" w:hAnsi="Century Gothic" w:cs="Century Gothic" w:eastAsia="Century Gothic"/>
          <w:b w:val="0"/>
          <w:i w:val="0"/>
          <w:sz w:val="20"/>
        </w:rPr>
        <w:t xml:space="preserve"> El punto 4.4.1 dice «Servicios de Aseguramiento», los planes dicen «Aseguramiento» y el punto 13.1.3 dice «Aseguramiento y No Aseguramiento».</w:t>
      </w:r>
    </w:p>
    <w:p>
      <w:pPr>
        <w:numPr>
          <w:ilvl w:val="0"/>
          <w:numId w:val="906"/>
        </w:numPr>
        <w:spacing w:before="0" w:after="160" w:line="240" w:lineRule="auto"/>
        <w:jc w:val="both"/>
      </w:pPr>
      <w:r>
        <w:rPr>
          <w:rFonts w:ascii="Century Gothic" w:hAnsi="Century Gothic" w:cs="Century Gothic" w:eastAsia="Century Gothic"/>
          <w:b/>
          <w:i w:val="0"/>
          <w:sz w:val="20"/>
        </w:rPr>
        <w:t>Campo «Nivel/Área» de los planes.</w:t>
      </w:r>
      <w:r>
        <w:rPr>
          <w:rFonts w:ascii="Century Gothic" w:hAnsi="Century Gothic" w:cs="Century Gothic" w:eastAsia="Century Gothic"/>
          <w:b w:val="0"/>
          <w:i w:val="0"/>
          <w:sz w:val="20"/>
        </w:rPr>
        <w:t xml:space="preserve"> Contiene solo el área.</w:t>
      </w:r>
    </w:p>
    <w:p>
      <w:pPr>
        <w:numPr>
          <w:ilvl w:val="0"/>
          <w:numId w:val="906"/>
        </w:numPr>
        <w:spacing w:before="0" w:after="200" w:line="240" w:lineRule="auto"/>
        <w:jc w:val="both"/>
      </w:pPr>
      <w:r>
        <w:rPr>
          <w:rFonts w:ascii="Century Gothic" w:hAnsi="Century Gothic" w:cs="Century Gothic" w:eastAsia="Century Gothic"/>
          <w:b/>
          <w:i w:val="0"/>
          <w:sz w:val="20"/>
        </w:rPr>
        <w:t>Remisión del punto 8.5.</w:t>
      </w:r>
      <w:r>
        <w:rPr>
          <w:rFonts w:ascii="Century Gothic" w:hAnsi="Century Gothic" w:cs="Century Gothic" w:eastAsia="Century Gothic"/>
          <w:b w:val="0"/>
          <w:i w:val="0"/>
          <w:sz w:val="20"/>
        </w:rPr>
        <w:t xml:space="preserve"> Indica que el sistema de créditos se desarrolla en el punto 4.3.5, que no trata los créditos.</w:t>
      </w:r>
    </w:p>
    <w:p>
      <w:pPr>
        <w:keepNext/>
        <w:spacing w:before="120" w:after="200" w:line="240" w:lineRule="auto"/>
        <w:jc w:val="left"/>
      </w:pPr>
      <w:r>
        <w:rPr>
          <w:rFonts w:ascii="Century Gothic" w:hAnsi="Century Gothic" w:cs="Century Gothic" w:eastAsia="Century Gothic"/>
          <w:b/>
          <w:i w:val="0"/>
          <w:sz w:val="24"/>
        </w:rPr>
        <w:t>Contenido sugerido</w:t>
      </w:r>
    </w:p>
    <w:p>
      <w:pPr>
        <w:keepNext/>
        <w:spacing w:before="80" w:after="200" w:line="240" w:lineRule="auto"/>
        <w:jc w:val="left"/>
      </w:pPr>
      <w:r>
        <w:rPr>
          <w:rFonts w:ascii="Century Gothic" w:hAnsi="Century Gothic" w:cs="Century Gothic" w:eastAsia="Century Gothic"/>
          <w:b/>
          <w:i w:val="0"/>
          <w:sz w:val="22"/>
        </w:rPr>
        <w:t>Clasificación consolidada de las asignaturas</w:t>
      </w:r>
    </w:p>
    <w:p>
      <w:pPr>
        <w:keepNext/>
        <w:spacing w:before="40" w:after="80" w:line="240" w:lineRule="auto"/>
        <w:jc w:val="center"/>
      </w:pPr>
      <w:r>
        <w:rPr>
          <w:rFonts w:ascii="Century Gothic" w:hAnsi="Century Gothic" w:cs="Century Gothic" w:eastAsia="Century Gothic"/>
          <w:b/>
          <w:i w:val="0"/>
          <w:sz w:val="20"/>
        </w:rPr>
        <w:t>Cuadro 4.2. Clasificación de las asignaturas del Rediseño Curricular</w:t>
      </w:r>
    </w:p>
    <w:tbl>
      <w:tblPr>
        <w:tblW w:type="auto" w:w="0"/>
        <w:jc w:val="center"/>
        <w:tblLayout w:type="fixed"/>
        <w:tblLook w:firstColumn="1" w:firstRow="1" w:lastColumn="0" w:lastRow="0" w:noHBand="0" w:noVBand="1" w:val="04A0"/>
      </w:tblPr>
      <w:tblGrid>
        <w:gridCol w:w="907"/>
        <w:gridCol w:w="2438"/>
        <w:gridCol w:w="624"/>
        <w:gridCol w:w="1191"/>
        <w:gridCol w:w="1531"/>
        <w:gridCol w:w="1361"/>
        <w:gridCol w:w="510"/>
        <w:gridCol w:w="737"/>
      </w:tblGrid>
      <w:tr>
        <w:trPr>
          <w:tblHeader/>
        </w:trPr>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Sigla</w:t>
            </w:r>
          </w:p>
        </w:tc>
        <w:tc>
          <w:tcPr>
            <w:tcW w:type="dxa" w:w="243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Asignatura</w:t>
            </w:r>
          </w:p>
        </w:tc>
        <w:tc>
          <w:tcPr>
            <w:tcW w:type="dxa" w:w="62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Año</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Ciclo</w:t>
            </w:r>
          </w:p>
        </w:tc>
        <w:tc>
          <w:tcPr>
            <w:tcW w:type="dxa" w:w="153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Área</w:t>
            </w:r>
          </w:p>
        </w:tc>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HP</w:t>
            </w:r>
          </w:p>
        </w:tc>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Créd.</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CPA-101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Básica</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9</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CPA-102</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Tecnologías de Información y Herramientas Digitales</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ADM-101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Administración General</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Administración</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9</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DER-101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Derecho Comercial y Corporativo</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Derecho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DER-102</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Derecho Laboral y Seguridad Social</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Derecho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ECO-101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Microeconomía</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Economía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9</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MAT-101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Cálculo</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Matemáticas</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9</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MAT-102</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Matemáticas Financieras</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Matemáticas</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9</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Intermedia</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CPA-202</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de Sociedades</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CPA-203</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de Tributos</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CPA-204</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Métodos y Técnicas de Investigación</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ADM-201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Administración de Sistemas Gerenciales</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Administración</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DER-201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Derecho Tributario y Legislación Aduanera</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Derecho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ECO-201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Macroeconomía</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Economía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MAT-201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Álgebra Lineal y Modelación para Negocios</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Básico</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Matemáticas</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Internacional</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CPA-302</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de Costos y Gestión</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CPA-303</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de Bancos y Entidades Financieras</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CPA-304</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Presupuesto y Contabilidad Gubernamental</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CPA-305</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Sistemas Contables ERP y Análisis de Datos</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ADM-301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Desarrollo Organizacional y Comportamiento Organizacional</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Administración</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ECO-301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Preparación y Evaluación de Proyectos</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Economía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MAT-301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Estadística</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Matemáticas</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Minera y Petrolera</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CPA-402</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Agrícola y Ganadera</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CPA-403</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Contabilidad de Seguros: Privado y Público</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CPA-404</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Diseño e Implantación de Sistemas de Contabilidad</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CPA-405</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Finanzas Corporativas</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Información Financiera</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CPA-406</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Ética e Independencia Profesional</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CPA-407</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Auditoría Financiera</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CPA-408</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Auditoría Interna, Control Interno, Gestión de Riesgos y Gobierno Corporativo</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MAT-401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Matemáticas Actuariales y Técnicas Financieras</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Profesional</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Matemáticas</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Auditoría Operativa</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CPA-502</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Gabinete de Auditoría Financiera</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CPA-503</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Auditoría Tributaria</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CPA-504</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Auditoría Gubernamental</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CPA-505</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Auditoría Digital, Ciberseguridad y Tecnologías Emergentes</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CPA-506</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Reportes y Aseguramiento de Sostenibilidad y Auditoría Ambiental</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CPA-507</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Auditoría de Entidades Sin Fines de Lucro – Proyectos Privados y Públicos</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CPA-508</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Auditoría Forense y Prevención de Delitos Económicos</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CPA-509</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Auditoría de Entidades Financieras y Servicios Relacionados</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CPA-510</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Taller de Grado</w:t>
            </w:r>
          </w:p>
        </w:tc>
        <w:tc>
          <w:tcPr>
            <w:tcW w:type="dxa" w:w="6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5.º</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Integración</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Servicios de Aseguramiento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Teórico-práctica</w:t>
            </w:r>
          </w:p>
        </w:tc>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bl>
    <w:p>
      <w:pPr>
        <w:spacing w:before="40" w:after="200" w:line="240" w:lineRule="auto"/>
        <w:jc w:val="left"/>
      </w:pPr>
      <w:r>
        <w:rPr>
          <w:rFonts w:ascii="Century Gothic" w:hAnsi="Century Gothic" w:cs="Century Gothic" w:eastAsia="Century Gothic"/>
          <w:b w:val="0"/>
          <w:i w:val="0"/>
          <w:sz w:val="16"/>
        </w:rPr>
        <w:t>Fuente: elaboración con base en los puntos 4.3.5 (ciclos), 4.4.1 (áreas), 4.4.3 (malla) y 5.3.4 (asignaturas teóricas habilitadas para mesa de examen). Las 43 asignaturas son obligatorias. HP: horas académicas presenciales por año.</w:t>
      </w:r>
    </w:p>
    <w:p>
      <w:pPr>
        <w:spacing w:before="0" w:after="200" w:line="240" w:lineRule="auto"/>
        <w:jc w:val="both"/>
      </w:pPr>
      <w:r>
        <w:rPr>
          <w:rFonts w:ascii="Century Gothic" w:hAnsi="Century Gothic" w:cs="Century Gothic" w:eastAsia="Century Gothic"/>
          <w:b w:val="0"/>
          <w:i w:val="0"/>
          <w:sz w:val="20"/>
        </w:rPr>
        <w:t>El tipo «Teórica» corresponde a las seis asignaturas que el punto 5.3.4 habilita para mesa de examen; las demás se clasifican como teórico-prácticas. La Comisión debe confirmar este criterio.</w:t>
      </w:r>
    </w:p>
    <w:p>
      <w:pPr>
        <w:keepNext/>
        <w:spacing w:before="80" w:after="200" w:line="240" w:lineRule="auto"/>
        <w:jc w:val="left"/>
      </w:pPr>
      <w:r>
        <w:rPr>
          <w:rFonts w:ascii="Century Gothic" w:hAnsi="Century Gothic" w:cs="Century Gothic" w:eastAsia="Century Gothic"/>
          <w:b/>
          <w:i w:val="0"/>
          <w:sz w:val="22"/>
        </w:rPr>
        <w:t>Opciones para las unidades horarias</w:t>
      </w:r>
    </w:p>
    <w:p>
      <w:pPr>
        <w:keepNext/>
        <w:spacing w:before="40" w:after="80" w:line="240" w:lineRule="auto"/>
        <w:jc w:val="center"/>
      </w:pPr>
      <w:r>
        <w:rPr>
          <w:rFonts w:ascii="Century Gothic" w:hAnsi="Century Gothic" w:cs="Century Gothic" w:eastAsia="Century Gothic"/>
          <w:b/>
          <w:i w:val="0"/>
          <w:sz w:val="20"/>
        </w:rPr>
        <w:t>Cuadro 4.3. Opciones para expresar las unidades horarias</w:t>
      </w:r>
    </w:p>
    <w:tbl>
      <w:tblPr>
        <w:tblW w:type="auto" w:w="0"/>
        <w:jc w:val="center"/>
        <w:tblLayout w:type="fixed"/>
        <w:tblLook w:firstColumn="1" w:firstRow="1" w:lastColumn="0" w:lastRow="0" w:noHBand="0" w:noVBand="1" w:val="04A0"/>
      </w:tblPr>
      <w:tblGrid>
        <w:gridCol w:w="1984"/>
        <w:gridCol w:w="4252"/>
        <w:gridCol w:w="2835"/>
      </w:tblGrid>
      <w:tr>
        <w:trPr>
          <w:tblHeader/>
        </w:trPr>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Opción</w:t>
            </w:r>
          </w:p>
        </w:tc>
        <w:tc>
          <w:tcPr>
            <w:tcW w:type="dxa" w:w="425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Qué cambia</w:t>
            </w:r>
          </w:p>
        </w:tc>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Efecto</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 Declarar la equivalencia</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Se mantiene el cálculo y se agrega en 4.4.4 y 8.5 que, para el cómputo de créditos, la hora académica presencial cuenta como una hora de trabajo, conforme a la Resolución HCU N.º 351/2021, si esa norma lo permite</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No cambia la malla. Requiere confirmar el texto de la Resolución HCU N.º 351/2021</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B. Convertir a horas cronológicas</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Las 6.000 horas académicas se expresan como 4.500 cronológicas antes de sumarlas a las 3.000 no presenciales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Cambian las horas de trabajo (7.500) y los créditos (250), o deben aumentar las horas no presenciales</w:t>
            </w:r>
          </w:p>
        </w:tc>
      </w:tr>
      <w:tr>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 Explicar la diferencia de créditos</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Se agrega en 4.4.4 el criterio que asigna 7, 8 o 9 créditos a asignaturas con 160 horas presenciales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No cambia la malla; hace verificable la asignación</w:t>
            </w:r>
          </w:p>
        </w:tc>
      </w:tr>
    </w:tbl>
    <w:p>
      <w:pPr>
        <w:spacing w:before="40" w:after="200" w:line="240" w:lineRule="auto"/>
        <w:jc w:val="left"/>
      </w:pPr>
      <w:r>
        <w:rPr>
          <w:rFonts w:ascii="Century Gothic" w:hAnsi="Century Gothic" w:cs="Century Gothic" w:eastAsia="Century Gothic"/>
          <w:b w:val="0"/>
          <w:i w:val="0"/>
          <w:sz w:val="16"/>
        </w:rPr>
        <w:t>Fuente: elaboración propia con base en los puntos 4.4.4, 8.2, 8.3 y 8.5.</w:t>
      </w:r>
    </w:p>
    <w:p>
      <w:pPr>
        <w:keepNext/>
        <w:spacing w:before="80" w:after="200" w:line="240" w:lineRule="auto"/>
        <w:jc w:val="left"/>
      </w:pPr>
      <w:r>
        <w:rPr>
          <w:rFonts w:ascii="Century Gothic" w:hAnsi="Century Gothic" w:cs="Century Gothic" w:eastAsia="Century Gothic"/>
          <w:b/>
          <w:i w:val="0"/>
          <w:sz w:val="22"/>
        </w:rPr>
        <w:t>Ajustes sugeridos</w:t>
      </w:r>
    </w:p>
    <w:p>
      <w:pPr>
        <w:numPr>
          <w:ilvl w:val="0"/>
          <w:numId w:val="907"/>
        </w:numPr>
        <w:spacing w:before="0" w:after="160" w:line="240" w:lineRule="auto"/>
        <w:jc w:val="both"/>
      </w:pPr>
      <w:r>
        <w:rPr>
          <w:rFonts w:ascii="Century Gothic" w:hAnsi="Century Gothic" w:cs="Century Gothic" w:eastAsia="Century Gothic"/>
          <w:b w:val="0"/>
          <w:i w:val="0"/>
          <w:sz w:val="20"/>
        </w:rPr>
        <w:t>Unificar el nombre del área como «Servicios de Aseguramiento» en el campo de área de los planes de asignatura y en el punto 13.1.3.</w:t>
      </w:r>
    </w:p>
    <w:p>
      <w:pPr>
        <w:numPr>
          <w:ilvl w:val="0"/>
          <w:numId w:val="907"/>
        </w:numPr>
        <w:spacing w:before="0" w:after="160" w:line="240" w:lineRule="auto"/>
        <w:jc w:val="both"/>
      </w:pPr>
      <w:r>
        <w:rPr>
          <w:rFonts w:ascii="Century Gothic" w:hAnsi="Century Gothic" w:cs="Century Gothic" w:eastAsia="Century Gothic"/>
          <w:b w:val="0"/>
          <w:i w:val="0"/>
          <w:sz w:val="20"/>
        </w:rPr>
        <w:t>Renombrar el campo «Nivel/Área» de los planes como «Área» o agregar el año y el ciclo.</w:t>
      </w:r>
    </w:p>
    <w:p>
      <w:pPr>
        <w:numPr>
          <w:ilvl w:val="0"/>
          <w:numId w:val="907"/>
        </w:numPr>
        <w:spacing w:before="0" w:after="160" w:line="240" w:lineRule="auto"/>
        <w:jc w:val="both"/>
      </w:pPr>
      <w:r>
        <w:rPr>
          <w:rFonts w:ascii="Century Gothic" w:hAnsi="Century Gothic" w:cs="Century Gothic" w:eastAsia="Century Gothic"/>
          <w:b w:val="0"/>
          <w:i w:val="0"/>
          <w:sz w:val="20"/>
        </w:rPr>
        <w:t>Corregir la remisión del punto 8.5: el sistema de créditos se desarrolla en los puntos 4.4.4 y 8.5.</w:t>
      </w:r>
    </w:p>
    <w:p>
      <w:pPr>
        <w:numPr>
          <w:ilvl w:val="0"/>
          <w:numId w:val="907"/>
        </w:numPr>
        <w:spacing w:before="0" w:after="200" w:line="240" w:lineRule="auto"/>
        <w:jc w:val="both"/>
      </w:pPr>
      <w:r>
        <w:rPr>
          <w:rFonts w:ascii="Century Gothic" w:hAnsi="Century Gothic" w:cs="Century Gothic" w:eastAsia="Century Gothic"/>
          <w:b w:val="0"/>
          <w:i w:val="0"/>
          <w:sz w:val="20"/>
        </w:rPr>
        <w:t>Incidencia ajena a esta recomendación: el punto 4.3.5 indica 1.101 estudiantes trabajadores (24,8 %), y el punto 2.1, 1.589 (48,9 %). Conviene unificar la cifra con la del Diagnóstico 2026, que registra 1.589.</w:t>
      </w:r>
    </w:p>
    <w:p>
      <w:pPr>
        <w:keepNext/>
        <w:spacing w:before="120" w:after="200" w:line="240" w:lineRule="auto"/>
        <w:jc w:val="left"/>
      </w:pPr>
      <w:r>
        <w:rPr>
          <w:rFonts w:ascii="Century Gothic" w:hAnsi="Century Gothic" w:cs="Century Gothic" w:eastAsia="Century Gothic"/>
          <w:b/>
          <w:i w:val="0"/>
          <w:sz w:val="24"/>
        </w:rPr>
        <w:t>Decisión pendiente</w:t>
      </w:r>
    </w:p>
    <w:p>
      <w:pPr>
        <w:spacing w:before="0" w:after="200" w:line="240" w:lineRule="auto"/>
        <w:jc w:val="both"/>
      </w:pPr>
      <w:r>
        <w:rPr>
          <w:rFonts w:ascii="Century Gothic" w:hAnsi="Century Gothic" w:cs="Century Gothic" w:eastAsia="Century Gothic"/>
          <w:b w:val="0"/>
          <w:i w:val="0"/>
          <w:sz w:val="20"/>
        </w:rPr>
        <w:t>La Comisión debe elegir entre las opciones A, B y C del Cuadro 4.3. La opción A requiere el texto de la Resolución HCU N.º 351/2021, que no forma parte de la base documental disponible.</w:t>
      </w:r>
    </w:p>
    <w:p>
      <w:r>
        <w:br w:type="page"/>
      </w:r>
    </w:p>
    <w:p>
      <w:pPr>
        <w:keepNext/>
        <w:spacing w:before="160" w:after="200" w:line="240" w:lineRule="auto"/>
        <w:jc w:val="left"/>
      </w:pPr>
      <w:r>
        <w:rPr>
          <w:rFonts w:ascii="Century Gothic" w:hAnsi="Century Gothic" w:cs="Century Gothic" w:eastAsia="Century Gothic"/>
          <w:b/>
          <w:i w:val="0"/>
          <w:sz w:val="24"/>
        </w:rPr>
        <w:t>Recomendación 5. Dimensiones transversales del perfil profesional</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val="0"/>
                <w:i w:val="0"/>
                <w:sz w:val="20"/>
              </w:rPr>
              <w:t>«Fortalecer la incorporación verificable de las dimensiones transversales que correspondan al perfil profesional.»</w:t>
            </w:r>
          </w:p>
        </w:tc>
      </w:tr>
    </w:tbl>
    <w:p>
      <w:pPr>
        <w:spacing w:before="0" w:after="120" w:line="240" w:lineRule="auto"/>
        <w:jc w:val="left"/>
      </w:pPr>
    </w:p>
    <w:p>
      <w:pPr>
        <w:keepNext/>
        <w:spacing w:before="120" w:after="200" w:line="240" w:lineRule="auto"/>
        <w:jc w:val="left"/>
      </w:pPr>
      <w:r>
        <w:rPr>
          <w:rFonts w:ascii="Century Gothic" w:hAnsi="Century Gothic" w:cs="Century Gothic" w:eastAsia="Century Gothic"/>
          <w:b/>
          <w:i w:val="0"/>
          <w:sz w:val="24"/>
        </w:rPr>
        <w:t>Diagnóstico</w:t>
      </w:r>
    </w:p>
    <w:p>
      <w:pPr>
        <w:spacing w:before="0" w:after="200" w:line="240" w:lineRule="auto"/>
        <w:jc w:val="both"/>
      </w:pPr>
      <w:r>
        <w:rPr>
          <w:rFonts w:ascii="Century Gothic" w:hAnsi="Century Gothic" w:cs="Century Gothic" w:eastAsia="Century Gothic"/>
          <w:b w:val="0"/>
          <w:i w:val="0"/>
          <w:sz w:val="20"/>
        </w:rPr>
        <w:t>El perfil profesional del punto 4.2.7 agrupa sus atributos en saber conocer, saber hacer y saber ser y convivir, y el Cuadro 2 del punto 4.4.1 declara cinco ejes transversales: ética profesional e interés público; transformación digital, analítica de datos e inteligencia artificial; sostenibilidad; investigación formativa e interacción social; e idioma inglés como requisito de egreso. Ese cuadro asocia cada eje a asignaturas específicas, pero no muestra cómo se verifica su presencia en el resto de los planes.</w:t>
      </w:r>
    </w:p>
    <w:p>
      <w:pPr>
        <w:spacing w:before="0" w:after="200" w:line="240" w:lineRule="auto"/>
        <w:jc w:val="both"/>
      </w:pPr>
      <w:r>
        <w:rPr>
          <w:rFonts w:ascii="Century Gothic" w:hAnsi="Century Gothic" w:cs="Century Gothic" w:eastAsia="Century Gothic"/>
          <w:b w:val="0"/>
          <w:i w:val="0"/>
          <w:sz w:val="20"/>
        </w:rPr>
        <w:t>Para comprobarlo se revisaron los 43 planes de asignatura. El eje digital es verificable de manera formal, porque cada contenido de los planes lleva la marca «T» de manejo de tecnología e inteligencia artificial; la investigación formativa también lo es, porque todos los planes asignan horas de investigación y práctica. Para los demás ejes se identificaron menciones en el texto de los planes:</w:t>
      </w:r>
    </w:p>
    <w:p>
      <w:pPr>
        <w:keepNext/>
        <w:spacing w:before="40" w:after="80" w:line="240" w:lineRule="auto"/>
        <w:jc w:val="center"/>
      </w:pPr>
      <w:r>
        <w:rPr>
          <w:rFonts w:ascii="Century Gothic" w:hAnsi="Century Gothic" w:cs="Century Gothic" w:eastAsia="Century Gothic"/>
          <w:b/>
          <w:i w:val="0"/>
          <w:sz w:val="20"/>
        </w:rPr>
        <w:t>Cuadro 5.1. Presencia de los ejes transversales en los 43 planes</w:t>
      </w:r>
    </w:p>
    <w:tbl>
      <w:tblPr>
        <w:tblW w:type="auto" w:w="0"/>
        <w:jc w:val="center"/>
        <w:tblLayout w:type="fixed"/>
        <w:tblLook w:firstColumn="1" w:firstRow="1" w:lastColumn="0" w:lastRow="0" w:noHBand="0" w:noVBand="1" w:val="04A0"/>
      </w:tblPr>
      <w:tblGrid>
        <w:gridCol w:w="3118"/>
        <w:gridCol w:w="3402"/>
        <w:gridCol w:w="2551"/>
      </w:tblGrid>
      <w:tr>
        <w:trPr>
          <w:tblHeader/>
        </w:trPr>
        <w:tc>
          <w:tcPr>
            <w:tcW w:type="dxa" w:w="31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Eje</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Forma de verificación</w:t>
            </w:r>
          </w:p>
        </w:tc>
        <w:tc>
          <w:tcPr>
            <w:tcW w:type="dxa" w:w="255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Planes con evidencia</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Transformación digital, analítica de datos e inteligencia artificial</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Contenidos marcados con «T»</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41 de 43 (sin marca: ECO-101 y DER-201)</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Investigación formativa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Horas de investigación y práctica (HIP)</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43 de 43; 874 horas (punto 8.4)</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Ética profesional e interés público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Menciones a ética profesional, Código del IESBA, independencia o integridad</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35 de 43</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Sostenibilidad</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Menciones a sostenibilidad, NIIF S1 y S2, ISSA 5000 o ESG</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23 de 43</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Idioma inglés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Menciones a inglés técnico o terminología en inglés</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20 de 43; se acredita como requisito de egreso B2</w:t>
            </w:r>
          </w:p>
        </w:tc>
      </w:tr>
    </w:tbl>
    <w:p>
      <w:pPr>
        <w:spacing w:before="40" w:after="200" w:line="240" w:lineRule="auto"/>
        <w:jc w:val="left"/>
      </w:pPr>
      <w:r>
        <w:rPr>
          <w:rFonts w:ascii="Century Gothic" w:hAnsi="Century Gothic" w:cs="Century Gothic" w:eastAsia="Century Gothic"/>
          <w:b w:val="0"/>
          <w:i w:val="0"/>
          <w:sz w:val="16"/>
        </w:rPr>
        <w:t>Fuente: elaboración propia con base en los planes de asignatura del punto 4.5. Las menciones se identificaron por búsqueda en el texto y deben validarse con cada docente.</w:t>
      </w:r>
    </w:p>
    <w:p>
      <w:pPr>
        <w:keepNext/>
        <w:spacing w:before="120" w:after="200" w:line="240" w:lineRule="auto"/>
        <w:jc w:val="left"/>
      </w:pPr>
      <w:r>
        <w:rPr>
          <w:rFonts w:ascii="Century Gothic" w:hAnsi="Century Gothic" w:cs="Century Gothic" w:eastAsia="Century Gothic"/>
          <w:b/>
          <w:i w:val="0"/>
          <w:sz w:val="24"/>
        </w:rPr>
        <w:t>Contenido sugerido</w:t>
      </w:r>
    </w:p>
    <w:p>
      <w:pPr>
        <w:keepNext/>
        <w:spacing w:before="80" w:after="200" w:line="240" w:lineRule="auto"/>
        <w:jc w:val="left"/>
      </w:pPr>
      <w:r>
        <w:rPr>
          <w:rFonts w:ascii="Century Gothic" w:hAnsi="Century Gothic" w:cs="Century Gothic" w:eastAsia="Century Gothic"/>
          <w:b/>
          <w:i w:val="0"/>
          <w:sz w:val="22"/>
        </w:rPr>
        <w:t>Matriz de ejes transversales por asignatura</w:t>
      </w:r>
    </w:p>
    <w:p>
      <w:pPr>
        <w:keepNext/>
        <w:spacing w:before="40" w:after="80" w:line="240" w:lineRule="auto"/>
        <w:jc w:val="center"/>
      </w:pPr>
      <w:r>
        <w:rPr>
          <w:rFonts w:ascii="Century Gothic" w:hAnsi="Century Gothic" w:cs="Century Gothic" w:eastAsia="Century Gothic"/>
          <w:b/>
          <w:i w:val="0"/>
          <w:sz w:val="20"/>
        </w:rPr>
        <w:t>Cuadro 5.2. Evidencia de los ejes transversales por asignatura</w:t>
      </w:r>
    </w:p>
    <w:tbl>
      <w:tblPr>
        <w:tblW w:type="auto" w:w="0"/>
        <w:jc w:val="center"/>
        <w:tblLayout w:type="fixed"/>
        <w:tblLook w:firstColumn="1" w:firstRow="1" w:lastColumn="0" w:lastRow="0" w:noHBand="0" w:noVBand="1" w:val="04A0"/>
      </w:tblPr>
      <w:tblGrid>
        <w:gridCol w:w="1361"/>
        <w:gridCol w:w="1587"/>
        <w:gridCol w:w="1134"/>
        <w:gridCol w:w="1701"/>
        <w:gridCol w:w="1701"/>
        <w:gridCol w:w="1587"/>
      </w:tblGrid>
      <w:tr>
        <w:trPr>
          <w:tblHeader/>
        </w:trPr>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Sigla</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Contenidos con «T»</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HIP</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Menciones de ética</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Menciones de sostenibilidad</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Menciones de inglés</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CPA-101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CPA-102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17</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ADM-101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27</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9</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DER-101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DER-102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ECO-101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MAT-101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MAT-102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CPA-203</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CPA-204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ADM-201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DER-201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ECO-201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MAT-201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15</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CPA-303</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CPA-305</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ADM-301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ECO-301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MAT-301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13</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CPA-403</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CPA-405</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17</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15</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CPA-407</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CPA-408</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MAT-401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13</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CPA-503</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CPA-505</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18</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67</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CPA-507</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7</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CPA-508</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CPA-509</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CPA-510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bl>
    <w:p>
      <w:pPr>
        <w:spacing w:before="40" w:after="200" w:line="240" w:lineRule="auto"/>
        <w:jc w:val="left"/>
      </w:pPr>
      <w:r>
        <w:rPr>
          <w:rFonts w:ascii="Century Gothic" w:hAnsi="Century Gothic" w:cs="Century Gothic" w:eastAsia="Century Gothic"/>
          <w:b w:val="0"/>
          <w:i w:val="0"/>
          <w:sz w:val="16"/>
        </w:rPr>
        <w:t>Fuente: elaboración propia con base en los planes de asignatura del punto 4.5. HIP: horas de investigación y práctica. Un valor de 0 indica que no se encontró la mención, no que el eje esté ausente.</w:t>
      </w:r>
    </w:p>
    <w:p>
      <w:pPr>
        <w:keepNext/>
        <w:spacing w:before="80" w:after="200" w:line="240" w:lineRule="auto"/>
        <w:jc w:val="left"/>
      </w:pPr>
      <w:r>
        <w:rPr>
          <w:rFonts w:ascii="Century Gothic" w:hAnsi="Century Gothic" w:cs="Century Gothic" w:eastAsia="Century Gothic"/>
          <w:b/>
          <w:i w:val="0"/>
          <w:sz w:val="22"/>
        </w:rPr>
        <w:t>Indicadores para el punto 12.1</w:t>
      </w:r>
    </w:p>
    <w:p>
      <w:pPr>
        <w:numPr>
          <w:ilvl w:val="0"/>
          <w:numId w:val="908"/>
        </w:numPr>
        <w:spacing w:before="0" w:after="160" w:line="240" w:lineRule="auto"/>
        <w:jc w:val="both"/>
      </w:pPr>
      <w:r>
        <w:rPr>
          <w:rFonts w:ascii="Century Gothic" w:hAnsi="Century Gothic" w:cs="Century Gothic" w:eastAsia="Century Gothic"/>
          <w:b w:val="0"/>
          <w:i w:val="0"/>
          <w:sz w:val="20"/>
        </w:rPr>
        <w:t>Porcentaje de asignaturas que evalúan al menos un producto vinculado a cada eje transversal.</w:t>
      </w:r>
    </w:p>
    <w:p>
      <w:pPr>
        <w:numPr>
          <w:ilvl w:val="0"/>
          <w:numId w:val="908"/>
        </w:numPr>
        <w:spacing w:before="0" w:after="160" w:line="240" w:lineRule="auto"/>
        <w:jc w:val="both"/>
      </w:pPr>
      <w:r>
        <w:rPr>
          <w:rFonts w:ascii="Century Gothic" w:hAnsi="Century Gothic" w:cs="Century Gothic" w:eastAsia="Century Gothic"/>
          <w:b w:val="0"/>
          <w:i w:val="0"/>
          <w:sz w:val="20"/>
        </w:rPr>
        <w:t>Horas de investigación y práctica ejecutadas frente a las planificadas.</w:t>
      </w:r>
    </w:p>
    <w:p>
      <w:pPr>
        <w:numPr>
          <w:ilvl w:val="0"/>
          <w:numId w:val="908"/>
        </w:numPr>
        <w:spacing w:before="0" w:after="200" w:line="240" w:lineRule="auto"/>
        <w:jc w:val="both"/>
      </w:pPr>
      <w:r>
        <w:rPr>
          <w:rFonts w:ascii="Century Gothic" w:hAnsi="Century Gothic" w:cs="Century Gothic" w:eastAsia="Century Gothic"/>
          <w:b w:val="0"/>
          <w:i w:val="0"/>
          <w:sz w:val="20"/>
        </w:rPr>
        <w:t>Porcentaje de titulados que acreditan el inglés nivel B2.</w:t>
      </w:r>
    </w:p>
    <w:p>
      <w:pPr>
        <w:keepNext/>
        <w:spacing w:before="120" w:after="200" w:line="240" w:lineRule="auto"/>
        <w:jc w:val="left"/>
      </w:pPr>
      <w:r>
        <w:rPr>
          <w:rFonts w:ascii="Century Gothic" w:hAnsi="Century Gothic" w:cs="Century Gothic" w:eastAsia="Century Gothic"/>
          <w:b/>
          <w:i w:val="0"/>
          <w:sz w:val="24"/>
        </w:rPr>
        <w:t>Sugerencias y notas para la Comisión</w:t>
      </w:r>
    </w:p>
    <w:p>
      <w:pPr>
        <w:numPr>
          <w:ilvl w:val="0"/>
          <w:numId w:val="909"/>
        </w:numPr>
        <w:spacing w:before="0" w:after="160" w:line="240" w:lineRule="auto"/>
        <w:jc w:val="both"/>
      </w:pPr>
      <w:r>
        <w:rPr>
          <w:rFonts w:ascii="Century Gothic" w:hAnsi="Century Gothic" w:cs="Century Gothic" w:eastAsia="Century Gothic"/>
          <w:b/>
          <w:i w:val="0"/>
          <w:sz w:val="20"/>
        </w:rPr>
        <w:t>Registro de los ejes en cada plan.</w:t>
      </w:r>
      <w:r>
        <w:rPr>
          <w:rFonts w:ascii="Century Gothic" w:hAnsi="Century Gothic" w:cs="Century Gothic" w:eastAsia="Century Gothic"/>
          <w:b w:val="0"/>
          <w:i w:val="0"/>
          <w:sz w:val="20"/>
        </w:rPr>
        <w:t xml:space="preserve"> Se sugiere que cada plan indique en su identificación los ejes que desarrolla y el producto o criterio en que los evalúa. Como los planes se trabajaron con los docentes, queda como sugerencia para la complementación curricular anual.</w:t>
      </w:r>
    </w:p>
    <w:p>
      <w:pPr>
        <w:numPr>
          <w:ilvl w:val="0"/>
          <w:numId w:val="909"/>
        </w:numPr>
        <w:spacing w:before="0" w:after="160" w:line="240" w:lineRule="auto"/>
        <w:jc w:val="both"/>
      </w:pPr>
      <w:r>
        <w:rPr>
          <w:rFonts w:ascii="Century Gothic" w:hAnsi="Century Gothic" w:cs="Century Gothic" w:eastAsia="Century Gothic"/>
          <w:b/>
          <w:i w:val="0"/>
          <w:sz w:val="20"/>
        </w:rPr>
        <w:t>Validación de la matriz.</w:t>
      </w:r>
      <w:r>
        <w:rPr>
          <w:rFonts w:ascii="Century Gothic" w:hAnsi="Century Gothic" w:cs="Century Gothic" w:eastAsia="Century Gothic"/>
          <w:b w:val="0"/>
          <w:i w:val="0"/>
          <w:sz w:val="20"/>
        </w:rPr>
        <w:t xml:space="preserve"> El Cuadro 5.2 se obtuvo por búsqueda en el texto; cada docente debe confirmar o corregir los valores de su asignatura.</w:t>
      </w:r>
    </w:p>
    <w:p>
      <w:pPr>
        <w:numPr>
          <w:ilvl w:val="0"/>
          <w:numId w:val="909"/>
        </w:numPr>
        <w:spacing w:before="0" w:after="200" w:line="240" w:lineRule="auto"/>
        <w:jc w:val="both"/>
      </w:pPr>
      <w:r>
        <w:rPr>
          <w:rFonts w:ascii="Century Gothic" w:hAnsi="Century Gothic" w:cs="Century Gothic" w:eastAsia="Century Gothic"/>
          <w:b/>
          <w:i w:val="0"/>
          <w:sz w:val="20"/>
        </w:rPr>
        <w:t>Interacción social.</w:t>
      </w:r>
      <w:r>
        <w:rPr>
          <w:rFonts w:ascii="Century Gothic" w:hAnsi="Century Gothic" w:cs="Century Gothic" w:eastAsia="Century Gothic"/>
          <w:b w:val="0"/>
          <w:i w:val="0"/>
          <w:sz w:val="20"/>
        </w:rPr>
        <w:t xml:space="preserve"> La Carrera no desarrolla la interacción social como requisito de egreso ni como componente de asignatura. Sin embargo, el eje «Investigación formativa e interacción social» del punto 4.4.1 menciona «proyectos de interacción social» en CPA-204 y CPA-510. Conviene que la Comisión revise esa redacción para que sea coherente con el punto 7. Además, el Artículo 12 de la Resolución HCU N.º 032/2025 señala que «los estudiantes deberán cumplir cierta cantidad de horas de interacción social (demostrable)», por lo que la Comisión debe decidir cómo responder a ese criterio.</w:t>
      </w:r>
    </w:p>
    <w:p>
      <w:r>
        <w:br w:type="page"/>
      </w:r>
    </w:p>
    <w:p>
      <w:pPr>
        <w:keepNext/>
        <w:spacing w:before="160" w:after="200" w:line="240" w:lineRule="auto"/>
        <w:jc w:val="left"/>
      </w:pPr>
      <w:r>
        <w:rPr>
          <w:rFonts w:ascii="Century Gothic" w:hAnsi="Century Gothic" w:cs="Century Gothic" w:eastAsia="Century Gothic"/>
          <w:b/>
          <w:i w:val="0"/>
          <w:sz w:val="24"/>
        </w:rPr>
        <w:t>Documentos no disponibles</w:t>
      </w:r>
    </w:p>
    <w:p>
      <w:pPr>
        <w:spacing w:before="0" w:after="200" w:line="240" w:lineRule="auto"/>
        <w:jc w:val="both"/>
      </w:pPr>
      <w:r>
        <w:rPr>
          <w:rFonts w:ascii="Century Gothic" w:hAnsi="Century Gothic" w:cs="Century Gothic" w:eastAsia="Century Gothic"/>
          <w:b w:val="0"/>
          <w:i w:val="0"/>
          <w:sz w:val="20"/>
        </w:rPr>
        <w:t>Los siguientes documentos permitirían precisar la atención de las recomendaciones; no forman parte de la base documental de la Comisión:</w:t>
      </w:r>
    </w:p>
    <w:p>
      <w:pPr>
        <w:numPr>
          <w:ilvl w:val="0"/>
          <w:numId w:val="910"/>
        </w:numPr>
        <w:spacing w:before="0" w:after="160" w:line="240" w:lineRule="auto"/>
        <w:jc w:val="both"/>
      </w:pPr>
      <w:r>
        <w:rPr>
          <w:rFonts w:ascii="Century Gothic" w:hAnsi="Century Gothic" w:cs="Century Gothic" w:eastAsia="Century Gothic"/>
          <w:b w:val="0"/>
          <w:i w:val="0"/>
          <w:sz w:val="20"/>
        </w:rPr>
        <w:t>Informe técnico completo de Secretaría Académica, con el detalle de cada observación.</w:t>
      </w:r>
    </w:p>
    <w:p>
      <w:pPr>
        <w:numPr>
          <w:ilvl w:val="0"/>
          <w:numId w:val="910"/>
        </w:numPr>
        <w:spacing w:before="0" w:after="160" w:line="240" w:lineRule="auto"/>
        <w:jc w:val="both"/>
      </w:pPr>
      <w:r>
        <w:rPr>
          <w:rFonts w:ascii="Century Gothic" w:hAnsi="Century Gothic" w:cs="Century Gothic" w:eastAsia="Century Gothic"/>
          <w:b w:val="0"/>
          <w:i w:val="0"/>
          <w:sz w:val="20"/>
        </w:rPr>
        <w:t>Reglamento General de Evaluación Estudiantil de la UMSA, al que remite el Artículo 25 del Reglamento del Régimen Académico Estudiantil.</w:t>
      </w:r>
    </w:p>
    <w:p>
      <w:pPr>
        <w:numPr>
          <w:ilvl w:val="0"/>
          <w:numId w:val="910"/>
        </w:numPr>
        <w:spacing w:before="0" w:after="160" w:line="240" w:lineRule="auto"/>
        <w:jc w:val="both"/>
      </w:pPr>
      <w:r>
        <w:rPr>
          <w:rFonts w:ascii="Century Gothic" w:hAnsi="Century Gothic" w:cs="Century Gothic" w:eastAsia="Century Gothic"/>
          <w:b w:val="0"/>
          <w:i w:val="0"/>
          <w:sz w:val="20"/>
        </w:rPr>
        <w:t>Formato de Secretaría Académica para el cuadro de asignación de cargas horarias.</w:t>
      </w:r>
    </w:p>
    <w:p>
      <w:pPr>
        <w:numPr>
          <w:ilvl w:val="0"/>
          <w:numId w:val="910"/>
        </w:numPr>
        <w:spacing w:before="0" w:after="160" w:line="240" w:lineRule="auto"/>
        <w:jc w:val="both"/>
      </w:pPr>
      <w:r>
        <w:rPr>
          <w:rFonts w:ascii="Century Gothic" w:hAnsi="Century Gothic" w:cs="Century Gothic" w:eastAsia="Century Gothic"/>
          <w:b w:val="0"/>
          <w:i w:val="0"/>
          <w:sz w:val="20"/>
        </w:rPr>
        <w:t>Texto de la Resolución HCU N.º 351/2021, del Sistema de Créditos Académicos de la UMSA.</w:t>
      </w:r>
    </w:p>
    <w:p>
      <w:pPr>
        <w:numPr>
          <w:ilvl w:val="0"/>
          <w:numId w:val="910"/>
        </w:numPr>
        <w:spacing w:before="0" w:after="200" w:line="240" w:lineRule="auto"/>
        <w:jc w:val="both"/>
      </w:pPr>
      <w:r>
        <w:rPr>
          <w:rFonts w:ascii="Century Gothic" w:hAnsi="Century Gothic" w:cs="Century Gothic" w:eastAsia="Century Gothic"/>
          <w:b w:val="0"/>
          <w:i w:val="0"/>
          <w:sz w:val="20"/>
        </w:rPr>
        <w:t>Inventario de convenios vigentes de la Carrera y de la Facultad.</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 w:numId="903">
    <w:abstractNumId w:val="900"/>
    <w:lvlOverride w:ilvl="0">
      <w:startOverride w:val="1"/>
    </w:lvlOverride>
  </w:num>
  <w:num w:numId="904">
    <w:abstractNumId w:val="900"/>
    <w:lvlOverride w:ilvl="0">
      <w:startOverride w:val="1"/>
    </w:lvlOverride>
  </w:num>
  <w:num w:numId="905">
    <w:abstractNumId w:val="900"/>
    <w:lvlOverride w:ilvl="0">
      <w:startOverride w:val="1"/>
    </w:lvlOverride>
  </w:num>
  <w:num w:numId="906">
    <w:abstractNumId w:val="900"/>
    <w:lvlOverride w:ilvl="0">
      <w:startOverride w:val="1"/>
    </w:lvlOverride>
  </w:num>
  <w:num w:numId="907">
    <w:abstractNumId w:val="900"/>
    <w:lvlOverride w:ilvl="0">
      <w:startOverride w:val="1"/>
    </w:lvlOverride>
  </w:num>
  <w:num w:numId="908">
    <w:abstractNumId w:val="900"/>
    <w:lvlOverride w:ilvl="0">
      <w:startOverride w:val="1"/>
    </w:lvlOverride>
  </w:num>
  <w:num w:numId="909">
    <w:abstractNumId w:val="900"/>
    <w:lvlOverride w:ilvl="0">
      <w:startOverride w:val="1"/>
    </w:lvlOverride>
  </w:num>
  <w:num w:numId="910">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