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Justificación de la Innovación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Justificación de la innovación curricular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Análisis de las políticas y normas (internacionales, nacionales y universitarias)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3.2.1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Antecedentes y Justificación Normativa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El proceso de innovación curricular de la Licenciatura en Contaduría Pública de la Universidad Mayor de San Andrés (UMSA) responde al cumplimiento riguroso del marco institucional y normativo universitario vigente. El Plan de Estudios en actual aplicación fue aprobado mediante la </w:t>
      </w:r>
      <w:r>
        <w:rPr>
          <w:rFonts w:ascii="Century Gothic" w:hAnsi="Century Gothic" w:cs="Century Gothic" w:eastAsia="Century Gothic"/>
          <w:b/>
          <w:i w:val="0"/>
          <w:sz w:val="20"/>
        </w:rPr>
        <w:t>Resolución del Honorable Consejo Universitario Nº 025/2013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(fundamentada en las Resoluciones HCC Nº 162/2012 y HCF Nº 929/2012), acumulando más de doce años de aplicación continua. Este periodo excede el límite de siete años establecido en el Artículo 5 del </w:t>
      </w:r>
      <w:r>
        <w:rPr>
          <w:rFonts w:ascii="Century Gothic" w:hAnsi="Century Gothic" w:cs="Century Gothic" w:eastAsia="Century Gothic"/>
          <w:b/>
          <w:i w:val="0"/>
          <w:sz w:val="20"/>
        </w:rPr>
        <w:t>Reglamento de Innovación Curricular de la UMSA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, aprobado mediante la </w:t>
      </w:r>
      <w:r>
        <w:rPr>
          <w:rFonts w:ascii="Century Gothic" w:hAnsi="Century Gothic" w:cs="Century Gothic" w:eastAsia="Century Gothic"/>
          <w:b/>
          <w:i w:val="0"/>
          <w:sz w:val="20"/>
        </w:rPr>
        <w:t>Resolución HCU Nº 032/2025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el 12 de febrero de 2025.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procedimiento normativo de actualización académica fue formalmente activado y ejecutado durante la gestión 2026 mediante las siguientes resoluciones de cogobierno facultativo: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Aprobación del Diagnóstico y Declaratoria de Necesidad: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Mediante la </w:t>
      </w:r>
      <w:r>
        <w:rPr>
          <w:rFonts w:ascii="Century Gothic" w:hAnsi="Century Gothic" w:cs="Century Gothic" w:eastAsia="Century Gothic"/>
          <w:b/>
          <w:i w:val="0"/>
          <w:sz w:val="20"/>
        </w:rPr>
        <w:t>Resolución HCF Nº 1057/2026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del 25 de agosto de 2026, el Honorable Consejo Facultativo aprobó en su Artículo Primero el “Diagnóstico de la Carrera de Contaduría Pública” como documento base de análisis, y en su Artículo Segundo la “Declaratoria de Necesidad de Rediseño Curricular de la Carrera de Contaduría Pública”, en estricta concordancia con los Artículos 5º y 15º del Reglamento de Innovación Curricular (Resolución HCU Nº 032/2025).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Convocatoria a Elección Paritaria: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misma Resolución HCF Nº 1057/2026 autorizó en su Artículo Tercero la realización de la Asamblea Docente-Estudiantil, llevada a cabo el 8 de septiembre de 2026, con el objeto de elegir paritariamente a los miembros de la Comisión Académica.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Conformación Oficial de la Comisión Académica: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Mediante la </w:t>
      </w:r>
      <w:r>
        <w:rPr>
          <w:rFonts w:ascii="Century Gothic" w:hAnsi="Century Gothic" w:cs="Century Gothic" w:eastAsia="Century Gothic"/>
          <w:b/>
          <w:i w:val="0"/>
          <w:sz w:val="20"/>
        </w:rPr>
        <w:t>Resolución HCF Nº 1126/2026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del 10 de septiembre de 2026, el Honorable Consejo Facultativo aprobó la conformación de la </w:t>
      </w:r>
      <w:r>
        <w:rPr>
          <w:rFonts w:ascii="Century Gothic" w:hAnsi="Century Gothic" w:cs="Century Gothic" w:eastAsia="Century Gothic"/>
          <w:b/>
          <w:i w:val="0"/>
          <w:sz w:val="20"/>
        </w:rPr>
        <w:t>“Comisión Académica para el Rediseño Curricular de la Carrera de Contaduría Pública”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, integrada por el Director de Carrera, cinco representantes docentes y cinco representantes estudiantiles, disponiendo el inicio formal del desarrollo del proyecto curricular.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A nivel del Sistema de la Universidad Boliviana (SUB), la propuesta se fundamenta en las determinaciones de la </w:t>
      </w:r>
      <w:r>
        <w:rPr>
          <w:rFonts w:ascii="Century Gothic" w:hAnsi="Century Gothic" w:cs="Century Gothic" w:eastAsia="Century Gothic"/>
          <w:b/>
          <w:i w:val="0"/>
          <w:sz w:val="20"/>
        </w:rPr>
        <w:t>III-XIII Reunión Sectorial de las Carreras de Contaduría Pública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(Trinidad, Beni, mayo de 2024), cuyas resoluciones fueron ratificadas con carácter vinculante y de cumplimiento obligatorio para todo el sistema universitario mediante la </w:t>
      </w:r>
      <w:r>
        <w:rPr>
          <w:rFonts w:ascii="Century Gothic" w:hAnsi="Century Gothic" w:cs="Century Gothic" w:eastAsia="Century Gothic"/>
          <w:b/>
          <w:i w:val="0"/>
          <w:sz w:val="20"/>
        </w:rPr>
        <w:t>Resolución Nº 07/2024 de la VI Conferencia Nacional Ordinaria de Universidades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(Llallagua, noviembre de 2024).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En el plano internacional, el rediseño se alinea con los estándares de formación profesional emitidos por la </w:t>
      </w:r>
      <w:r>
        <w:rPr>
          <w:rFonts w:ascii="Century Gothic" w:hAnsi="Century Gothic" w:cs="Century Gothic" w:eastAsia="Century Gothic"/>
          <w:b/>
          <w:i w:val="0"/>
          <w:sz w:val="20"/>
        </w:rPr>
        <w:t>Federación Internacional de Contadores (IFAC)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a través de las </w:t>
      </w:r>
      <w:r>
        <w:rPr>
          <w:rFonts w:ascii="Century Gothic" w:hAnsi="Century Gothic" w:cs="Century Gothic" w:eastAsia="Century Gothic"/>
          <w:b/>
          <w:i w:val="0"/>
          <w:sz w:val="20"/>
        </w:rPr>
        <w:t>Normas Internacionales de Educación Contable (IES 1 a IES 8)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, garantizando la calidad técnica, la transferibilidad académica y la comparabilidad internacional del título profesional.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Contextualización de la oferta curricular en la realidad nacional e internacional</w:t>
      </w:r>
    </w:p>
    <w:p>
      <w:pPr>
        <w:keepNext/>
        <w:tabs>
          <w:tab w:pos="709" w:val="left"/>
        </w:tabs>
        <w:spacing w:before="8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3.5.1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Alineación con las Normas Internacionales de Educación Contable (IES 1 a IES 8 de la IFAC)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Para garantizar la comparabilidad internacional, el reconocimiento profesional global y la calidad académica, el Plan de Estudios 2027 adopta plenamente los estándares emitidos por el International Accounting Education Standards Board (IAESB) de la Federación Internacional de Contadores (IFAC):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7"/>
        <w:gridCol w:w="3592"/>
        <w:gridCol w:w="4382"/>
      </w:tblGrid>
      <w:tr>
        <w:trPr>
          <w:tblHeader/>
        </w:trPr>
        <w:tc>
          <w:tcPr>
            <w:tcW w:type="dxa" w:w="109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Norma</w:t>
            </w:r>
          </w:p>
        </w:tc>
        <w:tc>
          <w:tcPr>
            <w:tcW w:type="dxa" w:w="359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Denominación Técnica</w:t>
            </w:r>
          </w:p>
        </w:tc>
        <w:tc>
          <w:tcPr>
            <w:tcW w:type="dxa" w:w="438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20"/>
              </w:rPr>
              <w:t>Mecanismo de Implementación en el Plan 2027</w:t>
            </w:r>
          </w:p>
        </w:tc>
      </w:tr>
      <w:tr>
        <w:tc>
          <w:tcPr>
            <w:tcW w:type="dxa" w:w="10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IES 1</w:t>
            </w:r>
          </w:p>
        </w:tc>
        <w:tc>
          <w:tcPr>
            <w:tcW w:type="dxa" w:w="359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Requisitos de Ingreso al Programa</w:t>
            </w:r>
          </w:p>
        </w:tc>
        <w:tc>
          <w:tcPr>
            <w:tcW w:type="dxa" w:w="43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Admisión transparente e inclusiva mediante: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Cursos Pre-Facultativos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Exámenes de Suficiencia Académica</w:t>
            </w:r>
          </w:p>
        </w:tc>
      </w:tr>
      <w:tr>
        <w:tc>
          <w:tcPr>
            <w:tcW w:type="dxa" w:w="10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IES 2</w:t>
            </w:r>
          </w:p>
        </w:tc>
        <w:tc>
          <w:tcPr>
            <w:tcW w:type="dxa" w:w="359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Contenido de los Programas de Educación Profesional (Desarrollo Profesional Inicial)</w:t>
            </w:r>
          </w:p>
        </w:tc>
        <w:tc>
          <w:tcPr>
            <w:tcW w:type="dxa" w:w="43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Estructura curricular equilibrada en: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Información financiera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Información no financiera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Aseguramiento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Finanzas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Gobierno Corporativo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Tecnología de Información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Administración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Derecho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Economía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Matemáticas</w:t>
            </w:r>
          </w:p>
          <w:p>
            <w:pPr>
              <w:tabs>
                <w:tab w:pos="255" w:val="left"/>
              </w:tabs>
              <w:spacing w:before="0" w:after="0" w:line="240" w:lineRule="auto"/>
              <w:ind w:left="255" w:hanging="255"/>
              <w:jc w:val="left"/>
            </w:pPr>
            <w:r>
              <w:rPr>
                <w:rFonts w:ascii="Century Gothic" w:hAnsi="Century Gothic" w:cs="Century Gothic" w:eastAsia="Century Gothic"/>
                <w:sz w:val="20"/>
              </w:rPr>
              <w:t>▪</w:t>
              <w:tab/>
            </w: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Sostenibilidad</w:t>
            </w:r>
          </w:p>
        </w:tc>
      </w:tr>
      <w:tr>
        <w:tc>
          <w:tcPr>
            <w:tcW w:type="dxa" w:w="10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IES 3</w:t>
            </w:r>
          </w:p>
        </w:tc>
        <w:tc>
          <w:tcPr>
            <w:tcW w:type="dxa" w:w="359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Habilidades Profesionales (Desarrollo Profesional Inicial)</w:t>
            </w:r>
          </w:p>
        </w:tc>
        <w:tc>
          <w:tcPr>
            <w:tcW w:type="dxa" w:w="43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Formación integral en habilidades intelectuales, analíticas, tecnológicas, de comunicación y gerenciales.</w:t>
            </w:r>
          </w:p>
        </w:tc>
      </w:tr>
      <w:tr>
        <w:tc>
          <w:tcPr>
            <w:tcW w:type="dxa" w:w="10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IES 4</w:t>
            </w:r>
          </w:p>
        </w:tc>
        <w:tc>
          <w:tcPr>
            <w:tcW w:type="dxa" w:w="359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Valores, Ética y Actitudes Profesionales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(Desarrollo Profesional Inicial)</w:t>
            </w:r>
          </w:p>
        </w:tc>
        <w:tc>
          <w:tcPr>
            <w:tcW w:type="dxa" w:w="43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Inclusión transversal y obligatoria de la Ética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Profesional, bajo el Código Internacional de Ética del IESBA</w:t>
            </w:r>
          </w:p>
        </w:tc>
      </w:tr>
      <w:tr>
        <w:tc>
          <w:tcPr>
            <w:tcW w:type="dxa" w:w="10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IES 5</w:t>
            </w:r>
          </w:p>
        </w:tc>
        <w:tc>
          <w:tcPr>
            <w:tcW w:type="dxa" w:w="359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Requisitos de Experiencia Práctica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(Desarrollo Profesional Inicial)</w:t>
            </w:r>
          </w:p>
        </w:tc>
        <w:tc>
          <w:tcPr>
            <w:tcW w:type="dxa" w:w="43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Incorporación de pasantías preprofesionales y laboratorios con datos reales.</w:t>
            </w:r>
          </w:p>
        </w:tc>
      </w:tr>
      <w:tr>
        <w:tc>
          <w:tcPr>
            <w:tcW w:type="dxa" w:w="10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IES 6</w:t>
            </w:r>
          </w:p>
        </w:tc>
        <w:tc>
          <w:tcPr>
            <w:tcW w:type="dxa" w:w="359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Evaluación de Capacidades y Competencias Profesionales</w:t>
            </w:r>
          </w:p>
        </w:tc>
        <w:tc>
          <w:tcPr>
            <w:tcW w:type="dxa" w:w="43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Sistema de evaluación auténtica mediante portafolios, simuladores y rúbricas.</w:t>
            </w:r>
          </w:p>
        </w:tc>
      </w:tr>
      <w:tr>
        <w:tc>
          <w:tcPr>
            <w:tcW w:type="dxa" w:w="10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IES 7</w:t>
            </w:r>
          </w:p>
        </w:tc>
        <w:tc>
          <w:tcPr>
            <w:tcW w:type="dxa" w:w="359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Desarrollo Profesional Continuo</w:t>
            </w:r>
          </w:p>
        </w:tc>
        <w:tc>
          <w:tcPr>
            <w:tcW w:type="dxa" w:w="43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Articulación directa de la formación de Grado con el Postgrado (Diplomados y Maestrías); y las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certificaciones profesionales.</w:t>
            </w:r>
          </w:p>
        </w:tc>
      </w:tr>
      <w:tr>
        <w:tc>
          <w:tcPr>
            <w:tcW w:type="dxa" w:w="109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/>
                <w:i w:val="0"/>
                <w:sz w:val="20"/>
              </w:rPr>
              <w:t>IES 8</w:t>
            </w:r>
          </w:p>
        </w:tc>
        <w:tc>
          <w:tcPr>
            <w:tcW w:type="dxa" w:w="359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Requisitos de competencia para Contadores Profesionales</w:t>
            </w:r>
          </w:p>
        </w:tc>
        <w:tc>
          <w:tcPr>
            <w:tcW w:type="dxa" w:w="438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20"/>
              </w:rPr>
              <w:t>Formación especialidades en servicios de aseguramiento mediante los pronunciamientos profesionales locales e internacionales.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IES 1 Requisitos de Ingreso al Programa: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Garantiza la equidad, transparencia y meritocracia en los procesos de selección mediante el Pre-Facultativo y el Examen de Suficiencia Académica.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IES 2 Contenido de los Programas de Educación Profesional: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Estructura el plan en áreas de conocimiento técnico (Información financiera, información no financiera, Aseguramiento, Finanzas, Gobierno Corporativo, Tecnología de la información, Sostenibilidad y Matemáticas) y áreas organizacionales o de negocios (Economía, Administración, Derecho).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IES 3 Habilidades Profesionales: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Desarrolla competencias intelectuales (resolución de problemas, juicio crítico), técnicas (IA, analítica de datos), interpersonales (trabajo en equipo) y de comunicación (español e inglés técnico).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IES 4 Valores, Ética y Actitudes Profesionales: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Internaliza los cinco principios fundamentales del Código Internacional de Ética del IESBA: Integridad, Objetividad, Competencia y Diligencia Profesional, Confidencialidad y Comportamiento Profesional.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IES 5 Requisitos de Experiencia Práctica: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Integra el aprendizaje situado a través de pasantías curriculares, talleres de práctica profesional y resolución de casos reales del sector público y empresarial.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IES 6 Evaluación de Capacidades y Competencias Profesionales: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Exige la demostración verificable del logro de los resultados de aprendizaje mediante instrumentos de evaluación auténtica ex-ante y de egreso.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IES 7 Desarrollo Profesional Continuo: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Prepara al egresado para el autoaprendizaje y facilita el acceso articulado a programas de diplomado, maestría y certificaciones profesionales.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IES 8 (Competencias de Auditores Profesionales):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Define el nivel avanzado requerido para la emisión de opiniones e informes de aseguramiento financiero, gubernamental, ambiental y de sistemas.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  <w:num w:numId="902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