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Aspectos Académicos</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4.1</w:t>
        <w:tab/>
      </w:r>
      <w:r>
        <w:rPr>
          <w:rFonts w:ascii="Century Gothic" w:hAnsi="Century Gothic" w:cs="Century Gothic" w:eastAsia="Century Gothic"/>
          <w:b/>
          <w:i w:val="0"/>
          <w:sz w:val="24"/>
        </w:rPr>
        <w:t>Fundamentos curriculares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4.1.1</w:t>
        <w:tab/>
      </w:r>
      <w:r>
        <w:rPr>
          <w:rFonts w:ascii="Century Gothic" w:hAnsi="Century Gothic" w:cs="Century Gothic" w:eastAsia="Century Gothic"/>
          <w:b/>
          <w:i w:val="0"/>
          <w:sz w:val="24"/>
        </w:rPr>
        <w:t>Fundamentos epistemológicos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4.1.1.1</w:t>
        <w:tab/>
      </w:r>
      <w:r>
        <w:rPr>
          <w:rFonts w:ascii="Century Gothic" w:hAnsi="Century Gothic" w:cs="Century Gothic" w:eastAsia="Century Gothic"/>
          <w:b/>
          <w:i w:val="0"/>
          <w:sz w:val="22"/>
        </w:rPr>
        <w:t>Fundamentación Epistemológica: El Enfoque del Pensamiento Complejo</w:t>
      </w:r>
    </w:p>
    <w:p>
      <w:pPr>
        <w:spacing w:before="0" w:after="200" w:line="240" w:lineRule="auto"/>
        <w:jc w:val="both"/>
      </w:pPr>
      <w:r>
        <w:rPr>
          <w:rFonts w:ascii="Century Gothic" w:hAnsi="Century Gothic" w:cs="Century Gothic" w:eastAsia="Century Gothic"/>
          <w:b w:val="0"/>
          <w:i w:val="0"/>
          <w:sz w:val="20"/>
        </w:rPr>
        <w:t>Para responder a las demandas de la economía digital (IA generativa, analítica predictiva, ciberseguridad) y a los requerimientos de reportes de sostenibilidad (normas NIIF S1 y S2 del ISSB), la contabilidad abandona la visión reduccionista del registro cuantitativo aislado e incorpora la teoría del pensamiento complejo propuesta por Edgar Morin.</w:t>
      </w:r>
    </w:p>
    <w:p>
      <w:pPr>
        <w:spacing w:before="0" w:after="200" w:line="240" w:lineRule="auto"/>
        <w:jc w:val="both"/>
      </w:pPr>
      <w:r>
        <w:rPr>
          <w:rFonts w:ascii="Century Gothic" w:hAnsi="Century Gothic" w:cs="Century Gothic" w:eastAsia="Century Gothic"/>
          <w:b w:val="0"/>
          <w:i w:val="0"/>
          <w:sz w:val="20"/>
        </w:rPr>
        <w:t>Conforme a este enfoque epistemológico, el conocimiento contable moderno articula cuatro dimensiones interrelacionadas:</w:t>
      </w:r>
    </w:p>
    <w:p>
      <w:pPr>
        <w:numPr>
          <w:ilvl w:val="0"/>
          <w:numId w:val="901"/>
        </w:numPr>
        <w:spacing w:before="0" w:after="160" w:line="240" w:lineRule="auto"/>
        <w:jc w:val="both"/>
      </w:pPr>
      <w:r>
        <w:rPr>
          <w:rFonts w:ascii="Century Gothic" w:hAnsi="Century Gothic" w:cs="Century Gothic" w:eastAsia="Century Gothic"/>
          <w:b/>
          <w:i w:val="0"/>
          <w:sz w:val="20"/>
        </w:rPr>
        <w:t>El Contexto:</w:t>
      </w:r>
      <w:r>
        <w:rPr>
          <w:rFonts w:ascii="Century Gothic" w:hAnsi="Century Gothic" w:cs="Century Gothic" w:eastAsia="Century Gothic"/>
          <w:b w:val="0"/>
          <w:i w:val="0"/>
          <w:sz w:val="20"/>
        </w:rPr>
        <w:t xml:space="preserve"> La información económica y financiera carece de valor si no se analiza dentro de su entorno socioeconómico, normativo e institucional específico.</w:t>
      </w:r>
    </w:p>
    <w:p>
      <w:pPr>
        <w:numPr>
          <w:ilvl w:val="0"/>
          <w:numId w:val="901"/>
        </w:numPr>
        <w:spacing w:before="0" w:after="160" w:line="240" w:lineRule="auto"/>
        <w:jc w:val="both"/>
      </w:pPr>
      <w:r>
        <w:rPr>
          <w:rFonts w:ascii="Century Gothic" w:hAnsi="Century Gothic" w:cs="Century Gothic" w:eastAsia="Century Gothic"/>
          <w:b/>
          <w:i w:val="0"/>
          <w:sz w:val="20"/>
        </w:rPr>
        <w:t>Lo Global:</w:t>
      </w:r>
      <w:r>
        <w:rPr>
          <w:rFonts w:ascii="Century Gothic" w:hAnsi="Century Gothic" w:cs="Century Gothic" w:eastAsia="Century Gothic"/>
          <w:b w:val="0"/>
          <w:i w:val="0"/>
          <w:sz w:val="20"/>
        </w:rPr>
        <w:t xml:space="preserve"> La organización constituye un sistema complejo donde las transacciones individuales no pueden evaluarse aisladas del todo organizacional y su interconexión con mercados globales.</w:t>
      </w:r>
    </w:p>
    <w:p>
      <w:pPr>
        <w:numPr>
          <w:ilvl w:val="0"/>
          <w:numId w:val="901"/>
        </w:numPr>
        <w:spacing w:before="0" w:after="160" w:line="240" w:lineRule="auto"/>
        <w:jc w:val="both"/>
      </w:pPr>
      <w:r>
        <w:rPr>
          <w:rFonts w:ascii="Century Gothic" w:hAnsi="Century Gothic" w:cs="Century Gothic" w:eastAsia="Century Gothic"/>
          <w:b/>
          <w:i w:val="0"/>
          <w:sz w:val="20"/>
        </w:rPr>
        <w:t>Lo Multidimensional:</w:t>
      </w:r>
      <w:r>
        <w:rPr>
          <w:rFonts w:ascii="Century Gothic" w:hAnsi="Century Gothic" w:cs="Century Gothic" w:eastAsia="Century Gothic"/>
          <w:b w:val="0"/>
          <w:i w:val="0"/>
          <w:sz w:val="20"/>
        </w:rPr>
        <w:t xml:space="preserve"> La realidad empresarial integra dimensiones éticas, ambientales, financieras, jurídicas, tecnológicas y sociológicas.</w:t>
      </w:r>
    </w:p>
    <w:p>
      <w:pPr>
        <w:numPr>
          <w:ilvl w:val="0"/>
          <w:numId w:val="901"/>
        </w:numPr>
        <w:spacing w:before="0" w:after="200" w:line="240" w:lineRule="auto"/>
        <w:jc w:val="both"/>
      </w:pPr>
      <w:r>
        <w:rPr>
          <w:rFonts w:ascii="Century Gothic" w:hAnsi="Century Gothic" w:cs="Century Gothic" w:eastAsia="Century Gothic"/>
          <w:b/>
          <w:i w:val="0"/>
          <w:sz w:val="20"/>
        </w:rPr>
        <w:t>Lo Complejo:</w:t>
      </w:r>
      <w:r>
        <w:rPr>
          <w:rFonts w:ascii="Century Gothic" w:hAnsi="Century Gothic" w:cs="Century Gothic" w:eastAsia="Century Gothic"/>
          <w:b w:val="0"/>
          <w:i w:val="0"/>
          <w:sz w:val="20"/>
        </w:rPr>
        <w:t xml:space="preserve"> Frente a la incertidumbre y el cambio constante, el Contador Público Autorizado aplica el juicio profesional para unir la diversidad de datos en diagnósticos coherentes para la toma de decisiones.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4.1.2</w:t>
        <w:tab/>
      </w:r>
      <w:r>
        <w:rPr>
          <w:rFonts w:ascii="Century Gothic" w:hAnsi="Century Gothic" w:cs="Century Gothic" w:eastAsia="Century Gothic"/>
          <w:b/>
          <w:i w:val="0"/>
          <w:sz w:val="24"/>
        </w:rPr>
        <w:t>Fundamentos sociológicos antropológicos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4.1.2.1</w:t>
        <w:tab/>
      </w:r>
      <w:r>
        <w:rPr>
          <w:rFonts w:ascii="Century Gothic" w:hAnsi="Century Gothic" w:cs="Century Gothic" w:eastAsia="Century Gothic"/>
          <w:b/>
          <w:i w:val="0"/>
          <w:sz w:val="22"/>
        </w:rPr>
        <w:t>Fundamentación Sociocultural y Pertinencia de Entorno</w:t>
      </w:r>
    </w:p>
    <w:p>
      <w:pPr>
        <w:spacing w:before="0" w:after="200" w:line="240" w:lineRule="auto"/>
        <w:jc w:val="both"/>
      </w:pPr>
      <w:r>
        <w:rPr>
          <w:rFonts w:ascii="Century Gothic" w:hAnsi="Century Gothic" w:cs="Century Gothic" w:eastAsia="Century Gothic"/>
          <w:b w:val="0"/>
          <w:i w:val="0"/>
          <w:sz w:val="20"/>
        </w:rPr>
        <w:t>El rediseño curricular responde de manera directa a la brecha existente entre la formación universitaria tradicional y las demandas reales del mercado laboral boliviano e internacional:</w:t>
      </w:r>
    </w:p>
    <w:p>
      <w:pPr>
        <w:numPr>
          <w:ilvl w:val="0"/>
          <w:numId w:val="901"/>
        </w:numPr>
        <w:spacing w:before="0" w:after="160" w:line="240" w:lineRule="auto"/>
        <w:jc w:val="both"/>
      </w:pPr>
      <w:r>
        <w:rPr>
          <w:rFonts w:ascii="Century Gothic" w:hAnsi="Century Gothic" w:cs="Century Gothic" w:eastAsia="Century Gothic"/>
          <w:b/>
          <w:i w:val="0"/>
          <w:sz w:val="20"/>
        </w:rPr>
        <w:t>Transformación Digital:</w:t>
      </w:r>
      <w:r>
        <w:rPr>
          <w:rFonts w:ascii="Century Gothic" w:hAnsi="Century Gothic" w:cs="Century Gothic" w:eastAsia="Century Gothic"/>
          <w:b w:val="0"/>
          <w:i w:val="0"/>
          <w:sz w:val="20"/>
        </w:rPr>
        <w:t xml:space="preserve"> El estudio Ipsos CIESMORI (2025) identifica una brecha de competencia tecnológica del 93% en egresados contables. El World Economic Forum (WEF 2025) ubica a la IA y el Big Data como la habilidad de mayor crecimiento profesional.</w:t>
      </w:r>
    </w:p>
    <w:p>
      <w:pPr>
        <w:numPr>
          <w:ilvl w:val="0"/>
          <w:numId w:val="901"/>
        </w:numPr>
        <w:spacing w:before="0" w:after="160" w:line="240" w:lineRule="auto"/>
        <w:jc w:val="both"/>
      </w:pPr>
      <w:r>
        <w:rPr>
          <w:rFonts w:ascii="Century Gothic" w:hAnsi="Century Gothic" w:cs="Century Gothic" w:eastAsia="Century Gothic"/>
          <w:b/>
          <w:i w:val="0"/>
          <w:sz w:val="20"/>
        </w:rPr>
        <w:t>Diversificación del Mercado:</w:t>
      </w:r>
      <w:r>
        <w:rPr>
          <w:rFonts w:ascii="Century Gothic" w:hAnsi="Century Gothic" w:cs="Century Gothic" w:eastAsia="Century Gothic"/>
          <w:b w:val="0"/>
          <w:i w:val="0"/>
          <w:sz w:val="20"/>
        </w:rPr>
        <w:t xml:space="preserve"> El 46% de los egresados percibe saturación en el perfil tradicional limitado a la auditoría financiera clásica. En contraste, las firmas líderes generan más del 80% de sus ingresos en consultoría de gestión, gestión integral de riesgos, asesoría tributaria y aseguramiento de sostenibilidad.</w:t>
      </w:r>
    </w:p>
    <w:p>
      <w:pPr>
        <w:numPr>
          <w:ilvl w:val="0"/>
          <w:numId w:val="901"/>
        </w:numPr>
        <w:spacing w:before="0" w:after="160" w:line="240" w:lineRule="auto"/>
        <w:jc w:val="both"/>
      </w:pPr>
      <w:r>
        <w:rPr>
          <w:rFonts w:ascii="Century Gothic" w:hAnsi="Century Gothic" w:cs="Century Gothic" w:eastAsia="Century Gothic"/>
          <w:b/>
          <w:i w:val="0"/>
          <w:sz w:val="20"/>
        </w:rPr>
        <w:t>Cultura Ética:</w:t>
      </w:r>
      <w:r>
        <w:rPr>
          <w:rFonts w:ascii="Century Gothic" w:hAnsi="Century Gothic" w:cs="Century Gothic" w:eastAsia="Century Gothic"/>
          <w:b w:val="0"/>
          <w:i w:val="0"/>
          <w:sz w:val="20"/>
        </w:rPr>
        <w:t xml:space="preserve"> El diagnóstico FODA (IICCFA 2025) revela que el 83% de los estudiantes identifica la crisis de integridad como una debilidad del entorno y un 82% demanda la enseñanza obligatoria de la Ética Contable Aplicada.</w:t>
      </w:r>
    </w:p>
    <w:p>
      <w:pPr>
        <w:numPr>
          <w:ilvl w:val="0"/>
          <w:numId w:val="901"/>
        </w:numPr>
        <w:spacing w:before="0" w:after="200" w:line="240" w:lineRule="auto"/>
        <w:jc w:val="both"/>
      </w:pPr>
      <w:r>
        <w:rPr>
          <w:rFonts w:ascii="Century Gothic" w:hAnsi="Century Gothic" w:cs="Century Gothic" w:eastAsia="Century Gothic"/>
          <w:b/>
          <w:i w:val="0"/>
          <w:sz w:val="20"/>
        </w:rPr>
        <w:t>Práctica Aplicada e Internacionalización:</w:t>
      </w:r>
      <w:r>
        <w:rPr>
          <w:rFonts w:ascii="Century Gothic" w:hAnsi="Century Gothic" w:cs="Century Gothic" w:eastAsia="Century Gothic"/>
          <w:b w:val="0"/>
          <w:i w:val="0"/>
          <w:sz w:val="20"/>
        </w:rPr>
        <w:t xml:space="preserve"> La encuesta del Banco Interamericano de Desarrollo (BID 2022) señala la falta de experiencia práctica como la principal barrera de contratación (25%), mientras que el 88% de los estudiantes de la UMSA exige pasantías preprofesionales e inglés técnico contable.</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4.1.4</w:t>
        <w:tab/>
      </w:r>
      <w:r>
        <w:rPr>
          <w:rFonts w:ascii="Century Gothic" w:hAnsi="Century Gothic" w:cs="Century Gothic" w:eastAsia="Century Gothic"/>
          <w:b/>
          <w:i w:val="0"/>
          <w:sz w:val="24"/>
        </w:rPr>
        <w:t>Fundamentos educativos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4.1.4.1</w:t>
        <w:tab/>
      </w:r>
      <w:r>
        <w:rPr>
          <w:rFonts w:ascii="Century Gothic" w:hAnsi="Century Gothic" w:cs="Century Gothic" w:eastAsia="Century Gothic"/>
          <w:b/>
          <w:i w:val="0"/>
          <w:sz w:val="22"/>
        </w:rPr>
        <w:t>Fundamentación Pedagógica (Modelo Educativo por Competencias)</w:t>
      </w:r>
    </w:p>
    <w:p>
      <w:pPr>
        <w:keepNext/>
        <w:spacing w:before="40" w:after="200" w:line="240" w:lineRule="auto"/>
        <w:jc w:val="left"/>
      </w:pPr>
      <w:r>
        <w:rPr>
          <w:rFonts w:ascii="Century Gothic" w:hAnsi="Century Gothic" w:cs="Century Gothic" w:eastAsia="Century Gothic"/>
          <w:b/>
          <w:i w:val="0"/>
          <w:sz w:val="22"/>
        </w:rPr>
        <w:t>Marco Normativo Pedagógico</w:t>
      </w:r>
    </w:p>
    <w:p>
      <w:pPr>
        <w:spacing w:before="0" w:after="200" w:line="240" w:lineRule="auto"/>
        <w:jc w:val="both"/>
      </w:pPr>
      <w:r>
        <w:rPr>
          <w:rFonts w:ascii="Century Gothic" w:hAnsi="Century Gothic" w:cs="Century Gothic" w:eastAsia="Century Gothic"/>
          <w:b w:val="0"/>
          <w:i w:val="0"/>
          <w:sz w:val="20"/>
        </w:rPr>
        <w:t xml:space="preserve">En cumplimiento del Artículo 8 del Reglamento de Innovación Curricular de la UMSA (Resolución HCU Nº 032/2025) y las resoluciones de la III-XIII Reunión Sectorial de Carreras de Contaduría Pública del SUB (Resolución Nº 07/2024 de la VI Conferencia Nacional de Universidades), el Plan de Estudios adopta un </w:t>
      </w:r>
      <w:r>
        <w:rPr>
          <w:rFonts w:ascii="Century Gothic" w:hAnsi="Century Gothic" w:cs="Century Gothic" w:eastAsia="Century Gothic"/>
          <w:b/>
          <w:i w:val="0"/>
          <w:sz w:val="20"/>
        </w:rPr>
        <w:t>modelo pedagógico centrado en competencias y aprendizaje situado</w:t>
      </w:r>
      <w:r>
        <w:rPr>
          <w:rFonts w:ascii="Century Gothic" w:hAnsi="Century Gothic" w:cs="Century Gothic" w:eastAsia="Century Gothic"/>
          <w:b w:val="0"/>
          <w:i w:val="0"/>
          <w:sz w:val="20"/>
        </w:rPr>
        <w:t>.</w:t>
      </w:r>
    </w:p>
    <w:p>
      <w:pPr>
        <w:keepNext/>
        <w:spacing w:before="40" w:after="200" w:line="240" w:lineRule="auto"/>
        <w:jc w:val="left"/>
      </w:pPr>
      <w:r>
        <w:rPr>
          <w:rFonts w:ascii="Century Gothic" w:hAnsi="Century Gothic" w:cs="Century Gothic" w:eastAsia="Century Gothic"/>
          <w:b/>
          <w:i w:val="0"/>
          <w:sz w:val="22"/>
        </w:rPr>
        <w:t>Roles Educativos Renovados</w:t>
      </w:r>
    </w:p>
    <w:p>
      <w:pPr>
        <w:spacing w:before="0" w:after="200" w:line="240" w:lineRule="auto"/>
        <w:jc w:val="both"/>
      </w:pPr>
      <w:r>
        <w:rPr>
          <w:rFonts w:ascii="Century Gothic" w:hAnsi="Century Gothic" w:cs="Century Gothic" w:eastAsia="Century Gothic"/>
          <w:b w:val="0"/>
          <w:i w:val="0"/>
          <w:sz w:val="20"/>
        </w:rPr>
        <w:t>El proceso de enseñanza-aprendizaje migra de la transmisión memorística hacia la construcción activa del conocimiento:</w:t>
      </w:r>
    </w:p>
    <w:p>
      <w:pPr>
        <w:numPr>
          <w:ilvl w:val="0"/>
          <w:numId w:val="902"/>
        </w:numPr>
        <w:spacing w:before="0" w:after="160" w:line="240" w:lineRule="auto"/>
        <w:jc w:val="both"/>
      </w:pPr>
      <w:r>
        <w:rPr>
          <w:rFonts w:ascii="Century Gothic" w:hAnsi="Century Gothic" w:cs="Century Gothic" w:eastAsia="Century Gothic"/>
          <w:b/>
          <w:i w:val="0"/>
          <w:sz w:val="20"/>
        </w:rPr>
        <w:t>Rol del Docente:</w:t>
      </w:r>
      <w:r>
        <w:rPr>
          <w:rFonts w:ascii="Century Gothic" w:hAnsi="Century Gothic" w:cs="Century Gothic" w:eastAsia="Century Gothic"/>
          <w:b w:val="0"/>
          <w:i w:val="0"/>
          <w:sz w:val="20"/>
        </w:rPr>
        <w:t xml:space="preserve"> Se transforma de un expositor magistral a un facilitador del aprendizaje, investigador, orientador y diseñador de proyectos y casos reales.</w:t>
      </w:r>
    </w:p>
    <w:p>
      <w:pPr>
        <w:numPr>
          <w:ilvl w:val="0"/>
          <w:numId w:val="902"/>
        </w:numPr>
        <w:spacing w:before="0" w:after="200" w:line="240" w:lineRule="auto"/>
        <w:jc w:val="both"/>
      </w:pPr>
      <w:r>
        <w:rPr>
          <w:rFonts w:ascii="Century Gothic" w:hAnsi="Century Gothic" w:cs="Century Gothic" w:eastAsia="Century Gothic"/>
          <w:b/>
          <w:i w:val="0"/>
          <w:sz w:val="20"/>
        </w:rPr>
        <w:t>Rol del Estudiante:</w:t>
      </w:r>
      <w:r>
        <w:rPr>
          <w:rFonts w:ascii="Century Gothic" w:hAnsi="Century Gothic" w:cs="Century Gothic" w:eastAsia="Century Gothic"/>
          <w:b w:val="0"/>
          <w:i w:val="0"/>
          <w:sz w:val="20"/>
        </w:rPr>
        <w:t xml:space="preserve"> Asume el protagonismo activo en su formación, desarrollando autonomía, capacidad crítica, reflexiva y compromiso ético con la solución de problemas del sector productivo y social.</w:t>
      </w:r>
    </w:p>
    <w:p>
      <w:pPr>
        <w:keepNext/>
        <w:spacing w:before="40" w:after="200" w:line="240" w:lineRule="auto"/>
        <w:jc w:val="left"/>
      </w:pPr>
      <w:r>
        <w:rPr>
          <w:rFonts w:ascii="Century Gothic" w:hAnsi="Century Gothic" w:cs="Century Gothic" w:eastAsia="Century Gothic"/>
          <w:b/>
          <w:i w:val="0"/>
          <w:sz w:val="22"/>
        </w:rPr>
        <w:t>Estructura Tridimensional de Competencias</w:t>
      </w:r>
    </w:p>
    <w:p>
      <w:pPr>
        <w:spacing w:before="0" w:after="200" w:line="240" w:lineRule="auto"/>
        <w:jc w:val="both"/>
      </w:pPr>
      <w:r>
        <w:rPr>
          <w:rFonts w:ascii="Century Gothic" w:hAnsi="Century Gothic" w:cs="Century Gothic" w:eastAsia="Century Gothic"/>
          <w:b w:val="0"/>
          <w:i w:val="0"/>
          <w:sz w:val="20"/>
        </w:rPr>
        <w:t>El perfil de egreso se organiza bajo las tres dimensiones de la formación integral:</w:t>
      </w:r>
    </w:p>
    <w:p>
      <w:pPr>
        <w:numPr>
          <w:ilvl w:val="0"/>
          <w:numId w:val="902"/>
        </w:numPr>
        <w:spacing w:before="0" w:after="160" w:line="240" w:lineRule="auto"/>
        <w:jc w:val="both"/>
      </w:pPr>
      <w:r>
        <w:rPr>
          <w:rFonts w:ascii="Century Gothic" w:hAnsi="Century Gothic" w:cs="Century Gothic" w:eastAsia="Century Gothic"/>
          <w:b/>
          <w:i w:val="0"/>
          <w:sz w:val="20"/>
        </w:rPr>
        <w:t>Saber Conocer (Competencias Cognitivas y Disciplinares):</w:t>
      </w:r>
      <w:r>
        <w:rPr>
          <w:rFonts w:ascii="Century Gothic" w:hAnsi="Century Gothic" w:cs="Century Gothic" w:eastAsia="Century Gothic"/>
          <w:b w:val="0"/>
          <w:i w:val="0"/>
          <w:sz w:val="20"/>
        </w:rPr>
        <w:t xml:space="preserve"> Dominio profundo de teorías, principios contables, marcos normativos nacionales e internacionales (NCGA, Normas NIIF de Contabilidad, NIIF para las PYMES, Normas Básicas del Sistema de Contabilidad Gubernamental, NICSP, NAGA en Bolivia, Normas de Auditoría Gubernamental, CGE NIA, NIER, NIEA, NIAS, NIIF S, marcos de control interno y gestión de riesgos, legislación tributaria, comercial y laboral.</w:t>
      </w:r>
    </w:p>
    <w:p>
      <w:pPr>
        <w:numPr>
          <w:ilvl w:val="0"/>
          <w:numId w:val="902"/>
        </w:numPr>
        <w:spacing w:before="0" w:after="200" w:line="240" w:lineRule="auto"/>
        <w:jc w:val="both"/>
      </w:pPr>
      <w:r>
        <w:rPr>
          <w:rFonts w:ascii="Century Gothic" w:hAnsi="Century Gothic" w:cs="Century Gothic" w:eastAsia="Century Gothic"/>
          <w:b/>
          <w:i w:val="0"/>
          <w:sz w:val="20"/>
        </w:rPr>
        <w:t>Saber Hacer (Competencias Procedimentales y Tecnológicas):</w:t>
      </w:r>
      <w:r>
        <w:rPr>
          <w:rFonts w:ascii="Century Gothic" w:hAnsi="Century Gothic" w:cs="Century Gothic" w:eastAsia="Century Gothic"/>
          <w:b w:val="0"/>
          <w:i w:val="0"/>
          <w:sz w:val="20"/>
        </w:rPr>
        <w:t xml:space="preserve"> Manejo de software contable y sistemas ERP (SAP/Odoo), analítica de datos (Power BI, Python/R), auditoría basada en riesgos, pruebas asistidas por computadora (CAATTs), minería de procesos y elaboración de informes de aseguramiento.</w:t>
      </w:r>
    </w:p>
    <w:p>
      <w:pPr>
        <w:numPr>
          <w:ilvl w:val="0"/>
          <w:numId w:val="902"/>
        </w:numPr>
        <w:spacing w:before="0" w:after="200" w:line="240" w:lineRule="auto"/>
        <w:jc w:val="both"/>
      </w:pPr>
      <w:r>
        <w:rPr>
          <w:rFonts w:ascii="Century Gothic" w:hAnsi="Century Gothic" w:cs="Century Gothic" w:eastAsia="Century Gothic"/>
          <w:b/>
          <w:i w:val="0"/>
          <w:sz w:val="20"/>
        </w:rPr>
        <w:t>Saber Ser y Convivir (Competencias Actitudinales y Éticas):</w:t>
      </w:r>
      <w:r>
        <w:rPr>
          <w:rFonts w:ascii="Century Gothic" w:hAnsi="Century Gothic" w:cs="Century Gothic" w:eastAsia="Century Gothic"/>
          <w:b w:val="0"/>
          <w:i w:val="0"/>
          <w:sz w:val="20"/>
        </w:rPr>
        <w:t xml:space="preserve"> Integridad, escepticismo profesional, independencia de criterio bajo el Código de Ética del IESBA, liderazgo adaptativo, trabajo en equipo multidisciplinario y comunicación asertiva en español e inglés técnico.</w:t>
      </w:r>
    </w:p>
    <w:tbl>
      <w:tblPr>
        <w:tblW w:type="auto" w:w="0"/>
        <w:jc w:val="center"/>
        <w:tblLayout w:type="fixed"/>
        <w:tblLook w:firstColumn="1" w:firstRow="1" w:lastColumn="0" w:lastRow="0" w:noHBand="0" w:noVBand="1" w:val="04A0"/>
      </w:tblPr>
      <w:tblGrid>
        <w:gridCol w:w="3633"/>
        <w:gridCol w:w="2656"/>
        <w:gridCol w:w="2782"/>
      </w:tblGrid>
      <w:tr>
        <w:trPr>
          <w:tblHeader/>
        </w:trPr>
        <w:tc>
          <w:tcPr>
            <w:tcW w:type="dxa" w:w="9071"/>
            <w:gridSpan w:val="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Contador Público Autorizado (CPA)</w:t>
            </w:r>
          </w:p>
        </w:tc>
      </w:tr>
      <w:tr>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Conocer (Cognitivo)</w:t>
            </w:r>
          </w:p>
        </w:tc>
        <w:tc>
          <w:tcPr>
            <w:tcW w:type="dxa" w:w="265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Hacer (Procedimental)</w:t>
            </w:r>
          </w:p>
        </w:tc>
        <w:tc>
          <w:tcPr>
            <w:tcW w:type="dxa" w:w="27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Saber Ser – Convivir (Actitudinal)</w:t>
            </w:r>
          </w:p>
        </w:tc>
      </w:tr>
      <w:tr>
        <w:tc>
          <w:tcPr>
            <w:tcW w:type="dxa" w:w="3633"/>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NCGA en Bolivia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Contabilidad y NIIF para las PYMES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Básicas del Sistema de Contabilidad Gubernamental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NICSP</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NAGA en Bolivia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Integrado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de Auditoría Gubernamental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Normas NIIF de Sostenibilidad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Pronunciamientos Internacionales del IAASB</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Tributación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Control interno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Gestión de riesgos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Ciberseguridad</w:t>
            </w:r>
          </w:p>
        </w:tc>
        <w:tc>
          <w:tcPr>
            <w:tcW w:type="dxa" w:w="2656"/>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Software contable</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Sistemas ERPs</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Plataformas digitales del SIN</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Power BI – 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Papeles de trabajo digital</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Auditoría forense</w:t>
            </w:r>
          </w:p>
        </w:tc>
        <w:tc>
          <w:tcPr>
            <w:tcW w:type="dxa" w:w="2782"/>
            <w:tcBorders>
              <w:top w:val="single" w:sz="4" w:space="0" w:color="8EAADB"/>
              <w:left w:val="single" w:sz="4" w:space="0" w:color="8EAADB"/>
              <w:bottom w:val="single" w:sz="4" w:space="0" w:color="8EAADB"/>
              <w:right w:val="single" w:sz="4" w:space="0" w:color="8EAADB"/>
            </w:tcBorders>
            <w:shd w:val="clear" w:color="auto" w:fill="D9E2F3"/>
            <w:vAlign w:val="top"/>
          </w:tcPr>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Código de Ética del IESBA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Independencia</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Pensamiento Crítico</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Adaptabilidad</w:t>
            </w:r>
          </w:p>
          <w:p>
            <w:pPr>
              <w:tabs>
                <w:tab w:pos="255" w:val="left"/>
              </w:tabs>
              <w:spacing w:before="0" w:after="0" w:line="240" w:lineRule="auto"/>
              <w:ind w:left="255" w:hanging="255"/>
              <w:jc w:val="left"/>
            </w:pPr>
            <w:r>
              <w:rPr>
                <w:rFonts w:ascii="Century Gothic" w:hAnsi="Century Gothic" w:cs="Century Gothic" w:eastAsia="Century Gothic"/>
                <w:sz w:val="20"/>
              </w:rPr>
              <w:t>▪</w:t>
              <w:tab/>
            </w:r>
            <w:r>
              <w:rPr>
                <w:rFonts w:ascii="Century Gothic" w:hAnsi="Century Gothic" w:cs="Century Gothic" w:eastAsia="Century Gothic"/>
                <w:b w:val="0"/>
                <w:i w:val="0"/>
                <w:sz w:val="20"/>
              </w:rPr>
              <w:t>Inglés técnico</w:t>
            </w:r>
          </w:p>
        </w:tc>
      </w:tr>
    </w:tbl>
    <w:p>
      <w:pPr>
        <w:spacing w:before="0" w:after="120" w:line="240" w:lineRule="auto"/>
        <w:jc w:val="left"/>
      </w:pPr>
    </w:p>
    <w:p>
      <w:pPr>
        <w:keepNext/>
        <w:spacing w:before="40" w:after="200" w:line="240" w:lineRule="auto"/>
        <w:jc w:val="left"/>
      </w:pPr>
      <w:r>
        <w:rPr>
          <w:rFonts w:ascii="Century Gothic" w:hAnsi="Century Gothic" w:cs="Century Gothic" w:eastAsia="Century Gothic"/>
          <w:b/>
          <w:i w:val="0"/>
          <w:sz w:val="22"/>
        </w:rPr>
        <w:t>Sistema de Evaluación Auténtica del Desempeño</w:t>
      </w:r>
    </w:p>
    <w:p>
      <w:pPr>
        <w:spacing w:before="0" w:after="200" w:line="240" w:lineRule="auto"/>
        <w:jc w:val="both"/>
      </w:pPr>
      <w:r>
        <w:rPr>
          <w:rFonts w:ascii="Century Gothic" w:hAnsi="Century Gothic" w:cs="Century Gothic" w:eastAsia="Century Gothic"/>
          <w:b w:val="0"/>
          <w:i w:val="0"/>
          <w:sz w:val="20"/>
        </w:rPr>
        <w:t xml:space="preserve">Superando la evaluación memorística por exámenes escritos tradicionales, el logro de las competencias se verifica mediante </w:t>
      </w:r>
      <w:r>
        <w:rPr>
          <w:rFonts w:ascii="Century Gothic" w:hAnsi="Century Gothic" w:cs="Century Gothic" w:eastAsia="Century Gothic"/>
          <w:b/>
          <w:i w:val="0"/>
          <w:sz w:val="20"/>
        </w:rPr>
        <w:t>evaluación auténtica</w:t>
      </w:r>
      <w:r>
        <w:rPr>
          <w:rFonts w:ascii="Century Gothic" w:hAnsi="Century Gothic" w:cs="Century Gothic" w:eastAsia="Century Gothic"/>
          <w:b w:val="0"/>
          <w:i w:val="0"/>
          <w:sz w:val="20"/>
        </w:rPr>
        <w:t>:</w:t>
      </w:r>
    </w:p>
    <w:p>
      <w:pPr>
        <w:numPr>
          <w:ilvl w:val="0"/>
          <w:numId w:val="902"/>
        </w:numPr>
        <w:spacing w:before="0" w:after="160" w:line="240" w:lineRule="auto"/>
        <w:jc w:val="both"/>
      </w:pPr>
      <w:r>
        <w:rPr>
          <w:rFonts w:ascii="Century Gothic" w:hAnsi="Century Gothic" w:cs="Century Gothic" w:eastAsia="Century Gothic"/>
          <w:b/>
          <w:i w:val="0"/>
          <w:sz w:val="20"/>
        </w:rPr>
        <w:t>Portafolios de Evidencias:</w:t>
      </w:r>
      <w:r>
        <w:rPr>
          <w:rFonts w:ascii="Century Gothic" w:hAnsi="Century Gothic" w:cs="Century Gothic" w:eastAsia="Century Gothic"/>
          <w:b w:val="0"/>
          <w:i w:val="0"/>
          <w:sz w:val="20"/>
        </w:rPr>
        <w:t xml:space="preserve"> Compilación digital de papeles de trabajo, proyectos e informes desarrollados por el estudiante.</w:t>
      </w:r>
    </w:p>
    <w:p>
      <w:pPr>
        <w:numPr>
          <w:ilvl w:val="0"/>
          <w:numId w:val="902"/>
        </w:numPr>
        <w:spacing w:before="0" w:after="160" w:line="240" w:lineRule="auto"/>
        <w:jc w:val="both"/>
      </w:pPr>
      <w:r>
        <w:rPr>
          <w:rFonts w:ascii="Century Gothic" w:hAnsi="Century Gothic" w:cs="Century Gothic" w:eastAsia="Century Gothic"/>
          <w:b/>
          <w:i w:val="0"/>
          <w:sz w:val="20"/>
        </w:rPr>
        <w:t>Demostraciones en Simuladores:</w:t>
      </w:r>
      <w:r>
        <w:rPr>
          <w:rFonts w:ascii="Century Gothic" w:hAnsi="Century Gothic" w:cs="Century Gothic" w:eastAsia="Century Gothic"/>
          <w:b w:val="0"/>
          <w:i w:val="0"/>
          <w:sz w:val="20"/>
        </w:rPr>
        <w:t xml:space="preserve"> Prácticas operativas en laboratorios de simulación con ERPs, plataformas del SIN y software de auditoría.</w:t>
      </w:r>
    </w:p>
    <w:p>
      <w:pPr>
        <w:numPr>
          <w:ilvl w:val="0"/>
          <w:numId w:val="902"/>
        </w:numPr>
        <w:spacing w:before="0" w:after="160" w:line="240" w:lineRule="auto"/>
        <w:jc w:val="both"/>
      </w:pPr>
      <w:r>
        <w:rPr>
          <w:rFonts w:ascii="Century Gothic" w:hAnsi="Century Gothic" w:cs="Century Gothic" w:eastAsia="Century Gothic"/>
          <w:b/>
          <w:i w:val="0"/>
          <w:sz w:val="20"/>
        </w:rPr>
        <w:t>Proyectos Integradores Reales:</w:t>
      </w:r>
      <w:r>
        <w:rPr>
          <w:rFonts w:ascii="Century Gothic" w:hAnsi="Century Gothic" w:cs="Century Gothic" w:eastAsia="Century Gothic"/>
          <w:b w:val="0"/>
          <w:i w:val="0"/>
          <w:sz w:val="20"/>
        </w:rPr>
        <w:t xml:space="preserve"> Resolución de problemas complejos mediante el Aprendizaje Basado en Proyectos (ABP) en empresas de nuestro país.</w:t>
      </w:r>
    </w:p>
    <w:p>
      <w:pPr>
        <w:numPr>
          <w:ilvl w:val="0"/>
          <w:numId w:val="902"/>
        </w:numPr>
        <w:spacing w:before="0" w:after="200" w:line="240" w:lineRule="auto"/>
        <w:jc w:val="both"/>
      </w:pPr>
      <w:r>
        <w:rPr>
          <w:rFonts w:ascii="Century Gothic" w:hAnsi="Century Gothic" w:cs="Century Gothic" w:eastAsia="Century Gothic"/>
          <w:b/>
          <w:i w:val="0"/>
          <w:sz w:val="20"/>
        </w:rPr>
        <w:t>Rúbricas Analíticas:</w:t>
      </w:r>
      <w:r>
        <w:rPr>
          <w:rFonts w:ascii="Century Gothic" w:hAnsi="Century Gothic" w:cs="Century Gothic" w:eastAsia="Century Gothic"/>
          <w:b w:val="0"/>
          <w:i w:val="0"/>
          <w:sz w:val="20"/>
        </w:rPr>
        <w:t xml:space="preserve"> Evaluación objetiva de desempeños observables en defensas orales y estudios de caso.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4.1.5</w:t>
        <w:tab/>
      </w:r>
      <w:r>
        <w:rPr>
          <w:rFonts w:ascii="Century Gothic" w:hAnsi="Century Gothic" w:cs="Century Gothic" w:eastAsia="Century Gothic"/>
          <w:b/>
          <w:i w:val="0"/>
          <w:sz w:val="24"/>
        </w:rPr>
        <w:t>Fundamentos axiológicos</w:t>
      </w:r>
    </w:p>
    <w:p>
      <w:pPr>
        <w:keepNext/>
        <w:tabs>
          <w:tab w:pos="992" w:val="left"/>
        </w:tabs>
        <w:spacing w:before="80" w:after="200" w:line="240" w:lineRule="auto"/>
        <w:ind w:left="992" w:hanging="992"/>
        <w:jc w:val="left"/>
      </w:pPr>
      <w:r>
        <w:rPr>
          <w:rFonts w:ascii="Century Gothic" w:hAnsi="Century Gothic" w:cs="Century Gothic" w:eastAsia="Century Gothic"/>
          <w:b/>
          <w:i w:val="0"/>
          <w:sz w:val="22"/>
        </w:rPr>
        <w:t>4.1.5.1</w:t>
        <w:tab/>
      </w:r>
      <w:r>
        <w:rPr>
          <w:rFonts w:ascii="Century Gothic" w:hAnsi="Century Gothic" w:cs="Century Gothic" w:eastAsia="Century Gothic"/>
          <w:b/>
          <w:i w:val="0"/>
          <w:sz w:val="22"/>
        </w:rPr>
        <w:t>Fundamentación Filosófica y Ético-Humanista</w:t>
      </w:r>
    </w:p>
    <w:p>
      <w:pPr>
        <w:spacing w:before="0" w:after="200" w:line="240" w:lineRule="auto"/>
        <w:jc w:val="both"/>
      </w:pPr>
      <w:r>
        <w:rPr>
          <w:rFonts w:ascii="Century Gothic" w:hAnsi="Century Gothic" w:cs="Century Gothic" w:eastAsia="Century Gothic"/>
          <w:b w:val="0"/>
          <w:i w:val="0"/>
          <w:sz w:val="20"/>
        </w:rPr>
        <w:t xml:space="preserve">El Plan de Estudios 2027 de la Carrera de Contaduría Pública se sustenta en los principios históricos de la </w:t>
      </w:r>
      <w:r>
        <w:rPr>
          <w:rFonts w:ascii="Century Gothic" w:hAnsi="Century Gothic" w:cs="Century Gothic" w:eastAsia="Century Gothic"/>
          <w:b/>
          <w:i w:val="0"/>
          <w:sz w:val="20"/>
        </w:rPr>
        <w:t>autonomía universitaria y el cogobierno paritario docente-estudiantil</w:t>
      </w:r>
      <w:r>
        <w:rPr>
          <w:rFonts w:ascii="Century Gothic" w:hAnsi="Century Gothic" w:cs="Century Gothic" w:eastAsia="Century Gothic"/>
          <w:b w:val="0"/>
          <w:i w:val="0"/>
          <w:sz w:val="20"/>
        </w:rPr>
        <w:t>, consagrados en el Estatuto Orgánico de la Universidad Mayor de San Andrés (UMSA) y el Modelo Académico del Sistema de la Universidad Boliviana (SUB).</w:t>
      </w:r>
    </w:p>
    <w:p>
      <w:pPr>
        <w:spacing w:before="0" w:after="200" w:line="240" w:lineRule="auto"/>
        <w:jc w:val="both"/>
      </w:pPr>
      <w:r>
        <w:rPr>
          <w:rFonts w:ascii="Century Gothic" w:hAnsi="Century Gothic" w:cs="Century Gothic" w:eastAsia="Century Gothic"/>
          <w:b w:val="0"/>
          <w:i w:val="0"/>
          <w:sz w:val="20"/>
        </w:rPr>
        <w:t xml:space="preserve">Desde una perspectiva ético-humanista, el ejercicio de la Contaduría Pública trasciende la ejecución mecánica de tareas técnicas o teneduría de libros. La profesión constituye un </w:t>
      </w:r>
      <w:r>
        <w:rPr>
          <w:rFonts w:ascii="Century Gothic" w:hAnsi="Century Gothic" w:cs="Century Gothic" w:eastAsia="Century Gothic"/>
          <w:b/>
          <w:i w:val="0"/>
          <w:sz w:val="20"/>
        </w:rPr>
        <w:t>compromiso inquebrantable con el interés público, la responsabilidad social y la transparencia institucional</w:t>
      </w:r>
      <w:r>
        <w:rPr>
          <w:rFonts w:ascii="Century Gothic" w:hAnsi="Century Gothic" w:cs="Century Gothic" w:eastAsia="Century Gothic"/>
          <w:b w:val="0"/>
          <w:i w:val="0"/>
          <w:sz w:val="20"/>
        </w:rPr>
        <w:t>. En este marco, la formación profesional articula seis valores estratégicos:</w:t>
      </w:r>
    </w:p>
    <w:p>
      <w:pPr>
        <w:numPr>
          <w:ilvl w:val="0"/>
          <w:numId w:val="901"/>
        </w:numPr>
        <w:spacing w:before="0" w:after="160" w:line="240" w:lineRule="auto"/>
        <w:jc w:val="both"/>
      </w:pPr>
      <w:r>
        <w:rPr>
          <w:rFonts w:ascii="Century Gothic" w:hAnsi="Century Gothic" w:cs="Century Gothic" w:eastAsia="Century Gothic"/>
          <w:b/>
          <w:i w:val="0"/>
          <w:sz w:val="20"/>
        </w:rPr>
        <w:t>Excelencia Profesional:</w:t>
      </w:r>
      <w:r>
        <w:rPr>
          <w:rFonts w:ascii="Century Gothic" w:hAnsi="Century Gothic" w:cs="Century Gothic" w:eastAsia="Century Gothic"/>
          <w:b w:val="0"/>
          <w:i w:val="0"/>
          <w:sz w:val="20"/>
        </w:rPr>
        <w:t xml:space="preserve"> Calidad técnica rigurosa, búsqueda constante del aprendizaje a lo largo de la vida y apego a los estándares internacionales de la profesión.</w:t>
      </w:r>
    </w:p>
    <w:p>
      <w:pPr>
        <w:numPr>
          <w:ilvl w:val="0"/>
          <w:numId w:val="901"/>
        </w:numPr>
        <w:spacing w:before="0" w:after="160" w:line="240" w:lineRule="auto"/>
        <w:jc w:val="both"/>
      </w:pPr>
      <w:r>
        <w:rPr>
          <w:rFonts w:ascii="Century Gothic" w:hAnsi="Century Gothic" w:cs="Century Gothic" w:eastAsia="Century Gothic"/>
          <w:b/>
          <w:i w:val="0"/>
          <w:sz w:val="20"/>
        </w:rPr>
        <w:t>Integridad</w:t>
      </w:r>
      <w:r>
        <w:rPr>
          <w:rFonts w:ascii="Century Gothic" w:hAnsi="Century Gothic" w:cs="Century Gothic" w:eastAsia="Century Gothic"/>
          <w:b w:val="0"/>
          <w:i w:val="0"/>
          <w:sz w:val="20"/>
        </w:rPr>
        <w:t>: Actuación transparente, honesta e independiente, defendiendo los principios éticos del Código de Ética del IESBA frente a cualquier presión o conflicto de intereses.</w:t>
      </w:r>
    </w:p>
    <w:p>
      <w:pPr>
        <w:numPr>
          <w:ilvl w:val="0"/>
          <w:numId w:val="901"/>
        </w:numPr>
        <w:spacing w:before="0" w:after="160" w:line="240" w:lineRule="auto"/>
        <w:jc w:val="both"/>
      </w:pPr>
      <w:r>
        <w:rPr>
          <w:rFonts w:ascii="Century Gothic" w:hAnsi="Century Gothic" w:cs="Century Gothic" w:eastAsia="Century Gothic"/>
          <w:b/>
          <w:i w:val="0"/>
          <w:sz w:val="20"/>
        </w:rPr>
        <w:t>Innovación</w:t>
      </w:r>
      <w:r>
        <w:rPr>
          <w:rFonts w:ascii="Century Gothic" w:hAnsi="Century Gothic" w:cs="Century Gothic" w:eastAsia="Century Gothic"/>
          <w:b w:val="0"/>
          <w:i w:val="0"/>
          <w:sz w:val="20"/>
        </w:rPr>
        <w:t>: Liderazgo en la transformación digital mediante la integración activa de Inteligencia Artificial (IA), análisis de datos (Big Data) y automatización de procesos contables y de auditoría.</w:t>
      </w:r>
    </w:p>
    <w:p>
      <w:pPr>
        <w:numPr>
          <w:ilvl w:val="0"/>
          <w:numId w:val="901"/>
        </w:numPr>
        <w:spacing w:before="0" w:after="160" w:line="240" w:lineRule="auto"/>
        <w:jc w:val="both"/>
      </w:pPr>
      <w:r>
        <w:rPr>
          <w:rFonts w:ascii="Century Gothic" w:hAnsi="Century Gothic" w:cs="Century Gothic" w:eastAsia="Century Gothic"/>
          <w:b/>
          <w:i w:val="0"/>
          <w:sz w:val="20"/>
        </w:rPr>
        <w:t>Adaptabilidad:</w:t>
      </w:r>
      <w:r>
        <w:rPr>
          <w:rFonts w:ascii="Century Gothic" w:hAnsi="Century Gothic" w:cs="Century Gothic" w:eastAsia="Century Gothic"/>
          <w:b w:val="0"/>
          <w:i w:val="0"/>
          <w:sz w:val="20"/>
        </w:rPr>
        <w:t xml:space="preserve"> Flexibilidad, agilidad y visión anticipatoria frente a transformaciones normativas, tecnológicas y económicas del entorno.</w:t>
      </w:r>
    </w:p>
    <w:p>
      <w:pPr>
        <w:numPr>
          <w:ilvl w:val="0"/>
          <w:numId w:val="901"/>
        </w:numPr>
        <w:spacing w:before="0" w:after="160" w:line="240" w:lineRule="auto"/>
        <w:jc w:val="both"/>
      </w:pPr>
      <w:r>
        <w:rPr>
          <w:rFonts w:ascii="Century Gothic" w:hAnsi="Century Gothic" w:cs="Century Gothic" w:eastAsia="Century Gothic"/>
          <w:b/>
          <w:i w:val="0"/>
          <w:sz w:val="20"/>
        </w:rPr>
        <w:t>Pensamiento Crítico:</w:t>
      </w:r>
      <w:r>
        <w:rPr>
          <w:rFonts w:ascii="Century Gothic" w:hAnsi="Century Gothic" w:cs="Century Gothic" w:eastAsia="Century Gothic"/>
          <w:b w:val="0"/>
          <w:i w:val="0"/>
          <w:sz w:val="20"/>
        </w:rPr>
        <w:t xml:space="preserve"> Evaluación rigurosa de evidencia, cuestionamiento sistemático de supuestos y fundamentación del juicio profesional en escenarios complejos.</w:t>
      </w:r>
    </w:p>
    <w:p>
      <w:pPr>
        <w:numPr>
          <w:ilvl w:val="0"/>
          <w:numId w:val="901"/>
        </w:numPr>
        <w:spacing w:before="0" w:after="200" w:line="240" w:lineRule="auto"/>
        <w:jc w:val="both"/>
      </w:pPr>
      <w:r>
        <w:rPr>
          <w:rFonts w:ascii="Century Gothic" w:hAnsi="Century Gothic" w:cs="Century Gothic" w:eastAsia="Century Gothic"/>
          <w:b/>
          <w:i w:val="0"/>
          <w:sz w:val="20"/>
        </w:rPr>
        <w:t>Responsabilidad Social:</w:t>
      </w:r>
      <w:r>
        <w:rPr>
          <w:rFonts w:ascii="Century Gothic" w:hAnsi="Century Gothic" w:cs="Century Gothic" w:eastAsia="Century Gothic"/>
          <w:b w:val="0"/>
          <w:i w:val="0"/>
          <w:sz w:val="20"/>
        </w:rPr>
        <w:t xml:space="preserve"> Compromiso con la equidad, la lucha contra la corrupción y la sostenibilidad ambiental, social y de gobernanza.</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