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Referentes disciplinares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4.2.3</w:t>
        <w:tab/>
      </w:r>
      <w:r>
        <w:rPr>
          <w:rFonts w:ascii="Century Gothic" w:hAnsi="Century Gothic" w:cs="Century Gothic" w:eastAsia="Century Gothic"/>
          <w:b/>
          <w:i w:val="0"/>
          <w:sz w:val="24"/>
        </w:rPr>
        <w:t>Caracterización de la práctica de la profesión (áreas de acción y funciones)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4.2.3.1</w:t>
        <w:tab/>
      </w:r>
      <w:r>
        <w:rPr>
          <w:rFonts w:ascii="Century Gothic" w:hAnsi="Century Gothic" w:cs="Century Gothic" w:eastAsia="Century Gothic"/>
          <w:b/>
          <w:i w:val="0"/>
          <w:sz w:val="22"/>
        </w:rPr>
        <w:t>Caracterización de las Áreas de Desempeño Profesional</w:t>
      </w:r>
    </w:p>
    <w:p>
      <w:pPr>
        <w:spacing w:before="0" w:after="200" w:line="240" w:lineRule="auto"/>
        <w:jc w:val="both"/>
      </w:pPr>
      <w:r>
        <w:rPr>
          <w:rFonts w:ascii="Century Gothic" w:hAnsi="Century Gothic" w:cs="Century Gothic" w:eastAsia="Century Gothic"/>
          <w:b w:val="0"/>
          <w:i w:val="0"/>
          <w:sz w:val="20"/>
        </w:rPr>
        <w:t xml:space="preserve">El ejercicio profesional del </w:t>
      </w:r>
      <w:r>
        <w:rPr>
          <w:rFonts w:ascii="Century Gothic" w:hAnsi="Century Gothic" w:cs="Century Gothic" w:eastAsia="Century Gothic"/>
          <w:b/>
          <w:i w:val="0"/>
          <w:sz w:val="20"/>
        </w:rPr>
        <w:t>Contador Público Autorizado (CPA)</w:t>
      </w:r>
      <w:r>
        <w:rPr>
          <w:rFonts w:ascii="Century Gothic" w:hAnsi="Century Gothic" w:cs="Century Gothic" w:eastAsia="Century Gothic"/>
          <w:b w:val="0"/>
          <w:i w:val="0"/>
          <w:sz w:val="20"/>
        </w:rPr>
        <w:t xml:space="preserve"> formado en la Universidad Mayor de San Andrés se despliega en diversos campos de actuación en organizaciones públicas, privadas, mixtas y en el ejercicio independiente, respondiendo a la complejidad del entorno y la transformación digital:</w:t>
      </w:r>
    </w:p>
    <w:p>
      <w:pPr>
        <w:numPr>
          <w:ilvl w:val="0"/>
          <w:numId w:val="901"/>
        </w:numPr>
        <w:spacing w:before="0" w:after="160" w:line="240" w:lineRule="auto"/>
        <w:jc w:val="both"/>
      </w:pPr>
      <w:r>
        <w:rPr>
          <w:rFonts w:ascii="Century Gothic" w:hAnsi="Century Gothic" w:cs="Century Gothic" w:eastAsia="Century Gothic"/>
          <w:b/>
          <w:i w:val="0"/>
          <w:sz w:val="20"/>
        </w:rPr>
        <w:t>Contabilidad Externa e Información Integral:</w:t>
      </w:r>
      <w:r>
        <w:rPr>
          <w:rFonts w:ascii="Century Gothic" w:hAnsi="Century Gothic" w:cs="Century Gothic" w:eastAsia="Century Gothic"/>
          <w:b w:val="0"/>
          <w:i w:val="0"/>
          <w:sz w:val="20"/>
        </w:rPr>
        <w:t xml:space="preserve"> Preparación, consolidación y emisión de estados financieros de propósito general y específico bajo Normas de Contabilidad Generalmente Aceptadas en Bolivia (NCGA), Normas Internacionales de Información Financiera (Normas NIIF de Contabilidad / NIIF para las PYMES), Normas Básicas del Sistema de Contabilidad Gubernamental Integrado (SCGI) y NICSP.</w:t>
      </w:r>
    </w:p>
    <w:p>
      <w:pPr>
        <w:numPr>
          <w:ilvl w:val="0"/>
          <w:numId w:val="901"/>
        </w:numPr>
        <w:spacing w:before="0" w:after="160" w:line="240" w:lineRule="auto"/>
        <w:jc w:val="both"/>
      </w:pPr>
      <w:r>
        <w:rPr>
          <w:rFonts w:ascii="Century Gothic" w:hAnsi="Century Gothic" w:cs="Century Gothic" w:eastAsia="Century Gothic"/>
          <w:b/>
          <w:i w:val="0"/>
          <w:sz w:val="20"/>
        </w:rPr>
        <w:t>Contabilidad Interna y de Gestión:</w:t>
      </w:r>
      <w:r>
        <w:rPr>
          <w:rFonts w:ascii="Century Gothic" w:hAnsi="Century Gothic" w:cs="Century Gothic" w:eastAsia="Century Gothic"/>
          <w:b w:val="0"/>
          <w:i w:val="0"/>
          <w:sz w:val="20"/>
        </w:rPr>
        <w:t xml:space="preserve"> Diseño y supervisión de sistemas de contabilidad de costos, presupuestos, indicadores de gestión, cuadros de mando integral (Balanced Scorecard) e información prospectiva para la toma de decisiones estratégicas.</w:t>
      </w:r>
    </w:p>
    <w:p>
      <w:pPr>
        <w:numPr>
          <w:ilvl w:val="0"/>
          <w:numId w:val="901"/>
        </w:numPr>
        <w:spacing w:before="0" w:after="160" w:line="240" w:lineRule="auto"/>
        <w:jc w:val="both"/>
      </w:pPr>
      <w:r>
        <w:rPr>
          <w:rFonts w:ascii="Century Gothic" w:hAnsi="Century Gothic" w:cs="Century Gothic" w:eastAsia="Century Gothic"/>
          <w:b/>
          <w:i w:val="0"/>
          <w:sz w:val="20"/>
        </w:rPr>
        <w:t>Servicios de Aseguramiento (Auditoría y Revisión Independiente):</w:t>
      </w:r>
      <w:r>
        <w:rPr>
          <w:rFonts w:ascii="Century Gothic" w:hAnsi="Century Gothic" w:cs="Century Gothic" w:eastAsia="Century Gothic"/>
          <w:b w:val="0"/>
          <w:i w:val="0"/>
          <w:sz w:val="20"/>
        </w:rPr>
        <w:t xml:space="preserve"> Planificación, ejecución y la emisión de informes de encargos de seguridad razonable (auditoría financiera, gubernamental, operativa, de sistemas, de sostenibilidad, ambiental, forense y de proyectos) emitiendo informes independientes en conformidad con las Normas de Auditoría Generalmente Aceptadas en Bolivia (NAGA), Normas Internacionales de Auditoría, Normas de Auditoría Gubernamental, Normas Internacionales de Encargos de Aseguramiento y Normas Internacionales de Aseguramiento de la Sostenibilidad; y encargos de seguridad limitada (revisión de información financiera) emitido informes independientes de acuerdo con las Normas Internacionales de Encargos de Revisión.</w:t>
      </w:r>
    </w:p>
    <w:p>
      <w:pPr>
        <w:numPr>
          <w:ilvl w:val="0"/>
          <w:numId w:val="901"/>
        </w:numPr>
        <w:spacing w:before="0" w:after="160" w:line="240" w:lineRule="auto"/>
        <w:jc w:val="both"/>
      </w:pPr>
      <w:r>
        <w:rPr>
          <w:rFonts w:ascii="Century Gothic" w:hAnsi="Century Gothic" w:cs="Century Gothic" w:eastAsia="Century Gothic"/>
          <w:b/>
          <w:i w:val="0"/>
          <w:sz w:val="20"/>
        </w:rPr>
        <w:t>Servicios de No Aseguramiento y Consultoría Especializada:</w:t>
      </w:r>
      <w:r>
        <w:rPr>
          <w:rFonts w:ascii="Century Gothic" w:hAnsi="Century Gothic" w:cs="Century Gothic" w:eastAsia="Century Gothic"/>
          <w:b w:val="0"/>
          <w:i w:val="0"/>
          <w:sz w:val="20"/>
        </w:rPr>
        <w:t xml:space="preserve"> Realización de procedimientos acordados, en base a la NISR 4400, compilación de información financiera, de acuerdo con la NISR 4410, peritajes judiciales y consultorías de organización y métodos.</w:t>
      </w:r>
    </w:p>
    <w:p>
      <w:pPr>
        <w:numPr>
          <w:ilvl w:val="0"/>
          <w:numId w:val="901"/>
        </w:numPr>
        <w:spacing w:before="0" w:after="160" w:line="240" w:lineRule="auto"/>
        <w:jc w:val="both"/>
      </w:pPr>
      <w:r>
        <w:rPr>
          <w:rFonts w:ascii="Century Gothic" w:hAnsi="Century Gothic" w:cs="Century Gothic" w:eastAsia="Century Gothic"/>
          <w:b/>
          <w:i w:val="0"/>
          <w:sz w:val="20"/>
        </w:rPr>
        <w:t>Gestión y Cumplimiento Tributario, Fiscal y Aduanero:</w:t>
      </w:r>
      <w:r>
        <w:rPr>
          <w:rFonts w:ascii="Century Gothic" w:hAnsi="Century Gothic" w:cs="Century Gothic" w:eastAsia="Century Gothic"/>
          <w:b w:val="0"/>
          <w:i w:val="0"/>
          <w:sz w:val="20"/>
        </w:rPr>
        <w:t xml:space="preserve"> Planificación impositiva, determinación, liquidación y auditoría de obligaciones tributarias nacionales, departamentales y municipales, previniendo contingencias fiscales dentro del marco regulatorio del Código Tributario y la legislación aduanera.</w:t>
      </w:r>
    </w:p>
    <w:p>
      <w:pPr>
        <w:numPr>
          <w:ilvl w:val="0"/>
          <w:numId w:val="901"/>
        </w:numPr>
        <w:spacing w:before="0" w:after="160" w:line="240" w:lineRule="auto"/>
        <w:jc w:val="both"/>
      </w:pPr>
      <w:r>
        <w:rPr>
          <w:rFonts w:ascii="Century Gothic" w:hAnsi="Century Gothic" w:cs="Century Gothic" w:eastAsia="Century Gothic"/>
          <w:b/>
          <w:i w:val="0"/>
          <w:sz w:val="20"/>
        </w:rPr>
        <w:t>Finanzas Corporativas y Dirección Estratégica:</w:t>
      </w:r>
      <w:r>
        <w:rPr>
          <w:rFonts w:ascii="Century Gothic" w:hAnsi="Century Gothic" w:cs="Century Gothic" w:eastAsia="Century Gothic"/>
          <w:b w:val="0"/>
          <w:i w:val="0"/>
          <w:sz w:val="20"/>
        </w:rPr>
        <w:t xml:space="preserve"> Dirección financiera, presupuestación de capital, gestión en mercados de valores, evaluación de proyectos de inversión y formulación de políticas de estructuración de capital.</w:t>
      </w:r>
    </w:p>
    <w:p>
      <w:pPr>
        <w:numPr>
          <w:ilvl w:val="0"/>
          <w:numId w:val="901"/>
        </w:numPr>
        <w:spacing w:before="0" w:after="200" w:line="240" w:lineRule="auto"/>
        <w:jc w:val="both"/>
      </w:pPr>
      <w:r>
        <w:rPr>
          <w:rFonts w:ascii="Century Gothic" w:hAnsi="Century Gothic" w:cs="Century Gothic" w:eastAsia="Century Gothic"/>
          <w:b/>
          <w:i w:val="0"/>
          <w:sz w:val="20"/>
        </w:rPr>
        <w:t>Gobernanza, Control Interno y Gestión Integral de Riesgos:</w:t>
      </w:r>
      <w:r>
        <w:rPr>
          <w:rFonts w:ascii="Century Gothic" w:hAnsi="Century Gothic" w:cs="Century Gothic" w:eastAsia="Century Gothic"/>
          <w:b w:val="0"/>
          <w:i w:val="0"/>
          <w:sz w:val="20"/>
        </w:rPr>
        <w:t xml:space="preserve"> Evaluación y diseño de estructuras de control interno, gestión de riesgos empresariales y gobernanza digital.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4.2.5</w:t>
        <w:tab/>
      </w:r>
      <w:r>
        <w:rPr>
          <w:rFonts w:ascii="Century Gothic" w:hAnsi="Century Gothic" w:cs="Century Gothic" w:eastAsia="Century Gothic"/>
          <w:b/>
          <w:i w:val="0"/>
          <w:sz w:val="24"/>
        </w:rPr>
        <w:t>Objetivo de la profesión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4.2.5.1</w:t>
        <w:tab/>
      </w:r>
      <w:r>
        <w:rPr>
          <w:rFonts w:ascii="Century Gothic" w:hAnsi="Century Gothic" w:cs="Century Gothic" w:eastAsia="Century Gothic"/>
          <w:b/>
          <w:i w:val="0"/>
          <w:sz w:val="22"/>
        </w:rPr>
        <w:t>Objetivo General de la Profesión y de la Carrera</w:t>
      </w:r>
    </w:p>
    <w:p>
      <w:pPr>
        <w:spacing w:before="0" w:after="200" w:line="240" w:lineRule="auto"/>
        <w:jc w:val="both"/>
      </w:pPr>
      <w:r>
        <w:rPr>
          <w:rFonts w:ascii="Century Gothic" w:hAnsi="Century Gothic" w:cs="Century Gothic" w:eastAsia="Century Gothic"/>
          <w:b w:val="0"/>
          <w:i w:val="0"/>
          <w:sz w:val="20"/>
        </w:rPr>
        <w:t>Proporcionar información económica, financiera, operativa y de sostenibilidad oportuna, útil, confiable, comparable y sistémica a los usuarios internos y externos de organizaciones públicas, privadas y mixtas; garantizando el interés público, el cumplimiento ético-normativo y el control integral de gestión para fundamentar la toma de decisiones ejecutivas y contribuir al desarrollo socioeconómico sostenible.</w:t>
      </w:r>
    </w:p>
    <w:p>
      <w:pPr>
        <w:spacing w:before="0" w:after="200" w:line="240" w:lineRule="auto"/>
        <w:jc w:val="both"/>
      </w:pPr>
      <w:r>
        <w:rPr>
          <w:rFonts w:ascii="Century Gothic" w:hAnsi="Century Gothic" w:cs="Century Gothic" w:eastAsia="Century Gothic"/>
          <w:b w:val="0"/>
          <w:i w:val="0"/>
          <w:sz w:val="20"/>
        </w:rPr>
        <w:t>En el ámbito de la formación académica universitaria, el Plan de Estudios tiene como objetivo fortalecer en el estudiante la responsabilidad en la construcción de su propio aprendizaje para consolidar su vocación, proporcionándole una sólida formación teórica y práctica actualizada para el ejercicio competente, innovador y ético de la profesión.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4.2.7</w:t>
        <w:tab/>
      </w:r>
      <w:r>
        <w:rPr>
          <w:rFonts w:ascii="Century Gothic" w:hAnsi="Century Gothic" w:cs="Century Gothic" w:eastAsia="Century Gothic"/>
          <w:b/>
          <w:i w:val="0"/>
          <w:sz w:val="24"/>
        </w:rPr>
        <w:t>Perfil profesional</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4.2.7.1</w:t>
        <w:tab/>
      </w:r>
      <w:r>
        <w:rPr>
          <w:rFonts w:ascii="Century Gothic" w:hAnsi="Century Gothic" w:cs="Century Gothic" w:eastAsia="Century Gothic"/>
          <w:b/>
          <w:i w:val="0"/>
          <w:sz w:val="22"/>
        </w:rPr>
        <w:t>Declaración Sintética del Perfil Profesional</w:t>
      </w:r>
    </w:p>
    <w:tbl>
      <w:tblPr>
        <w:tblW w:type="auto" w:w="0"/>
        <w:jc w:val="center"/>
        <w:tblLayout w:type="fixed"/>
        <w:tblLook w:firstColumn="1" w:firstRow="1" w:lastColumn="0" w:lastRow="0" w:noHBand="0" w:noVBand="1" w:val="04A0"/>
      </w:tblPr>
      <w:tblGrid>
        <w:gridCol w:w="9071"/>
      </w:tblGrid>
      <w:tr>
        <w:trPr>
          <w:tblHeader/>
        </w:trPr>
        <w:tc>
          <w:tcPr>
            <w:tcW w:type="dxa" w:w="90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Perfil del Contador Público Autorizado de la UMSA</w:t>
            </w:r>
          </w:p>
        </w:tc>
      </w:tr>
      <w:tr>
        <w:tc>
          <w:tcPr>
            <w:tcW w:type="dxa" w:w="9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El Contador Público Autorizado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pPr>
              <w:spacing w:before="0" w:after="0" w:line="240" w:lineRule="auto"/>
              <w:jc w:val="left"/>
            </w:pPr>
          </w:p>
          <w:p>
            <w:pPr>
              <w:spacing w:before="0" w:after="0" w:line="240" w:lineRule="auto"/>
              <w:jc w:val="left"/>
            </w:pPr>
            <w:r>
              <w:rPr>
                <w:rFonts w:ascii="Century Gothic" w:hAnsi="Century Gothic" w:cs="Century Gothic" w:eastAsia="Century Gothic"/>
                <w:b/>
                <w:i/>
                <w:sz w:val="20"/>
              </w:rPr>
              <w:t>Está calificado para diseñar, operar, evaluar y auditar sistemas integrados de información económica, financiera y no financiera, incorporando estándares nacionales e internacionales para la preparación de información financiera y herramientas de tecnologías emergentes, tales como: Inteligencia Artificial, analítica de datos y automatización de procesos, para respaldar la toma de decisiones ejecutivas en entornos inciertos y complejos.</w:t>
            </w:r>
          </w:p>
          <w:p>
            <w:pPr>
              <w:spacing w:before="0" w:after="0" w:line="240" w:lineRule="auto"/>
              <w:jc w:val="left"/>
            </w:pPr>
          </w:p>
          <w:p>
            <w:pPr>
              <w:spacing w:before="0" w:after="0" w:line="240" w:lineRule="auto"/>
              <w:jc w:val="left"/>
            </w:pPr>
            <w:r>
              <w:rPr>
                <w:rFonts w:ascii="Century Gothic" w:hAnsi="Century Gothic" w:cs="Century Gothic" w:eastAsia="Century Gothic"/>
                <w:b/>
                <w:i/>
                <w:sz w:val="20"/>
              </w:rPr>
              <w:t>Aporta un valor estratégico diferenciado a través de servicios de aseguramiento de la información (auditoría financiera, gubernamental, operativa, de sistemas, ambiental y forense), la evaluación de procesos de control interno y la consultoría en sostenibilidad y cumplimiento normativo. Su desempeño se sustenta en una conciencia crítica e investigativa, capacidad analítica, liderazgo, adaptabilidad, dominio del inglés técnico contable y una rigurosa ética profesional alineada al Código Internacional de Ética del IESBA, garantizando el interés público y la transparencia ante la sociedad y el Estado.</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