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i w:val="0"/>
          <w:sz w:val="28"/>
        </w:rPr>
        <w:t>Aspectos Académicos</w:t>
      </w:r>
    </w:p>
    <w:p>
      <w:pPr>
        <w:keepNext/>
        <w:tabs>
          <w:tab w:pos="709" w:val="left"/>
        </w:tabs>
        <w:spacing w:before="16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Plan de estudios propuesto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4.3.3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Objetivo general del diseño, rediseño o ajuste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4.3.3.1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Objetivo y Alcance de la Propuesta Curricular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objeto principal de la propuesta curricular es concretar el </w:t>
      </w:r>
      <w:r>
        <w:rPr>
          <w:rFonts w:ascii="Century Gothic" w:hAnsi="Century Gothic" w:cs="Century Gothic" w:eastAsia="Century Gothic"/>
          <w:b/>
          <w:i w:val="0"/>
          <w:sz w:val="20"/>
        </w:rPr>
        <w:t>cambio de paradigma profesional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la UMSA, evolucionando desde un perfil tradicional enfocado en el registro contable manual y la auditoría financiera clásica, hacia el modelo contemporáneo del </w:t>
      </w:r>
      <w:r>
        <w:rPr>
          <w:rFonts w:ascii="Century Gothic" w:hAnsi="Century Gothic" w:cs="Century Gothic" w:eastAsia="Century Gothic"/>
          <w:b/>
          <w:i w:val="0"/>
          <w:sz w:val="20"/>
        </w:rPr>
        <w:t>Contador Público Autorizado (CPA)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Este nuevo paradigma mantiene la auditoría financiera como una competencia nuclear, pero extiende el ejercicio profesional hacia un portafolio de servicios estratégicos de alto valor agregado: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Aseguramiento Integral de Información: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Emisión de informes sobre información financiera y no financiera aplicando las Normas Internacionales de Auditoría (NIA), Normas Internacionales de Revisión (NIER) del IAASB, las Normas de Auditoría Gubernamental de la Contraloría General del Estado (CGE) y estándares de aseguramiento no financiero (NIEA 3000 y NIAS 5000 del IAASB) adoptadas plenamente en Bolivia.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Transformación Digital e Inteligencia de Negocios: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Empleo procedimental de Inteligencia Artificial aplicada a la contabilidad y auditoría, análisis de datos (Big Data Analytics), automatización robótica de procesos (RPA), sistemas ERP (SAP/Odoo) y ciberseguridad.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Gestión Integral de Riesgos y Gobernanza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>: Evaluación y diseño de estructuras de control interno (marcos COSO) y gestión de riesgos en organizaciones del sector público, privado y mixto.</w:t>
      </w:r>
    </w:p>
    <w:p>
      <w:pPr>
        <w:numPr>
          <w:ilvl w:val="0"/>
          <w:numId w:val="901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Sostenibilidad y Reportes ESG: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Preparación y aseguramiento de reportes corporativos de sostenibilidad bajo los estándares NIIF S1 y NIIF S2 emitidos por el International Sustainability Standards Board (ISSB).</w:t>
      </w:r>
    </w:p>
    <w:p>
      <w:pPr>
        <w:numPr>
          <w:ilvl w:val="0"/>
          <w:numId w:val="901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Imperativo Ético y Responsabilidad Pública: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Adopción plena del Código Internacional de Ética del IESBA, garantizando la independencia de criterio y la protección del interés público.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El alcance de la propuesta abarca la reestructuración integral de la formación de grado para la obtención del título de </w:t>
      </w:r>
      <w:r>
        <w:rPr>
          <w:rFonts w:ascii="Century Gothic" w:hAnsi="Century Gothic" w:cs="Century Gothic" w:eastAsia="Century Gothic"/>
          <w:b/>
          <w:i w:val="0"/>
          <w:sz w:val="20"/>
        </w:rPr>
        <w:t>Licenciado en Contaduría Pública (Contador Público Autorizado - CPA)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en una modalidad presencial de régimen anual con una duración de 5 años. Comprende una carga horaria total de </w:t>
      </w:r>
      <w:r>
        <w:rPr>
          <w:rFonts w:ascii="Century Gothic" w:hAnsi="Century Gothic" w:cs="Century Gothic" w:eastAsia="Century Gothic"/>
          <w:b/>
          <w:i w:val="0"/>
          <w:sz w:val="20"/>
        </w:rPr>
        <w:t>6.000 horas académicas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distribuidas en </w:t>
      </w:r>
      <w:r>
        <w:rPr>
          <w:rFonts w:ascii="Century Gothic" w:hAnsi="Century Gothic" w:cs="Century Gothic" w:eastAsia="Century Gothic"/>
          <w:b/>
          <w:i w:val="0"/>
          <w:sz w:val="20"/>
        </w:rPr>
        <w:t>43 asignaturas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(29 troncales y 14 contextuales), en estricta compatibilidad con la estructura aprobada por la Reunión Sectorial del Sistema Universitario Boliviano.</w:t>
      </w:r>
    </w:p>
    <w:p>
      <w:pPr>
        <w:keepNext/>
        <w:tabs>
          <w:tab w:pos="709" w:val="left"/>
        </w:tabs>
        <w:spacing w:before="120" w:after="200" w:line="240" w:lineRule="auto"/>
        <w:ind w:left="709" w:hanging="709"/>
        <w:jc w:val="left"/>
      </w:pPr>
      <w:r>
        <w:rPr>
          <w:rFonts w:ascii="Century Gothic" w:hAnsi="Century Gothic" w:cs="Century Gothic" w:eastAsia="Century Gothic"/>
          <w:b/>
          <w:i w:val="0"/>
          <w:sz w:val="24"/>
        </w:rPr>
        <w:t>4.3.4</w:t>
        <w:tab/>
      </w:r>
      <w:r>
        <w:rPr>
          <w:rFonts w:ascii="Century Gothic" w:hAnsi="Century Gothic" w:cs="Century Gothic" w:eastAsia="Century Gothic"/>
          <w:b/>
          <w:i w:val="0"/>
          <w:sz w:val="24"/>
        </w:rPr>
        <w:t>Objetivos específicos del diseño, rediseño o ajuste</w:t>
      </w:r>
    </w:p>
    <w:p>
      <w:pPr>
        <w:keepNext/>
        <w:tabs>
          <w:tab w:pos="992" w:val="left"/>
        </w:tabs>
        <w:spacing w:before="80" w:after="200" w:line="240" w:lineRule="auto"/>
        <w:ind w:left="992" w:hanging="992"/>
        <w:jc w:val="left"/>
      </w:pPr>
      <w:r>
        <w:rPr>
          <w:rFonts w:ascii="Century Gothic" w:hAnsi="Century Gothic" w:cs="Century Gothic" w:eastAsia="Century Gothic"/>
          <w:b/>
          <w:i w:val="0"/>
          <w:sz w:val="22"/>
        </w:rPr>
        <w:t>4.3.4.1</w:t>
        <w:tab/>
      </w:r>
      <w:r>
        <w:rPr>
          <w:rFonts w:ascii="Century Gothic" w:hAnsi="Century Gothic" w:cs="Century Gothic" w:eastAsia="Century Gothic"/>
          <w:b/>
          <w:i w:val="0"/>
          <w:sz w:val="22"/>
        </w:rPr>
        <w:t>Propósitos Formativos</w:t>
      </w:r>
    </w:p>
    <w:p>
      <w:p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 w:val="0"/>
          <w:i w:val="0"/>
          <w:sz w:val="20"/>
        </w:rPr>
        <w:t>El desarrollo del Plan de Estudios persigue cuatro propósitos formativos centrales: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Formación Académica Integral: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Brindar al estudiante una sólida formación académica con conocimientos, actitudes, aptitudes y habilidades para entender y solucionar problemas financieros y no financieros de entidades públicas y privadas con visión holística.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Desarrollo de Capacidades Operativas y Analíticas: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Dotar al estudiante de habilidades avanzadas para la preparación y análisis de información financiera; el aseguramiento (examen y revisión) de información financiera y no financiera; el diseño y evaluación de sistemas de gestión, control interno (COSO), administración de riesgos (ERM) y gobierno corporativo mediante tecnologías de información; la detección de fraudes y auditoría forense; la preparación de información tributaria y la consultoría estratégica.</w:t>
      </w:r>
    </w:p>
    <w:p>
      <w:pPr>
        <w:numPr>
          <w:ilvl w:val="0"/>
          <w:numId w:val="902"/>
        </w:numPr>
        <w:spacing w:before="0" w:after="16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Juicio Crítico y Reflexivo: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Desarrollar una actitud crítica que permita integrar saberes multidisciplinarios para resolver objetivamente dilemas y problemas complejos en contextos cambiantes.</w:t>
      </w:r>
    </w:p>
    <w:p>
      <w:pPr>
        <w:numPr>
          <w:ilvl w:val="0"/>
          <w:numId w:val="902"/>
        </w:numPr>
        <w:spacing w:before="0" w:after="200" w:line="240" w:lineRule="auto"/>
        <w:jc w:val="both"/>
      </w:pPr>
      <w:r>
        <w:rPr>
          <w:rFonts w:ascii="Century Gothic" w:hAnsi="Century Gothic" w:cs="Century Gothic" w:eastAsia="Century Gothic"/>
          <w:b/>
          <w:i w:val="0"/>
          <w:sz w:val="20"/>
        </w:rPr>
        <w:t>Vocación de Servicio y Compromiso Social:</w:t>
      </w:r>
      <w:r>
        <w:rPr>
          <w:rFonts w:ascii="Century Gothic" w:hAnsi="Century Gothic" w:cs="Century Gothic" w:eastAsia="Century Gothic"/>
          <w:b w:val="0"/>
          <w:i w:val="0"/>
          <w:sz w:val="20"/>
        </w:rPr>
        <w:t xml:space="preserve"> Formar una actitud orientada al interés público para producir riqueza intelectual y material que contribuya al desarrollo sostenible, la transparencia institucional y el bienestar de la sociedad y el Estado.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0">
    <w:multiLevelType w:val="hybridMultilevel"/>
    <w:lvl w:ilvl="0">
      <w:start w:val="1"/>
      <w:numFmt w:val="bullet"/>
      <w:lvlText w:val=""/>
      <w:lvlJc w:val="left"/>
      <w:pPr>
        <w:ind w:left="357" w:hanging="357"/>
      </w:pPr>
      <w:rPr>
        <w:rFonts w:ascii="Wingdings" w:hAnsi="Wingdings" w:cs="Wingdings" w:hint="default"/>
        <w:sz w:val="20"/>
      </w:rPr>
    </w:lvl>
    <w:lvl w:ilvl="1">
      <w:start w:val="1"/>
      <w:numFmt w:val="bullet"/>
      <w:lvlText w:val="–"/>
      <w:lvlJc w:val="left"/>
      <w:pPr>
        <w:ind w:left="720" w:hanging="283"/>
      </w:pPr>
      <w:rPr>
        <w:rFonts w:ascii="Century Gothic" w:hAnsi="Century Gothic" w:cs="Century Gothic" w:hint="default"/>
        <w:sz w:val="20"/>
      </w:rPr>
    </w:lvl>
    <w:lvl w:ilvl="2">
      <w:start w:val="1"/>
      <w:numFmt w:val="bullet"/>
      <w:lvlText w:val="·"/>
      <w:lvlJc w:val="left"/>
      <w:pPr>
        <w:ind w:left="1077" w:hanging="283"/>
      </w:pPr>
      <w:rPr>
        <w:rFonts w:ascii="Symbol" w:hAnsi="Symbol" w:cs="Symbol" w:hint="default"/>
        <w:sz w:val="20"/>
      </w:rPr>
    </w:lvl>
  </w:abstractNum>
  <w:abstractNum w:abstractNumId="901">
    <w:multiLevelType w:val="hybridMultilevel"/>
    <w:lvl w:ilvl="0">
      <w:start w:val="1"/>
      <w:numFmt w:val="lowerLetter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bullet"/>
      <w:lvlText w:val=""/>
      <w:lvlJc w:val="left"/>
      <w:pPr>
        <w:ind w:left="720" w:hanging="357"/>
      </w:pPr>
      <w:rPr>
        <w:rFonts w:ascii="Wingdings" w:hAnsi="Wingdings" w:cs="Wingdings" w:hint="default"/>
        <w:sz w:val="20"/>
      </w:rPr>
    </w:lvl>
    <w:lvl w:ilvl="2">
      <w:start w:val="1"/>
      <w:numFmt w:val="bullet"/>
      <w:lvlText w:val="–"/>
      <w:lvlJc w:val="left"/>
      <w:pPr>
        <w:ind w:left="1077" w:hanging="283"/>
      </w:pPr>
      <w:rPr>
        <w:rFonts w:ascii="Century Gothic" w:hAnsi="Century Gothic" w:cs="Century Gothic" w:hint="default"/>
        <w:sz w:val="20"/>
      </w:rPr>
    </w:lvl>
  </w:abstractNum>
  <w:abstractNum w:abstractNumId="902">
    <w:multiLevelType w:val="hybridMultilevel"/>
    <w:lvl w:ilvl="0">
      <w:start w:val="1"/>
      <w:numFmt w:val="decimal"/>
      <w:lvlText w:val="%1."/>
      <w:lvlJc w:val="left"/>
      <w:pPr>
        <w:ind w:left="357" w:hanging="357"/>
      </w:pPr>
      <w:rPr>
        <w:rFonts w:ascii="Century Gothic" w:hAnsi="Century Gothic" w:cs="Century Gothic" w:hint="default"/>
        <w:b/>
        <w:sz w:val="20"/>
      </w:rPr>
    </w:lvl>
    <w:lvl w:ilvl="1">
      <w:start w:val="1"/>
      <w:numFmt w:val="lowerLetter"/>
      <w:lvlText w:val="%2."/>
      <w:lvlJc w:val="left"/>
      <w:pPr>
        <w:ind w:left="720" w:hanging="357"/>
      </w:pPr>
      <w:rPr>
        <w:rFonts w:ascii="Century Gothic" w:hAnsi="Century Gothic" w:cs="Century Gothic" w:hint="default"/>
        <w:b/>
        <w:sz w:val="20"/>
      </w:rPr>
    </w:lvl>
    <w:lvl w:ilvl="2">
      <w:start w:val="1"/>
      <w:numFmt w:val="bullet"/>
      <w:lvlText w:val=""/>
      <w:lvlJc w:val="left"/>
      <w:pPr>
        <w:ind w:left="1077" w:hanging="283"/>
      </w:pPr>
      <w:rPr>
        <w:rFonts w:ascii="Wingdings" w:hAnsi="Wingdings" w:cs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1">
    <w:abstractNumId w:val="901"/>
    <w:lvlOverride w:ilvl="0">
      <w:startOverride w:val="1"/>
    </w:lvlOverride>
  </w:num>
  <w:num w:numId="902">
    <w:abstractNumId w:val="90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entury Gothic" w:hAnsi="Century Gothic" w:cs="Century Gothic" w:eastAsia="Century Gothic"/>
      <w:sz w:val="20"/>
      <w:lang w:val="es-BO" w:eastAsia="es-B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