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Aspectos Académicos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Estructura curricular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Descripción de la organización curricular (organización de la asignatura por áreas o ejes de conocimiento)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4.4.1.1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Caracterización de las Áreas del Conocimiento y de Estudio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 acuerdo con el modelo curricular por competencias del </w:t>
      </w:r>
      <w:r>
        <w:rPr>
          <w:rFonts w:ascii="Century Gothic" w:hAnsi="Century Gothic" w:cs="Century Gothic" w:eastAsia="Century Gothic"/>
          <w:b/>
          <w:i w:val="0"/>
          <w:sz w:val="20"/>
        </w:rPr>
        <w:t>Sistema de la Universidad Boliviana (SUB)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y la </w:t>
      </w:r>
      <w:r>
        <w:rPr>
          <w:rFonts w:ascii="Century Gothic" w:hAnsi="Century Gothic" w:cs="Century Gothic" w:eastAsia="Century Gothic"/>
          <w:b/>
          <w:i w:val="0"/>
          <w:sz w:val="20"/>
        </w:rPr>
        <w:t>Norma Internacional de Educación Contable IES 2 de IFAC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, el Plan de Estudios 2027 organiza sus saberes en </w:t>
      </w:r>
      <w:r>
        <w:rPr>
          <w:rFonts w:ascii="Century Gothic" w:hAnsi="Century Gothic" w:cs="Century Gothic" w:eastAsia="Century Gothic"/>
          <w:b/>
          <w:i w:val="0"/>
          <w:sz w:val="20"/>
        </w:rPr>
        <w:t>seis áreas de conocimiento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distribuidas en dos bloques funcionales: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71"/>
        <w:gridCol w:w="1889"/>
        <w:gridCol w:w="1515"/>
        <w:gridCol w:w="1597"/>
      </w:tblGrid>
      <w:tr>
        <w:trPr>
          <w:tblHeader/>
        </w:trPr>
        <w:tc>
          <w:tcPr>
            <w:tcW w:type="dxa" w:w="40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188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Asignaturas</w:t>
            </w:r>
          </w:p>
        </w:tc>
        <w:tc>
          <w:tcPr>
            <w:tcW w:type="dxa" w:w="151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Horas</w:t>
            </w:r>
          </w:p>
        </w:tc>
        <w:tc>
          <w:tcPr>
            <w:tcW w:type="dxa" w:w="159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Porcentaje</w:t>
            </w:r>
          </w:p>
        </w:tc>
      </w:tr>
      <w:tr>
        <w:tc>
          <w:tcPr>
            <w:tcW w:type="dxa" w:w="40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Áreas Troncales Formativas Especializadas</w:t>
            </w:r>
          </w:p>
        </w:tc>
        <w:tc>
          <w:tcPr>
            <w:tcW w:type="dxa" w:w="188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29 Asignaturas</w:t>
            </w:r>
          </w:p>
        </w:tc>
        <w:tc>
          <w:tcPr>
            <w:tcW w:type="dxa" w:w="1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4.000 hrs</w:t>
            </w:r>
          </w:p>
        </w:tc>
        <w:tc>
          <w:tcPr>
            <w:tcW w:type="dxa" w:w="15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66,67%</w:t>
            </w:r>
          </w:p>
        </w:tc>
      </w:tr>
      <w:tr>
        <w:tc>
          <w:tcPr>
            <w:tcW w:type="dxa" w:w="40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Área de Información Financiera Área de Servicios de Aseguramiento</w:t>
            </w:r>
          </w:p>
        </w:tc>
        <w:tc>
          <w:tcPr>
            <w:tcW w:type="dxa" w:w="188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 asignaturas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13 asignaturas</w:t>
            </w:r>
          </w:p>
        </w:tc>
        <w:tc>
          <w:tcPr>
            <w:tcW w:type="dxa" w:w="1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2.400 hrs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1.600 hrs</w:t>
            </w:r>
          </w:p>
        </w:tc>
        <w:tc>
          <w:tcPr>
            <w:tcW w:type="dxa" w:w="15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40,00%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26,67%</w:t>
            </w:r>
          </w:p>
        </w:tc>
      </w:tr>
      <w:tr>
        <w:tc>
          <w:tcPr>
            <w:tcW w:type="dxa" w:w="40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Áreas Contextuales Complementarias Multidisciplinarias</w:t>
            </w:r>
          </w:p>
        </w:tc>
        <w:tc>
          <w:tcPr>
            <w:tcW w:type="dxa" w:w="188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14 Asignaturas</w:t>
            </w:r>
          </w:p>
        </w:tc>
        <w:tc>
          <w:tcPr>
            <w:tcW w:type="dxa" w:w="1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2.000 hrs</w:t>
            </w:r>
          </w:p>
        </w:tc>
        <w:tc>
          <w:tcPr>
            <w:tcW w:type="dxa" w:w="15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32.33%</w:t>
            </w:r>
          </w:p>
        </w:tc>
      </w:tr>
      <w:tr>
        <w:tc>
          <w:tcPr>
            <w:tcW w:type="dxa" w:w="40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Área de Administración Área de Derecho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Área de Economía Área de Matemáticas</w:t>
            </w:r>
          </w:p>
        </w:tc>
        <w:tc>
          <w:tcPr>
            <w:tcW w:type="dxa" w:w="188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 asignaturas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 asignaturas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 asignaturas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5 asignaturas</w:t>
            </w:r>
          </w:p>
        </w:tc>
        <w:tc>
          <w:tcPr>
            <w:tcW w:type="dxa" w:w="151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480 hrs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320 hrs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480 nrs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720 hrs</w:t>
            </w:r>
          </w:p>
        </w:tc>
        <w:tc>
          <w:tcPr>
            <w:tcW w:type="dxa" w:w="15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8,00%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5,33%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8,00%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12,00%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4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a.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Áreas Troncales (Formativas Especializadas)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Información Financiera: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Desarrolla las competencias para diseñar, operar y evaluar sistemas contables orientados a la preparación de estados financieros e informes de gestión en sectores comerciales, industriales, extractivos (minería/petróleo), agropecuarios, financieros, de seguros y gubernamentales. Incluye la integración de Sistemas ERP, análisis de datos contables e investigación formativa.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Servicios de Aseguramiento: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Proporciona la formación avanzada en teoría del aseguramiento, control interno, auditoría financiera, gubernamental, operativa, tributaria, digital/ciberseguridad, ambiental/ESG, forense y proyectos, complementada con el Taller de Grado y la Ética e Independencia Profesional.</w:t>
      </w:r>
    </w:p>
    <w:p>
      <w:pPr>
        <w:keepNext/>
        <w:tabs>
          <w:tab w:pos="709" w:val="left"/>
        </w:tabs>
        <w:spacing w:before="4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b.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Áreas Contextuales (Complementarias Multidisciplinarias)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Administración: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Aporta la comprensión del comportamiento organizacional, la teoría administrativa, los sistemas gerenciales y la toma de decisiones.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Derecho: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Garantiza el sustento jurídico en derecho comercial, corporativo, laboral, seguridad social, tributario y aduanero.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Economía: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Proporciona el marco de análisis microeconómico, macroeconómico y la formulación y evaluación de proyectos de inversión.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Área de Matemáticas: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Desarrolla el razonamiento lógico-deductivo a través del cálculo, álgebra lineal, programación operativa, matemáticas financieras, estadística y matemática actuarial.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4.4.1.2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Clasificación de Asignaturas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En cumplimiento de las resoluciones del Sistema de la Universidad Boliviana (SUB) y el modelo por competencias de la UMSA, el Plan de Estudios 2027 organiza sus </w:t>
      </w:r>
      <w:r>
        <w:rPr>
          <w:rFonts w:ascii="Century Gothic" w:hAnsi="Century Gothic" w:cs="Century Gothic" w:eastAsia="Century Gothic"/>
          <w:b/>
          <w:i w:val="0"/>
          <w:sz w:val="20"/>
        </w:rPr>
        <w:t>43 asignaturas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en dos categorías funcionales: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Asignaturas Troncales (Formativas Principales - 29 Asignaturas / 66.67%):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Constituyen el núcleo duro e insustituible de la profesión en las áreas de </w:t>
      </w:r>
      <w:r>
        <w:rPr>
          <w:rFonts w:ascii="Century Gothic" w:hAnsi="Century Gothic" w:cs="Century Gothic" w:eastAsia="Century Gothic"/>
          <w:b/>
          <w:i w:val="0"/>
          <w:sz w:val="20"/>
        </w:rPr>
        <w:t>Información Financiera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(16 materias / 2.400 horas) y </w:t>
      </w:r>
      <w:r>
        <w:rPr>
          <w:rFonts w:ascii="Century Gothic" w:hAnsi="Century Gothic" w:cs="Century Gothic" w:eastAsia="Century Gothic"/>
          <w:b/>
          <w:i w:val="0"/>
          <w:sz w:val="20"/>
        </w:rPr>
        <w:t>Servicios de Aseguramiento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(13 materias / 1.600 horas), sumando un total de </w:t>
      </w:r>
      <w:r>
        <w:rPr>
          <w:rFonts w:ascii="Century Gothic" w:hAnsi="Century Gothic" w:cs="Century Gothic" w:eastAsia="Century Gothic"/>
          <w:b/>
          <w:i w:val="0"/>
          <w:sz w:val="20"/>
        </w:rPr>
        <w:t>4.000 horas académicas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Asignaturas Contextuales (Complementarias - 14 Asignaturas / 32.33%):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Proveen el sustento multidisciplinario e interdisciplinario indispensable en </w:t>
      </w:r>
      <w:r>
        <w:rPr>
          <w:rFonts w:ascii="Century Gothic" w:hAnsi="Century Gothic" w:cs="Century Gothic" w:eastAsia="Century Gothic"/>
          <w:b/>
          <w:i w:val="0"/>
          <w:sz w:val="20"/>
        </w:rPr>
        <w:t>Administración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(3 materias / 480 horas), </w:t>
      </w:r>
      <w:r>
        <w:rPr>
          <w:rFonts w:ascii="Century Gothic" w:hAnsi="Century Gothic" w:cs="Century Gothic" w:eastAsia="Century Gothic"/>
          <w:b/>
          <w:i w:val="0"/>
          <w:sz w:val="20"/>
        </w:rPr>
        <w:t>Derecho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(3 materias / 320 horas), </w:t>
      </w:r>
      <w:r>
        <w:rPr>
          <w:rFonts w:ascii="Century Gothic" w:hAnsi="Century Gothic" w:cs="Century Gothic" w:eastAsia="Century Gothic"/>
          <w:b/>
          <w:i w:val="0"/>
          <w:sz w:val="20"/>
        </w:rPr>
        <w:t>Economía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(3 materias / 480 horas) y </w:t>
      </w:r>
      <w:r>
        <w:rPr>
          <w:rFonts w:ascii="Century Gothic" w:hAnsi="Century Gothic" w:cs="Century Gothic" w:eastAsia="Century Gothic"/>
          <w:b/>
          <w:i w:val="0"/>
          <w:sz w:val="20"/>
        </w:rPr>
        <w:t>Matemáticas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(5 materias / 720 horas), completando </w:t>
      </w:r>
      <w:r>
        <w:rPr>
          <w:rFonts w:ascii="Century Gothic" w:hAnsi="Century Gothic" w:cs="Century Gothic" w:eastAsia="Century Gothic"/>
          <w:b/>
          <w:i w:val="0"/>
          <w:sz w:val="20"/>
        </w:rPr>
        <w:t>2.000 horas académicas.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4.4.1.3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Ejes Transversales del Plan de Estudios 2027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La malla curricular articula cuatro ejes transversales que atraviesan los cinco años de formación: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Tecnología e Inteligencia de Negocios: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Transita desde CPA-102 Herramientas Digitales, pasando por CPA-305 Sistemas ERP y Analítica de Datos hasta CPA-505 Auditoría Digital y Ciberseguridad.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Sostenibilidad y Reportes ESG: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Articula el marco de las Normas NIIF de Sostenibilidad del ISSB e ISSA 5000 en la materia CPA-506 y en los contenidos de contabilidad de gestión.</w:t>
      </w:r>
    </w:p>
    <w:p>
      <w:pPr>
        <w:numPr>
          <w:ilvl w:val="0"/>
          <w:numId w:val="903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Ética Profesional e Independencia: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Impartida con carácter obligatorio e insustituible en CPA-406 bajo el Código Internacional de Ética del IESBA.</w:t>
      </w:r>
    </w:p>
    <w:p>
      <w:pPr>
        <w:numPr>
          <w:ilvl w:val="0"/>
          <w:numId w:val="903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Investigación Formativa e Integración: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Guiada metodológicamente por CPA-204 Métodos de Investigación y culminada en CPA-510 Taller de Grado.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Mapa de competencia (competencia y unidades de competencia)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4.4.2.1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Estructuración Integrada por Atributos del Egresado (Mapa de Competencias)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Conforme al Reglamento de Innovación Curricular de la UMSA (Resolución HCU 032/2025) y los acuerdos del Sistema de la Universidad Boliviana (Resolución Nº 07/2024 de la VI Conferencia Nacional de Universidades), el perfil se operacionaliza en tres ejes de atributos integrados: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Atributos del Egresado – Mapa de Competencias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Atributos Académico - Disciplinares (Saber Conocer)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Dominio de marcos contables nacionales e internacionales (NCGA, Normas NIIF de Contabilidad, NIIF para las PYMES, Sistema de Contabilidad Gubernamental Integrado y NICSP) para la emisión de estados financieros e informes de gestión de entidades públicas y privadas.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Solvencia en el manejo de normas de auditoría y aseguramiento (NAGA, Normas de Auditoría Gubernamental de la CGR e ISSAI, NIA, NIEA, NISR y NIAS) para emitir informes independientes sobre información financiera y no financiera.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Especialización en legislación fiscal, tributación, precios de transferencia y marcos legal-comerciales y laborales bolivianos.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Comprensión de modelos de finanzas corporativas, valoración de proyectos, control interno (COSO), gestión de riesgos (ERM), gobernanza digital y Normas NIIF de Sostenibilidad.</w:t>
            </w:r>
          </w:p>
        </w:tc>
      </w:tr>
      <w:tr>
        <w:tc>
          <w:tcPr>
            <w:tcW w:type="dxa" w:w="90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Atributos Técnico – Digitales y de Innovación (Saber Hacer)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Operación procedimental de sistemas ERP (SAP, Oracle, Odoo), software contable y plataformas tributarias del Servicio de Impuestos Nacionales (SIN).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Destreza en Business Intelligence (Power BI/Tableau), analítica cuantitativa (Python/R) y soluciones de Inteligencia Artificial para análisis de datos y detección de anomalías o fraude.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Capacidad para ejecutar auditorías basadas en riesgos, pruebas con CAATTs, auditoría forense, peritajes contables y auditorías de ciberseguridad.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Competencia para elaborar y auditar informes de sostenibilidad bajo NIEA 3000 y NIAS 5000.</w:t>
            </w:r>
          </w:p>
        </w:tc>
      </w:tr>
      <w:tr>
        <w:tc>
          <w:tcPr>
            <w:tcW w:type="dxa" w:w="90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Atributos Éticos, Socioemocionales y de Responsabilidad Pública (Saber Ser / Convivir)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Compromiso inquebrantable con la integridad, objetividad, confidencialidad e independencia de criterio conforme al Código Internacional de Ética del IESBA.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Ejercicio del juicio profesional guiado por el pensamiento crítico, la investigación aplicada y el enfoque del pensamiento complejo (contexto, globalidad, multidimensionalidad y complejidad).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Adaptabilidad y agilidad profesional ante reformas normativas, tecnológicas y económicas.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Liderazgo adaptativo, trabajo en equipos multidisciplinarios y comunicación asertiva en español e inglés técnico contable.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Malla curricular (siglas, nombres de la asignatura, carga horaria, créditos, prerrequisitos) por ciclos y semestres/año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4.4.3.1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Malla Curricular 2027 (Plan de Estudios Oficial CPA – UMSA)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A continuación, se detalla la estructura secuencial de las 43 asignaturas del </w:t>
      </w:r>
      <w:r>
        <w:rPr>
          <w:rFonts w:ascii="Century Gothic" w:hAnsi="Century Gothic" w:cs="Century Gothic" w:eastAsia="Century Gothic"/>
          <w:b/>
          <w:i w:val="0"/>
          <w:sz w:val="20"/>
        </w:rPr>
        <w:t>Plan de Estudios 2027: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0"/>
        <w:gridCol w:w="2962"/>
        <w:gridCol w:w="1668"/>
        <w:gridCol w:w="1295"/>
        <w:gridCol w:w="1295"/>
      </w:tblGrid>
      <w:tr>
        <w:trPr>
          <w:tblHeader/>
        </w:trPr>
        <w:tc>
          <w:tcPr>
            <w:tcW w:type="dxa" w:w="9070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Primer Año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Código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Asignatura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Prerrequisito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Hrs/Sem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Hrs/Año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Básica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AE, CPF o PSA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CPA-102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Tecnologías de Información y Herramientas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Digitales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AE, CPF o PSA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ADM-101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Administración General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AE, CPF o PSA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DER-101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Derecho Comercial y Corporativo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AE, CPF o PSA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DER-102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Derecho Laboral y Seguridad Social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AE, CPF o PSA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ECO-101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Microeconomía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AE, CPF o PSA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MAT-101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Cálculo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AE, CPF o PSA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MAT-102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Matemáticas Financieras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AE, CPF o PSA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Total Primer Año</w:t>
            </w:r>
          </w:p>
        </w:tc>
        <w:tc>
          <w:tcPr>
            <w:tcW w:type="dxa" w:w="296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26</w:t>
            </w:r>
          </w:p>
        </w:tc>
        <w:tc>
          <w:tcPr>
            <w:tcW w:type="dxa" w:w="166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1.040</w:t>
            </w: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7"/>
        <w:gridCol w:w="3324"/>
        <w:gridCol w:w="1675"/>
        <w:gridCol w:w="1173"/>
        <w:gridCol w:w="1173"/>
      </w:tblGrid>
      <w:tr>
        <w:trPr>
          <w:tblHeader/>
        </w:trPr>
        <w:tc>
          <w:tcPr>
            <w:tcW w:type="dxa" w:w="9072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Segundo Año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Código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Asignatura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Prerrequisito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Hrs/Sem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Hrs/Año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Intermedia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CPA-202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de Sociedades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CPA-203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de Tributos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CPA-204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Métodos y Técnicas de Investigación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CPA-101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ADM-201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Administración de Sistemas Gerenciales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ADM-101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DER-201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Derecho Tributario y Legislación Aduanera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DER-101, DER-102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ECO-201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Macroeconomía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ECO-101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MAT-201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Álgebra Lineal y Programación Operativa Aplicada a los Negocios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MAT-101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2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Total Segundo Año</w:t>
            </w:r>
          </w:p>
        </w:tc>
        <w:tc>
          <w:tcPr>
            <w:tcW w:type="dxa" w:w="332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30</w:t>
            </w:r>
          </w:p>
        </w:tc>
        <w:tc>
          <w:tcPr>
            <w:tcW w:type="dxa" w:w="167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1.200</w:t>
            </w: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17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9"/>
        <w:gridCol w:w="2980"/>
        <w:gridCol w:w="2302"/>
        <w:gridCol w:w="1105"/>
        <w:gridCol w:w="1105"/>
      </w:tblGrid>
      <w:tr>
        <w:trPr>
          <w:tblHeader/>
        </w:trPr>
        <w:tc>
          <w:tcPr>
            <w:tcW w:type="dxa" w:w="9071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Tercer Año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Código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Asignatura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Prerrequisito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Hrs/Sem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Hrs/Año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Internacional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CPA-201, CPA-202, CPA-203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CPA-302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de Costos y Gestión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CPA-201, CPA-202, CPA-203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CPA-303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de Bancos y Entidades Financieras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CPA-201, CPA-202, CPA-203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CPA-304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y Presupuestos Gubernamental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CPA-201, CPA-202, CPA-203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CPA-305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Sistemas Contables ERP y Análisis de Datos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CPA-102, CPA-201, CPA-202, CPA-203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ADM-301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Desarrollo Organizacional y Comportamiento Organizacional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ADM-201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ECO-301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Preparación y Evaluación de Proyectos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ECO-201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MAT-301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Estadística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MAT-201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57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Total Tercer Año</w:t>
            </w:r>
          </w:p>
        </w:tc>
        <w:tc>
          <w:tcPr>
            <w:tcW w:type="dxa" w:w="298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32</w:t>
            </w:r>
          </w:p>
        </w:tc>
        <w:tc>
          <w:tcPr>
            <w:tcW w:type="dxa" w:w="23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1.280</w:t>
            </w: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10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6"/>
        <w:gridCol w:w="3182"/>
        <w:gridCol w:w="1769"/>
        <w:gridCol w:w="1201"/>
        <w:gridCol w:w="1201"/>
      </w:tblGrid>
      <w:tr>
        <w:trPr>
          <w:tblHeader/>
        </w:trPr>
        <w:tc>
          <w:tcPr>
            <w:tcW w:type="dxa" w:w="9069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Cuarto Año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Código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Asignatura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Pre-requisito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Hrs/Sem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Hrs/Año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Minera y Petrolera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CPA-301, CPA-302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CPA-402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Agrícola y Ganadera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CPA-301, CPA-302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CPA-403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Contabilidad de Seguros: Privado y Social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CPA-301, CPA-302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CPA-404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Diseño e Implantación de Sistemas de Contabilidad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a CPA-305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CPA-405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Finanzas Corporativas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a CPA-304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CPA-406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Ética e Independencia Profesional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a CPA-304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CPA-407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Financiera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a CPA-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304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CPA-408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Interna, Control Interno y Gestión de Riesgos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CPA-301 a CPA-304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MAT-401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Matemáticas Actuariales y Técnicas Financieras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MAT-102, MAT-301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71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Total Cuarto Año</w:t>
            </w:r>
          </w:p>
        </w:tc>
        <w:tc>
          <w:tcPr>
            <w:tcW w:type="dxa" w:w="31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32</w:t>
            </w:r>
          </w:p>
        </w:tc>
        <w:tc>
          <w:tcPr>
            <w:tcW w:type="dxa" w:w="17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1.280</w:t>
            </w: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20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0"/>
        <w:gridCol w:w="3341"/>
        <w:gridCol w:w="1722"/>
        <w:gridCol w:w="1169"/>
        <w:gridCol w:w="1169"/>
      </w:tblGrid>
      <w:tr>
        <w:trPr>
          <w:tblHeader/>
        </w:trPr>
        <w:tc>
          <w:tcPr>
            <w:tcW w:type="dxa" w:w="9071"/>
            <w:gridSpan w:val="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Quinto Año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Código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Asignatura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Pre-requisito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Hrs/Sem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Hrs/Año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CPA-501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Operativa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CPA-502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Gabinete de Auditoría Financiera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CPA-503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Tributaria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CPA-504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Gubernamental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CPA-505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Digital, Ciberseguridad y Tecnologías Emergentes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CPA-506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Reportes y Aseguramiento de Sostenibilidad y Auditoría Ambiental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CPA-507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de Proyectos Público y Privado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CPA-508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Forense, Peritaje y Prevención de Delitos Económicos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CPA-509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Auditoría de Entidades Financieras y Servicios Relacionados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CPA-510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Taller de Grado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CPA-401 a CPA-408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80</w:t>
            </w:r>
          </w:p>
        </w:tc>
      </w:tr>
      <w:tr>
        <w:tc>
          <w:tcPr>
            <w:tcW w:type="dxa" w:w="167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Total Quinto Año</w:t>
            </w:r>
          </w:p>
        </w:tc>
        <w:tc>
          <w:tcPr>
            <w:tcW w:type="dxa" w:w="334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30</w:t>
            </w:r>
          </w:p>
        </w:tc>
        <w:tc>
          <w:tcPr>
            <w:tcW w:type="dxa" w:w="172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1.200</w:t>
            </w: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116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01"/>
        <w:gridCol w:w="2470"/>
      </w:tblGrid>
      <w:tr>
        <w:trPr>
          <w:tblHeader/>
        </w:trPr>
        <w:tc>
          <w:tcPr>
            <w:tcW w:type="dxa" w:w="660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Total Carga Horaria – Licenciatura en Contaduría Pública</w:t>
            </w:r>
          </w:p>
        </w:tc>
        <w:tc>
          <w:tcPr>
            <w:tcW w:type="dxa" w:w="247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6.000</w:t>
            </w:r>
          </w:p>
        </w:tc>
      </w:tr>
    </w:tbl>
    <w:p>
      <w:pPr>
        <w:spacing w:before="0" w:after="120" w:line="240" w:lineRule="auto"/>
        <w:jc w:val="left"/>
      </w:pP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/>
          <w:sz w:val="20"/>
        </w:rPr>
        <w:t>AE: Admisión Especial. CPF: Curso Preuniversitario o Prefacultativo. PSA: Prueba de Suficiencia Académica. Las horas anuales resultan de la carga horaria semanal por las 40 semanas de la gestión académica anual.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Cuadro de asignación de cargas horarias presenciales, no presenciales (según formato)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4.4.4.1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Carga Horaria y Distribución por Años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El plan se desarrolla en modalidad presencial de régimen anual durante </w:t>
      </w:r>
      <w:r>
        <w:rPr>
          <w:rFonts w:ascii="Century Gothic" w:hAnsi="Century Gothic" w:cs="Century Gothic" w:eastAsia="Century Gothic"/>
          <w:b/>
          <w:i w:val="0"/>
          <w:sz w:val="20"/>
        </w:rPr>
        <w:t>5 años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6"/>
        <w:gridCol w:w="1299"/>
        <w:gridCol w:w="1412"/>
        <w:gridCol w:w="1412"/>
        <w:gridCol w:w="1918"/>
        <w:gridCol w:w="1465"/>
      </w:tblGrid>
      <w:tr>
        <w:trPr>
          <w:tblHeader/>
        </w:trPr>
        <w:tc>
          <w:tcPr>
            <w:tcW w:type="dxa" w:w="156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Año de Formación</w:t>
            </w:r>
          </w:p>
        </w:tc>
        <w:tc>
          <w:tcPr>
            <w:tcW w:type="dxa" w:w="129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Asignaturas</w:t>
            </w:r>
          </w:p>
        </w:tc>
        <w:tc>
          <w:tcPr>
            <w:tcW w:type="dxa" w:w="141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Carga Semanal</w:t>
            </w:r>
          </w:p>
        </w:tc>
        <w:tc>
          <w:tcPr>
            <w:tcW w:type="dxa" w:w="141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Carga Mensual</w:t>
            </w:r>
          </w:p>
        </w:tc>
        <w:tc>
          <w:tcPr>
            <w:tcW w:type="dxa" w:w="191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Carga Anual (40 Semanas)</w:t>
            </w:r>
          </w:p>
        </w:tc>
        <w:tc>
          <w:tcPr>
            <w:tcW w:type="dxa" w:w="146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Porcentaje (%)</w:t>
            </w:r>
          </w:p>
        </w:tc>
      </w:tr>
      <w:tr>
        <w:tc>
          <w:tcPr>
            <w:tcW w:type="dxa" w:w="156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Primer Año</w:t>
            </w:r>
          </w:p>
        </w:tc>
        <w:tc>
          <w:tcPr>
            <w:tcW w:type="dxa" w:w="129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26 hrs.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104 hrs.</w:t>
            </w:r>
          </w:p>
        </w:tc>
        <w:tc>
          <w:tcPr>
            <w:tcW w:type="dxa" w:w="19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1.040 hrs.</w:t>
            </w:r>
          </w:p>
        </w:tc>
        <w:tc>
          <w:tcPr>
            <w:tcW w:type="dxa" w:w="146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17,34%</w:t>
            </w:r>
          </w:p>
        </w:tc>
      </w:tr>
      <w:tr>
        <w:tc>
          <w:tcPr>
            <w:tcW w:type="dxa" w:w="156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Segundo Año</w:t>
            </w:r>
          </w:p>
        </w:tc>
        <w:tc>
          <w:tcPr>
            <w:tcW w:type="dxa" w:w="129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30 hrs.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120 hrs.</w:t>
            </w:r>
          </w:p>
        </w:tc>
        <w:tc>
          <w:tcPr>
            <w:tcW w:type="dxa" w:w="19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1.200 hrs.</w:t>
            </w:r>
          </w:p>
        </w:tc>
        <w:tc>
          <w:tcPr>
            <w:tcW w:type="dxa" w:w="146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20,00%</w:t>
            </w:r>
          </w:p>
        </w:tc>
      </w:tr>
      <w:tr>
        <w:tc>
          <w:tcPr>
            <w:tcW w:type="dxa" w:w="156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Tercer Año</w:t>
            </w:r>
          </w:p>
        </w:tc>
        <w:tc>
          <w:tcPr>
            <w:tcW w:type="dxa" w:w="129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32 hrs.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128 hrs.</w:t>
            </w:r>
          </w:p>
        </w:tc>
        <w:tc>
          <w:tcPr>
            <w:tcW w:type="dxa" w:w="19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1.280 hrs.</w:t>
            </w:r>
          </w:p>
        </w:tc>
        <w:tc>
          <w:tcPr>
            <w:tcW w:type="dxa" w:w="146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21,33%</w:t>
            </w:r>
          </w:p>
        </w:tc>
      </w:tr>
      <w:tr>
        <w:tc>
          <w:tcPr>
            <w:tcW w:type="dxa" w:w="156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Cuarto Año</w:t>
            </w:r>
          </w:p>
        </w:tc>
        <w:tc>
          <w:tcPr>
            <w:tcW w:type="dxa" w:w="129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32 hrs.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128 hrs.</w:t>
            </w:r>
          </w:p>
        </w:tc>
        <w:tc>
          <w:tcPr>
            <w:tcW w:type="dxa" w:w="19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1.280 hrs.</w:t>
            </w:r>
          </w:p>
        </w:tc>
        <w:tc>
          <w:tcPr>
            <w:tcW w:type="dxa" w:w="146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21,33%</w:t>
            </w:r>
          </w:p>
        </w:tc>
      </w:tr>
      <w:tr>
        <w:tc>
          <w:tcPr>
            <w:tcW w:type="dxa" w:w="156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Quinto Año</w:t>
            </w:r>
          </w:p>
        </w:tc>
        <w:tc>
          <w:tcPr>
            <w:tcW w:type="dxa" w:w="129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30 hrs.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120 hrs.</w:t>
            </w:r>
          </w:p>
        </w:tc>
        <w:tc>
          <w:tcPr>
            <w:tcW w:type="dxa" w:w="19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1.200 hrs.</w:t>
            </w:r>
          </w:p>
        </w:tc>
        <w:tc>
          <w:tcPr>
            <w:tcW w:type="dxa" w:w="146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20,00%</w:t>
            </w:r>
          </w:p>
        </w:tc>
      </w:tr>
      <w:tr>
        <w:tc>
          <w:tcPr>
            <w:tcW w:type="dxa" w:w="156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Total</w:t>
            </w:r>
          </w:p>
        </w:tc>
        <w:tc>
          <w:tcPr>
            <w:tcW w:type="dxa" w:w="129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43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150 hrs.</w:t>
            </w:r>
          </w:p>
        </w:tc>
        <w:tc>
          <w:tcPr>
            <w:tcW w:type="dxa" w:w="141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600 hrs.</w:t>
            </w:r>
          </w:p>
        </w:tc>
        <w:tc>
          <w:tcPr>
            <w:tcW w:type="dxa" w:w="191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6.000 hrs.</w:t>
            </w:r>
          </w:p>
        </w:tc>
        <w:tc>
          <w:tcPr>
            <w:tcW w:type="dxa" w:w="146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100,00%</w:t>
            </w:r>
          </w:p>
        </w:tc>
      </w:tr>
    </w:tbl>
    <w:p>
      <w:pPr>
        <w:spacing w:before="0" w:after="120" w:line="24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  <w:num w:numId="903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