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Aspectos Académicos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4.7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Evaluación de aprendizajes (estrategias, métodos, tipos, procedimientos, instrumentos y pruebas a desarrollar)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4.7.1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Sistema de Evaluación Auténtica del Aprendizaje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En cumplimiento del Artículo 10 del Reglamento de Innovación Curricular de la UMSA (Resolución HCU Nº 032/2025) y del Reglamento de Evaluación y Acreditación Académica del Pregrado (Resolución HCU Nº 424/2023), el proceso de evaluación migra de la comprobación memorística tradicional hacia la </w:t>
      </w:r>
      <w:r>
        <w:rPr>
          <w:rFonts w:ascii="Century Gothic" w:hAnsi="Century Gothic" w:cs="Century Gothic" w:eastAsia="Century Gothic"/>
          <w:b/>
          <w:i w:val="0"/>
          <w:sz w:val="20"/>
        </w:rPr>
        <w:t>evaluación auténtica por competencias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9"/>
        <w:gridCol w:w="3941"/>
        <w:gridCol w:w="3170"/>
      </w:tblGrid>
      <w:tr>
        <w:trPr>
          <w:tblHeader/>
        </w:trPr>
        <w:tc>
          <w:tcPr>
            <w:tcW w:type="dxa" w:w="195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Tipo de Evaluación</w:t>
            </w:r>
          </w:p>
        </w:tc>
        <w:tc>
          <w:tcPr>
            <w:tcW w:type="dxa" w:w="394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Finalidad Pedagógica</w:t>
            </w:r>
          </w:p>
        </w:tc>
        <w:tc>
          <w:tcPr>
            <w:tcW w:type="dxa" w:w="317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Instrumentos y Evidencias</w:t>
            </w:r>
          </w:p>
        </w:tc>
      </w:tr>
      <w:tr>
        <w:tc>
          <w:tcPr>
            <w:tcW w:type="dxa" w:w="195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Diagnóstica (Inicial)</w:t>
            </w:r>
          </w:p>
        </w:tc>
        <w:tc>
          <w:tcPr>
            <w:tcW w:type="dxa" w:w="39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Identifica saberes previos, prerrequisitos cognitivos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expectativas de aprendizaje.</w:t>
            </w:r>
          </w:p>
        </w:tc>
        <w:tc>
          <w:tcPr>
            <w:tcW w:type="dxa" w:w="31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Pruebas de entrada conceptual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Cuestionarios de autodiagnóstico digital</w:t>
            </w:r>
          </w:p>
        </w:tc>
      </w:tr>
      <w:tr>
        <w:tc>
          <w:tcPr>
            <w:tcW w:type="dxa" w:w="195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Formativa (Procesual)</w:t>
            </w:r>
          </w:p>
        </w:tc>
        <w:tc>
          <w:tcPr>
            <w:tcW w:type="dxa" w:w="39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Retroalimenta el proceso de aprendizaje en tiempo real, corrigiendo desvíos técnicos.</w:t>
            </w:r>
          </w:p>
        </w:tc>
        <w:tc>
          <w:tcPr>
            <w:tcW w:type="dxa" w:w="31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Portafolio digital de evidencias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Rúbricas de desempeño en taller.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Casos clínicos / simuladores</w:t>
            </w:r>
          </w:p>
        </w:tc>
      </w:tr>
      <w:tr>
        <w:tc>
          <w:tcPr>
            <w:tcW w:type="dxa" w:w="195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Sumativa (Resultado)</w:t>
            </w:r>
          </w:p>
        </w:tc>
        <w:tc>
          <w:tcPr>
            <w:tcW w:type="dxa" w:w="39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Valora el nivel cuantitativo de logro de las competencias y determina la promoción.</w:t>
            </w:r>
          </w:p>
        </w:tc>
        <w:tc>
          <w:tcPr>
            <w:tcW w:type="dxa" w:w="31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Pruebas escritas y grupales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Defensa de proyectos integradores e informes técnicos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Escala de Valoración y Nota de Aprobación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Escala Numérica: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suma acumulativa de valoración en todas las asignaturas se pondera en la escala de </w:t>
      </w:r>
      <w:r>
        <w:rPr>
          <w:rFonts w:ascii="Century Gothic" w:hAnsi="Century Gothic" w:cs="Century Gothic" w:eastAsia="Century Gothic"/>
          <w:b/>
          <w:i w:val="0"/>
          <w:sz w:val="20"/>
        </w:rPr>
        <w:t>uno (1) a cien (100) puntos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Nota Mínima de Aprobación: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Se requiere un puntaje mínimo de </w:t>
      </w:r>
      <w:r>
        <w:rPr>
          <w:rFonts w:ascii="Century Gothic" w:hAnsi="Century Gothic" w:cs="Century Gothic" w:eastAsia="Century Gothic"/>
          <w:b/>
          <w:i w:val="0"/>
          <w:sz w:val="20"/>
        </w:rPr>
        <w:t>cincuenta y uno (51) puntos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sobre 100 para la aprobación de cualquier asignatura, resultado de la suma ponderada de las evaluaciones procesuales y la prueba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