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Admisión, Promoción y Graduación</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5.</w:t>
        <w:tab/>
      </w:r>
      <w:r>
        <w:rPr>
          <w:rFonts w:ascii="Century Gothic" w:hAnsi="Century Gothic" w:cs="Century Gothic" w:eastAsia="Century Gothic"/>
          <w:b/>
          <w:i w:val="0"/>
          <w:sz w:val="24"/>
        </w:rPr>
        <w:t>Admisión, promoción y graduación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5.1</w:t>
        <w:tab/>
      </w:r>
      <w:r>
        <w:rPr>
          <w:rFonts w:ascii="Century Gothic" w:hAnsi="Century Gothic" w:cs="Century Gothic" w:eastAsia="Century Gothic"/>
          <w:b/>
          <w:i w:val="0"/>
          <w:sz w:val="24"/>
        </w:rPr>
        <w:t>Perfil del postulante</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5.1.1</w:t>
        <w:tab/>
      </w:r>
      <w:r>
        <w:rPr>
          <w:rFonts w:ascii="Century Gothic" w:hAnsi="Century Gothic" w:cs="Century Gothic" w:eastAsia="Century Gothic"/>
          <w:b/>
          <w:i w:val="0"/>
          <w:sz w:val="22"/>
        </w:rPr>
        <w:t>Perfil del Postulante (Perfil de Ingreso)</w:t>
      </w:r>
    </w:p>
    <w:p>
      <w:pPr>
        <w:spacing w:before="0" w:after="200" w:line="240" w:lineRule="auto"/>
        <w:jc w:val="both"/>
      </w:pPr>
      <w:r>
        <w:rPr>
          <w:rFonts w:ascii="Century Gothic" w:hAnsi="Century Gothic" w:cs="Century Gothic" w:eastAsia="Century Gothic"/>
          <w:b w:val="0"/>
          <w:i w:val="0"/>
          <w:sz w:val="20"/>
        </w:rPr>
        <w:t>El postulante a la Carrera de Contaduría Pública de la UMSA es un bachiller que demuestra vocación por las ciencias económicas, contables y financieras, caracterizándose por poseer:</w:t>
      </w:r>
    </w:p>
    <w:p>
      <w:pPr>
        <w:numPr>
          <w:ilvl w:val="0"/>
          <w:numId w:val="901"/>
        </w:numPr>
        <w:spacing w:before="0" w:after="160" w:line="240" w:lineRule="auto"/>
        <w:jc w:val="both"/>
      </w:pPr>
      <w:r>
        <w:rPr>
          <w:rFonts w:ascii="Century Gothic" w:hAnsi="Century Gothic" w:cs="Century Gothic" w:eastAsia="Century Gothic"/>
          <w:b/>
          <w:i w:val="0"/>
          <w:sz w:val="20"/>
        </w:rPr>
        <w:t>Base Cognitiva Fundamental:</w:t>
      </w:r>
      <w:r>
        <w:rPr>
          <w:rFonts w:ascii="Century Gothic" w:hAnsi="Century Gothic" w:cs="Century Gothic" w:eastAsia="Century Gothic"/>
          <w:b w:val="0"/>
          <w:i w:val="0"/>
          <w:sz w:val="20"/>
        </w:rPr>
        <w:t xml:space="preserve"> Conocimientos básicos en matemáticas (aritmética, álgebra y lógica matemática), lenguaje (gramática, ortografía, comprensión lectora y redacción) y una noción elemental del entorno socioeconómico nacional.</w:t>
      </w:r>
    </w:p>
    <w:p>
      <w:pPr>
        <w:numPr>
          <w:ilvl w:val="0"/>
          <w:numId w:val="901"/>
        </w:numPr>
        <w:spacing w:before="0" w:after="160" w:line="240" w:lineRule="auto"/>
        <w:jc w:val="both"/>
      </w:pPr>
      <w:r>
        <w:rPr>
          <w:rFonts w:ascii="Century Gothic" w:hAnsi="Century Gothic" w:cs="Century Gothic" w:eastAsia="Century Gothic"/>
          <w:b/>
          <w:i w:val="0"/>
          <w:sz w:val="20"/>
        </w:rPr>
        <w:t>Aptitudes Analíticas y Cuantitativas:</w:t>
      </w:r>
      <w:r>
        <w:rPr>
          <w:rFonts w:ascii="Century Gothic" w:hAnsi="Century Gothic" w:cs="Century Gothic" w:eastAsia="Century Gothic"/>
          <w:b w:val="0"/>
          <w:i w:val="0"/>
          <w:sz w:val="20"/>
        </w:rPr>
        <w:t xml:space="preserve"> Capacidad de razonamiento lógico-deductivo, aptitud para la resolución de problemas numéricos, habilidad para la comunicación verbal/escrita y disposición para el aprendizaje de tecnologías de la información e idiomas (inglés).</w:t>
      </w:r>
    </w:p>
    <w:p>
      <w:pPr>
        <w:numPr>
          <w:ilvl w:val="0"/>
          <w:numId w:val="901"/>
        </w:numPr>
        <w:spacing w:before="0" w:after="160" w:line="240" w:lineRule="auto"/>
        <w:jc w:val="both"/>
      </w:pPr>
      <w:r>
        <w:rPr>
          <w:rFonts w:ascii="Century Gothic" w:hAnsi="Century Gothic" w:cs="Century Gothic" w:eastAsia="Century Gothic"/>
          <w:b/>
          <w:i w:val="0"/>
          <w:sz w:val="20"/>
        </w:rPr>
        <w:t>Actitudes y Valores:</w:t>
      </w:r>
      <w:r>
        <w:rPr>
          <w:rFonts w:ascii="Century Gothic" w:hAnsi="Century Gothic" w:cs="Century Gothic" w:eastAsia="Century Gothic"/>
          <w:b w:val="0"/>
          <w:i w:val="0"/>
          <w:sz w:val="20"/>
        </w:rPr>
        <w:t xml:space="preserve"> Integridad personal, conducta ética, compromiso con la transparencia, disposición para el trabajo colaborativo, disciplina de estudio, espíritu reflexivo y responsabilidad social.</w:t>
      </w:r>
    </w:p>
    <w:p>
      <w:pPr>
        <w:numPr>
          <w:ilvl w:val="0"/>
          <w:numId w:val="901"/>
        </w:numPr>
        <w:spacing w:before="0" w:after="200" w:line="240" w:lineRule="auto"/>
        <w:jc w:val="both"/>
      </w:pPr>
      <w:r>
        <w:rPr>
          <w:rFonts w:ascii="Century Gothic" w:hAnsi="Century Gothic" w:cs="Century Gothic" w:eastAsia="Century Gothic"/>
          <w:b/>
          <w:i w:val="0"/>
          <w:sz w:val="20"/>
        </w:rPr>
        <w:t>Mecanismos de Admisión (IES 1 de la IFAC):</w:t>
      </w:r>
      <w:r>
        <w:rPr>
          <w:rFonts w:ascii="Century Gothic" w:hAnsi="Century Gothic" w:cs="Century Gothic" w:eastAsia="Century Gothic"/>
          <w:b w:val="0"/>
          <w:i w:val="0"/>
          <w:sz w:val="20"/>
        </w:rPr>
        <w:t xml:space="preserve"> Para su incorporación formal, el postulante debe superar los procesos de evaluación de los Cursos Pre-Facultativos (CPF), las Pruebas de Suficiencia Académica (PSA) o acogerse al Régimen de Admisión Especial (bachilleres de excelencia, convenios y normas UMSA/SUB).</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5.2</w:t>
        <w:tab/>
      </w:r>
      <w:r>
        <w:rPr>
          <w:rFonts w:ascii="Century Gothic" w:hAnsi="Century Gothic" w:cs="Century Gothic" w:eastAsia="Century Gothic"/>
          <w:b/>
          <w:i w:val="0"/>
          <w:sz w:val="24"/>
        </w:rPr>
        <w:t>Modalidades de admisión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5.2.1</w:t>
        <w:tab/>
      </w:r>
      <w:r>
        <w:rPr>
          <w:rFonts w:ascii="Century Gothic" w:hAnsi="Century Gothic" w:cs="Century Gothic" w:eastAsia="Century Gothic"/>
          <w:b/>
          <w:i w:val="0"/>
          <w:sz w:val="22"/>
        </w:rPr>
        <w:t>Sistema de Admisión Estudiantil</w:t>
      </w:r>
    </w:p>
    <w:p>
      <w:pPr>
        <w:spacing w:before="0" w:after="200" w:line="240" w:lineRule="auto"/>
        <w:jc w:val="both"/>
      </w:pPr>
      <w:r>
        <w:rPr>
          <w:rFonts w:ascii="Century Gothic" w:hAnsi="Century Gothic" w:cs="Century Gothic" w:eastAsia="Century Gothic"/>
          <w:b w:val="0"/>
          <w:i w:val="0"/>
          <w:sz w:val="20"/>
        </w:rPr>
        <w:t>El sistema de admisión de postulantes a la Carrera de Contaduría Pública de la UMSA se rige estrictamente por el Reglamento del Régimen Estudiantil de la Universidad Boliviana (aprobado en los Congresos Nacionales del SUB) y el Reglamento de Admisión Facultativa aprobado por la Resolución HCU Nº 184/98 del Honorable Consejo Universitario de la Universidad Mayor de “San Andrés” emitida el 9 de septiembre de 1998.</w:t>
      </w:r>
    </w:p>
    <w:p>
      <w:pPr>
        <w:spacing w:before="0" w:after="200" w:line="240" w:lineRule="auto"/>
        <w:jc w:val="both"/>
      </w:pPr>
      <w:r>
        <w:rPr>
          <w:rFonts w:ascii="Century Gothic" w:hAnsi="Century Gothic" w:cs="Century Gothic" w:eastAsia="Century Gothic"/>
          <w:b w:val="0"/>
          <w:i w:val="0"/>
          <w:sz w:val="20"/>
        </w:rPr>
        <w:t>En el marco de la gratuidad, equidad, transparencia y meritocracia de la educación superior pública, la Carrera reconoce únicamente tres (3) modalidades oficiales de admisión:</w:t>
      </w:r>
    </w:p>
    <w:p>
      <w:pPr>
        <w:numPr>
          <w:ilvl w:val="0"/>
          <w:numId w:val="902"/>
        </w:numPr>
        <w:spacing w:before="0" w:after="160" w:line="240" w:lineRule="auto"/>
        <w:jc w:val="both"/>
      </w:pPr>
      <w:r>
        <w:rPr>
          <w:rFonts w:ascii="Century Gothic" w:hAnsi="Century Gothic" w:cs="Century Gothic" w:eastAsia="Century Gothic"/>
          <w:b/>
          <w:i w:val="0"/>
          <w:sz w:val="20"/>
        </w:rPr>
        <w:t>Prueba de Suficiencia Académica (P.S.A.):</w:t>
      </w:r>
      <w:r>
        <w:rPr>
          <w:rFonts w:ascii="Century Gothic" w:hAnsi="Century Gothic" w:cs="Century Gothic" w:eastAsia="Century Gothic"/>
          <w:b w:val="0"/>
          <w:i w:val="0"/>
          <w:sz w:val="20"/>
        </w:rPr>
        <w:t xml:space="preserve"> Mecanismo de evaluación presencial directa de conocimientos básicos (matemáticas, lenguaje, lógica y entorno socioeconómico) y diagnóstico psicotécnico, que permite a los bachilleres habilitarse para iniciar estudios universitarios sin el requisito del curso preuniversitario.</w:t>
      </w:r>
    </w:p>
    <w:p>
      <w:pPr>
        <w:numPr>
          <w:ilvl w:val="0"/>
          <w:numId w:val="902"/>
        </w:numPr>
        <w:spacing w:before="0" w:after="160" w:line="240" w:lineRule="auto"/>
        <w:jc w:val="both"/>
      </w:pPr>
      <w:r>
        <w:rPr>
          <w:rFonts w:ascii="Century Gothic" w:hAnsi="Century Gothic" w:cs="Century Gothic" w:eastAsia="Century Gothic"/>
          <w:b/>
          <w:i w:val="0"/>
          <w:sz w:val="20"/>
        </w:rPr>
        <w:t>Curso Pre-Facultativo (C.P.F. / C.P.U.):</w:t>
      </w:r>
      <w:r>
        <w:rPr>
          <w:rFonts w:ascii="Century Gothic" w:hAnsi="Century Gothic" w:cs="Century Gothic" w:eastAsia="Century Gothic"/>
          <w:b w:val="0"/>
          <w:i w:val="0"/>
          <w:sz w:val="20"/>
        </w:rPr>
        <w:t xml:space="preserve"> Programa académico intensivo de nivelación que fortalece las capacidades cognoscitivas, aptitudes y razonamiento lógico de los postulantes. Comprende clases lectivas, pruebas parciales, trabajos prácticos y una evaluación final integradora.</w:t>
      </w:r>
    </w:p>
    <w:p>
      <w:pPr>
        <w:numPr>
          <w:ilvl w:val="0"/>
          <w:numId w:val="902"/>
        </w:numPr>
        <w:spacing w:before="0" w:after="160" w:line="240" w:lineRule="auto"/>
        <w:jc w:val="both"/>
      </w:pPr>
      <w:r>
        <w:rPr>
          <w:rFonts w:ascii="Century Gothic" w:hAnsi="Century Gothic" w:cs="Century Gothic" w:eastAsia="Century Gothic"/>
          <w:b/>
          <w:i w:val="0"/>
          <w:sz w:val="20"/>
        </w:rPr>
        <w:t>Admisión Especial (A.E.):</w:t>
      </w:r>
      <w:r>
        <w:rPr>
          <w:rFonts w:ascii="Century Gothic" w:hAnsi="Century Gothic" w:cs="Century Gothic" w:eastAsia="Century Gothic"/>
          <w:b w:val="0"/>
          <w:i w:val="0"/>
          <w:sz w:val="20"/>
        </w:rPr>
        <w:t xml:space="preserve"> Procedimiento académico-administrativo regulado por la normativa del SUB y la UMSA, mediante el cual quedan exentos de la P.S.A. o C.P.F. las personas que acrediten:</w:t>
      </w:r>
    </w:p>
    <w:p>
      <w:pPr>
        <w:numPr>
          <w:ilvl w:val="1"/>
          <w:numId w:val="902"/>
        </w:numPr>
        <w:spacing w:before="0" w:after="60" w:line="240" w:lineRule="auto"/>
        <w:jc w:val="both"/>
      </w:pPr>
      <w:r>
        <w:rPr>
          <w:rFonts w:ascii="Century Gothic" w:hAnsi="Century Gothic" w:cs="Century Gothic" w:eastAsia="Century Gothic"/>
          <w:b w:val="0"/>
          <w:i w:val="0"/>
          <w:sz w:val="20"/>
        </w:rPr>
        <w:t>Título de Licenciatura o Técnico Superior expedido por el Sistema de la Universidad Boliviana.</w:t>
      </w:r>
    </w:p>
    <w:p>
      <w:pPr>
        <w:numPr>
          <w:ilvl w:val="1"/>
          <w:numId w:val="902"/>
        </w:numPr>
        <w:spacing w:before="0" w:after="60" w:line="240" w:lineRule="auto"/>
        <w:jc w:val="both"/>
      </w:pPr>
      <w:r>
        <w:rPr>
          <w:rFonts w:ascii="Century Gothic" w:hAnsi="Century Gothic" w:cs="Century Gothic" w:eastAsia="Century Gothic"/>
          <w:b w:val="0"/>
          <w:i w:val="0"/>
          <w:sz w:val="20"/>
        </w:rPr>
        <w:t>Graduados de Colegios Militares, Universidad Policial o Escuelas Superiores de Formación de Maestros.</w:t>
      </w:r>
    </w:p>
    <w:p>
      <w:pPr>
        <w:numPr>
          <w:ilvl w:val="1"/>
          <w:numId w:val="902"/>
        </w:numPr>
        <w:spacing w:before="0" w:after="60" w:line="240" w:lineRule="auto"/>
        <w:jc w:val="both"/>
      </w:pPr>
      <w:r>
        <w:rPr>
          <w:rFonts w:ascii="Century Gothic" w:hAnsi="Century Gothic" w:cs="Century Gothic" w:eastAsia="Century Gothic"/>
          <w:b w:val="0"/>
          <w:i w:val="0"/>
          <w:sz w:val="20"/>
        </w:rPr>
        <w:t>Bachilleres con promedios de excelencia académica.</w:t>
      </w:r>
    </w:p>
    <w:p>
      <w:pPr>
        <w:numPr>
          <w:ilvl w:val="1"/>
          <w:numId w:val="902"/>
        </w:numPr>
        <w:spacing w:before="0" w:after="60" w:line="240" w:lineRule="auto"/>
        <w:jc w:val="both"/>
      </w:pPr>
      <w:r>
        <w:rPr>
          <w:rFonts w:ascii="Century Gothic" w:hAnsi="Century Gothic" w:cs="Century Gothic" w:eastAsia="Century Gothic"/>
          <w:b w:val="0"/>
          <w:i w:val="0"/>
          <w:sz w:val="20"/>
        </w:rPr>
        <w:t>Ganadores de olimpiadas científicas, culturales o deportivas.</w:t>
      </w:r>
    </w:p>
    <w:p>
      <w:pPr>
        <w:numPr>
          <w:ilvl w:val="1"/>
          <w:numId w:val="902"/>
        </w:numPr>
        <w:spacing w:before="0" w:after="200" w:line="240" w:lineRule="auto"/>
        <w:jc w:val="both"/>
      </w:pPr>
      <w:r>
        <w:rPr>
          <w:rFonts w:ascii="Century Gothic" w:hAnsi="Century Gothic" w:cs="Century Gothic" w:eastAsia="Century Gothic"/>
          <w:b w:val="0"/>
          <w:i w:val="0"/>
          <w:sz w:val="20"/>
        </w:rPr>
        <w:t>Postulantes beneficiarios de programas de inclusión social (pueblos originarios o personas con discapacidad).</w:t>
      </w:r>
    </w:p>
    <w:p>
      <w:pPr>
        <w:spacing w:before="0" w:after="200" w:line="240" w:lineRule="auto"/>
        <w:jc w:val="both"/>
      </w:pPr>
      <w:r>
        <w:rPr>
          <w:rFonts w:ascii="Century Gothic" w:hAnsi="Century Gothic" w:cs="Century Gothic" w:eastAsia="Century Gothic"/>
          <w:b w:val="0"/>
          <w:i w:val="0"/>
          <w:sz w:val="20"/>
        </w:rPr>
        <w:t>Conforme a la normativa universitaria, la Carrera no reconoce ninguna otra modalidad de ingreso de carácter extraordinario, garantizando la igualdad de oportunidades para todos los aspirantes.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5.3</w:t>
        <w:tab/>
      </w:r>
      <w:r>
        <w:rPr>
          <w:rFonts w:ascii="Century Gothic" w:hAnsi="Century Gothic" w:cs="Century Gothic" w:eastAsia="Century Gothic"/>
          <w:b/>
          <w:i w:val="0"/>
          <w:sz w:val="24"/>
        </w:rPr>
        <w:t>Condiciones de permanencia, licencias, suspensiones, plazo máximo de reincorporación, abandono, etc.</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5.3.1</w:t>
        <w:tab/>
      </w:r>
      <w:r>
        <w:rPr>
          <w:rFonts w:ascii="Century Gothic" w:hAnsi="Century Gothic" w:cs="Century Gothic" w:eastAsia="Century Gothic"/>
          <w:b/>
          <w:i w:val="0"/>
          <w:sz w:val="22"/>
        </w:rPr>
        <w:t>Sistema de Administración Curricular y Régimen Académico</w:t>
      </w:r>
    </w:p>
    <w:p>
      <w:pPr>
        <w:spacing w:before="0" w:after="200" w:line="240" w:lineRule="auto"/>
        <w:jc w:val="both"/>
      </w:pPr>
      <w:r>
        <w:rPr>
          <w:rFonts w:ascii="Century Gothic" w:hAnsi="Century Gothic" w:cs="Century Gothic" w:eastAsia="Century Gothic"/>
          <w:b w:val="0"/>
          <w:i w:val="0"/>
          <w:sz w:val="20"/>
        </w:rPr>
        <w:t xml:space="preserve">El Plan de Estudios 2027 de la Carrera de Contaduría Pública de la UMSA se administra bajo una </w:t>
      </w:r>
      <w:r>
        <w:rPr>
          <w:rFonts w:ascii="Century Gothic" w:hAnsi="Century Gothic" w:cs="Century Gothic" w:eastAsia="Century Gothic"/>
          <w:b/>
          <w:i w:val="0"/>
          <w:sz w:val="20"/>
        </w:rPr>
        <w:t>modalidad presencial de régimen anualizado</w:t>
      </w:r>
      <w:r>
        <w:rPr>
          <w:rFonts w:ascii="Century Gothic" w:hAnsi="Century Gothic" w:cs="Century Gothic" w:eastAsia="Century Gothic"/>
          <w:b w:val="0"/>
          <w:i w:val="0"/>
          <w:sz w:val="20"/>
        </w:rPr>
        <w:t xml:space="preserve"> compuesto por 5 gestiones académicas (40 semanas lectivas por gestión), en conformidad con el Estatuto Orgánico de la UMSA y el Reglamento del Régimen Estudiantil del Sistema de la Universidad Boliviana.</w:t>
      </w:r>
    </w:p>
    <w:p>
      <w:pPr>
        <w:spacing w:before="0" w:after="200" w:line="240" w:lineRule="auto"/>
        <w:jc w:val="both"/>
      </w:pPr>
      <w:r>
        <w:rPr>
          <w:rFonts w:ascii="Century Gothic" w:hAnsi="Century Gothic" w:cs="Century Gothic" w:eastAsia="Century Gothic"/>
          <w:b w:val="0"/>
          <w:i w:val="0"/>
          <w:sz w:val="20"/>
        </w:rPr>
        <w:t>Para apoyar la prosecución académica, la nivelación y la disminución de los índices de retención estudiantil, se contemplan las siguientes modalidades académicas complementarias:</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a.</w:t>
        <w:tab/>
      </w:r>
      <w:r>
        <w:rPr>
          <w:rFonts w:ascii="Century Gothic" w:hAnsi="Century Gothic" w:cs="Century Gothic" w:eastAsia="Century Gothic"/>
          <w:b/>
          <w:i w:val="0"/>
          <w:sz w:val="22"/>
        </w:rPr>
        <w:t>Cursos Intensivos de Temporada (Verano)</w:t>
      </w:r>
    </w:p>
    <w:p>
      <w:pPr>
        <w:spacing w:before="0" w:after="200" w:line="240" w:lineRule="auto"/>
        <w:jc w:val="both"/>
      </w:pPr>
      <w:r>
        <w:rPr>
          <w:rFonts w:ascii="Century Gothic" w:hAnsi="Century Gothic" w:cs="Century Gothic" w:eastAsia="Century Gothic"/>
          <w:b w:val="0"/>
          <w:i w:val="0"/>
          <w:sz w:val="20"/>
        </w:rPr>
        <w:t xml:space="preserve">Normados por la </w:t>
      </w:r>
      <w:r>
        <w:rPr>
          <w:rFonts w:ascii="Century Gothic" w:hAnsi="Century Gothic" w:cs="Century Gothic" w:eastAsia="Century Gothic"/>
          <w:b/>
          <w:i w:val="0"/>
          <w:sz w:val="20"/>
        </w:rPr>
        <w:t>Resolución HCU Nº 093/2006 Reglamento de Cursos de Temporada de la UMSA</w:t>
      </w:r>
      <w:r>
        <w:rPr>
          <w:rFonts w:ascii="Century Gothic" w:hAnsi="Century Gothic" w:cs="Century Gothic" w:eastAsia="Century Gothic"/>
          <w:b w:val="0"/>
          <w:i w:val="0"/>
          <w:sz w:val="20"/>
        </w:rPr>
        <w:t xml:space="preserve">, de 15 de marzo de 2006 que en su Artículo 13º establece que: </w:t>
      </w:r>
      <w:r>
        <w:rPr>
          <w:rFonts w:ascii="Century Gothic" w:hAnsi="Century Gothic" w:cs="Century Gothic" w:eastAsia="Century Gothic"/>
          <w:b w:val="0"/>
          <w:i/>
          <w:sz w:val="20"/>
        </w:rPr>
        <w:t>“Las Carreras tienen la tuición de elegir las materias a ser dictadas en el periodo que dure los Cursos de Temporada en función de aspectos que cada unidad académica considere importante, debiendo sus contenidos ser cubiertos en un 100% en teoría y en práctica”</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 xml:space="preserve">Así mismo, el Artículo 6ª de dicha norma establece que: </w:t>
      </w:r>
      <w:r>
        <w:rPr>
          <w:rFonts w:ascii="Century Gothic" w:hAnsi="Century Gothic" w:cs="Century Gothic" w:eastAsia="Century Gothic"/>
          <w:b w:val="0"/>
          <w:i/>
          <w:sz w:val="20"/>
        </w:rPr>
        <w:t>“Cada curso se desarrollará en forma intensiva … al finalizar la gestión en caso de carreras anualizadas por un lapso de 60 días calendario (8 semanas) mínimamente, equivalente a la carga horaria suficiente para desarrollar la totalidad de su programa analítico en vigencia…”</w:t>
      </w:r>
      <w:r>
        <w:rPr>
          <w:rFonts w:ascii="Century Gothic" w:hAnsi="Century Gothic" w:cs="Century Gothic" w:eastAsia="Century Gothic"/>
          <w:b w:val="0"/>
          <w:i w:val="0"/>
          <w:sz w:val="20"/>
        </w:rPr>
        <w:t>.</w:t>
      </w:r>
    </w:p>
    <w:p>
      <w:pPr>
        <w:numPr>
          <w:ilvl w:val="0"/>
          <w:numId w:val="903"/>
        </w:numPr>
        <w:spacing w:before="0" w:after="160" w:line="240" w:lineRule="auto"/>
        <w:jc w:val="both"/>
      </w:pPr>
      <w:r>
        <w:rPr>
          <w:rFonts w:ascii="Century Gothic" w:hAnsi="Century Gothic" w:cs="Century Gothic" w:eastAsia="Century Gothic"/>
          <w:b/>
          <w:i w:val="0"/>
          <w:sz w:val="20"/>
        </w:rPr>
        <w:t>Propósito:</w:t>
      </w:r>
      <w:r>
        <w:rPr>
          <w:rFonts w:ascii="Century Gothic" w:hAnsi="Century Gothic" w:cs="Century Gothic" w:eastAsia="Century Gothic"/>
          <w:b w:val="0"/>
          <w:i w:val="0"/>
          <w:sz w:val="20"/>
        </w:rPr>
        <w:t xml:space="preserve"> Ofrecer a los estudiantes regulares de la Carrera, la opción de cursar en un periodo intensivo en cada temporada, para nivelar o adelantar hasta dos asignaturas, cumpliendo los requisitos y pre-requisitos establecidos en los planes de estudio y reglamentos facultativos.</w:t>
      </w:r>
    </w:p>
    <w:p>
      <w:pPr>
        <w:numPr>
          <w:ilvl w:val="0"/>
          <w:numId w:val="903"/>
        </w:numPr>
        <w:spacing w:before="0" w:after="160" w:line="240" w:lineRule="auto"/>
        <w:jc w:val="both"/>
      </w:pPr>
      <w:r>
        <w:rPr>
          <w:rFonts w:ascii="Century Gothic" w:hAnsi="Century Gothic" w:cs="Century Gothic" w:eastAsia="Century Gothic"/>
          <w:b/>
          <w:i w:val="0"/>
          <w:sz w:val="20"/>
        </w:rPr>
        <w:t>Alcance por Áreas:</w:t>
      </w:r>
      <w:r>
        <w:rPr>
          <w:rFonts w:ascii="Century Gothic" w:hAnsi="Century Gothic" w:cs="Century Gothic" w:eastAsia="Century Gothic"/>
          <w:b w:val="0"/>
          <w:i w:val="0"/>
          <w:sz w:val="20"/>
        </w:rPr>
        <w:t xml:space="preserve"> Aplicable sin restricciones para todas las </w:t>
      </w:r>
      <w:r>
        <w:rPr>
          <w:rFonts w:ascii="Century Gothic" w:hAnsi="Century Gothic" w:cs="Century Gothic" w:eastAsia="Century Gothic"/>
          <w:b/>
          <w:i w:val="0"/>
          <w:sz w:val="20"/>
        </w:rPr>
        <w:t>Asignaturas Contextuales</w:t>
      </w:r>
      <w:r>
        <w:rPr>
          <w:rFonts w:ascii="Century Gothic" w:hAnsi="Century Gothic" w:cs="Century Gothic" w:eastAsia="Century Gothic"/>
          <w:b w:val="0"/>
          <w:i w:val="0"/>
          <w:sz w:val="20"/>
        </w:rPr>
        <w:t xml:space="preserve"> (14 materias de Administración, Derecho, Economía y Matemáticas) y para las </w:t>
      </w:r>
      <w:r>
        <w:rPr>
          <w:rFonts w:ascii="Century Gothic" w:hAnsi="Century Gothic" w:cs="Century Gothic" w:eastAsia="Century Gothic"/>
          <w:b/>
          <w:i w:val="0"/>
          <w:sz w:val="20"/>
        </w:rPr>
        <w:t>Asignaturas Troncales</w:t>
      </w:r>
      <w:r>
        <w:rPr>
          <w:rFonts w:ascii="Century Gothic" w:hAnsi="Century Gothic" w:cs="Century Gothic" w:eastAsia="Century Gothic"/>
          <w:b w:val="0"/>
          <w:i w:val="0"/>
          <w:sz w:val="20"/>
        </w:rPr>
        <w:t xml:space="preserve"> con una carga horaria igual o menor a 80 horas anuales (CPA-102, CPA-204, CPA-406, CPA-506, CPA-507, CPA-508, CPA-509 y CPA-510).</w:t>
      </w:r>
    </w:p>
    <w:p>
      <w:pPr>
        <w:numPr>
          <w:ilvl w:val="0"/>
          <w:numId w:val="903"/>
        </w:numPr>
        <w:spacing w:before="0" w:after="200" w:line="240" w:lineRule="auto"/>
        <w:jc w:val="both"/>
      </w:pPr>
      <w:r>
        <w:rPr>
          <w:rFonts w:ascii="Century Gothic" w:hAnsi="Century Gothic" w:cs="Century Gothic" w:eastAsia="Century Gothic"/>
          <w:b/>
          <w:i w:val="0"/>
          <w:sz w:val="20"/>
        </w:rPr>
        <w:t>Condición de Recuperación:</w:t>
      </w:r>
      <w:r>
        <w:rPr>
          <w:rFonts w:ascii="Century Gothic" w:hAnsi="Century Gothic" w:cs="Century Gothic" w:eastAsia="Century Gothic"/>
          <w:b w:val="0"/>
          <w:i w:val="0"/>
          <w:sz w:val="20"/>
        </w:rPr>
        <w:t xml:space="preserve"> Para asignaturas troncales con carga horaria superior a 80 horas, el estudiante podrá acceder a curso de verano </w:t>
      </w:r>
      <w:r>
        <w:rPr>
          <w:rFonts w:ascii="Century Gothic" w:hAnsi="Century Gothic" w:cs="Century Gothic" w:eastAsia="Century Gothic"/>
          <w:b/>
          <w:i w:val="0"/>
          <w:sz w:val="20"/>
        </w:rPr>
        <w:t>únicamente en calidad de</w:t>
      </w:r>
      <w:r>
        <w:rPr>
          <w:rFonts w:ascii="Century Gothic" w:hAnsi="Century Gothic" w:cs="Century Gothic" w:eastAsia="Century Gothic"/>
          <w:b w:val="0"/>
          <w:i w:val="0"/>
          <w:sz w:val="20"/>
        </w:rPr>
        <w:t xml:space="preserve"> </w:t>
      </w:r>
      <w:r>
        <w:rPr>
          <w:rFonts w:ascii="Century Gothic" w:hAnsi="Century Gothic" w:cs="Century Gothic" w:eastAsia="Century Gothic"/>
          <w:b/>
          <w:i w:val="0"/>
          <w:sz w:val="20"/>
        </w:rPr>
        <w:t>recuperación</w:t>
      </w:r>
      <w:r>
        <w:rPr>
          <w:rFonts w:ascii="Century Gothic" w:hAnsi="Century Gothic" w:cs="Century Gothic" w:eastAsia="Century Gothic"/>
          <w:b w:val="0"/>
          <w:i w:val="0"/>
          <w:sz w:val="20"/>
        </w:rPr>
        <w:t xml:space="preserve"> de materia reprobada, habiendo obtenido una nota previa igual o mayor a treinta (30) sobre cien (100) puntos en la gestión ordinaria previa.</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b.</w:t>
        <w:tab/>
      </w:r>
      <w:r>
        <w:rPr>
          <w:rFonts w:ascii="Century Gothic" w:hAnsi="Century Gothic" w:cs="Century Gothic" w:eastAsia="Century Gothic"/>
          <w:b/>
          <w:i w:val="0"/>
          <w:sz w:val="22"/>
        </w:rPr>
        <w:t>Mesas de Examen</w:t>
      </w:r>
    </w:p>
    <w:p>
      <w:pPr>
        <w:spacing w:before="0" w:after="200" w:line="240" w:lineRule="auto"/>
        <w:jc w:val="both"/>
      </w:pPr>
      <w:r>
        <w:rPr>
          <w:rFonts w:ascii="Century Gothic" w:hAnsi="Century Gothic" w:cs="Century Gothic" w:eastAsia="Century Gothic"/>
          <w:b w:val="0"/>
          <w:i w:val="0"/>
          <w:sz w:val="20"/>
        </w:rPr>
        <w:t xml:space="preserve">Reguladas por la </w:t>
      </w:r>
      <w:r>
        <w:rPr>
          <w:rFonts w:ascii="Century Gothic" w:hAnsi="Century Gothic" w:cs="Century Gothic" w:eastAsia="Century Gothic"/>
          <w:b/>
          <w:i w:val="0"/>
          <w:sz w:val="20"/>
        </w:rPr>
        <w:t>Resolución HCU Nº 352/2021 Reglamento de Mesa de Examen de la UMSA</w:t>
      </w:r>
      <w:r>
        <w:rPr>
          <w:rFonts w:ascii="Century Gothic" w:hAnsi="Century Gothic" w:cs="Century Gothic" w:eastAsia="Century Gothic"/>
          <w:b w:val="0"/>
          <w:i w:val="0"/>
          <w:sz w:val="20"/>
        </w:rPr>
        <w:t xml:space="preserve"> de 21 de julio de 2021 que en su Artículo 8º establece que: “</w:t>
      </w:r>
      <w:r>
        <w:rPr>
          <w:rFonts w:ascii="Century Gothic" w:hAnsi="Century Gothic" w:cs="Century Gothic" w:eastAsia="Century Gothic"/>
          <w:b w:val="0"/>
          <w:i/>
          <w:sz w:val="20"/>
        </w:rPr>
        <w:t>La mesa de examen se aplica tan solo a las materias teóricas del plan de estudios. El Consejo de Carrera definirá la lista de materias habilitadas, debiendo dar a conocer públicamente la nómina de las mismas”</w:t>
      </w:r>
      <w:r>
        <w:rPr>
          <w:rFonts w:ascii="Century Gothic" w:hAnsi="Century Gothic" w:cs="Century Gothic" w:eastAsia="Century Gothic"/>
          <w:b w:val="0"/>
          <w:i w:val="0"/>
          <w:sz w:val="20"/>
        </w:rPr>
        <w:t>.</w:t>
      </w:r>
    </w:p>
    <w:p>
      <w:pPr>
        <w:numPr>
          <w:ilvl w:val="0"/>
          <w:numId w:val="903"/>
        </w:numPr>
        <w:spacing w:before="0" w:after="160" w:line="240" w:lineRule="auto"/>
        <w:jc w:val="both"/>
      </w:pPr>
      <w:r>
        <w:rPr>
          <w:rFonts w:ascii="Century Gothic" w:hAnsi="Century Gothic" w:cs="Century Gothic" w:eastAsia="Century Gothic"/>
          <w:b/>
          <w:i w:val="0"/>
          <w:sz w:val="20"/>
        </w:rPr>
        <w:t>Definición:</w:t>
      </w:r>
      <w:r>
        <w:rPr>
          <w:rFonts w:ascii="Century Gothic" w:hAnsi="Century Gothic" w:cs="Century Gothic" w:eastAsia="Century Gothic"/>
          <w:b w:val="0"/>
          <w:i w:val="0"/>
          <w:sz w:val="20"/>
        </w:rPr>
        <w:t xml:space="preserve"> Modalidad de evaluación extraordinaria que exime al estudiante de cursar la materia durante toda la gestión, rindiendo un examen integral (escrito y oral) sobre el 100% del programa analítico.</w:t>
      </w:r>
    </w:p>
    <w:p>
      <w:pPr>
        <w:numPr>
          <w:ilvl w:val="0"/>
          <w:numId w:val="903"/>
        </w:numPr>
        <w:spacing w:before="0" w:after="200" w:line="240" w:lineRule="auto"/>
        <w:jc w:val="both"/>
      </w:pPr>
      <w:r>
        <w:rPr>
          <w:rFonts w:ascii="Century Gothic" w:hAnsi="Century Gothic" w:cs="Century Gothic" w:eastAsia="Century Gothic"/>
          <w:b/>
          <w:i w:val="0"/>
          <w:sz w:val="20"/>
        </w:rPr>
        <w:t>Condiciones de Habilitación:</w:t>
      </w:r>
      <w:r>
        <w:rPr>
          <w:rFonts w:ascii="Century Gothic" w:hAnsi="Century Gothic" w:cs="Century Gothic" w:eastAsia="Century Gothic"/>
          <w:b w:val="0"/>
          <w:i w:val="0"/>
          <w:sz w:val="20"/>
        </w:rPr>
        <w:t xml:space="preserve"> El estudiante puede inscribirse en un máximo de </w:t>
      </w:r>
      <w:r>
        <w:rPr>
          <w:rFonts w:ascii="Century Gothic" w:hAnsi="Century Gothic" w:cs="Century Gothic" w:eastAsia="Century Gothic"/>
          <w:b/>
          <w:i w:val="0"/>
          <w:sz w:val="20"/>
        </w:rPr>
        <w:t>dos (2) asignaturas por gestión</w:t>
      </w:r>
      <w:r>
        <w:rPr>
          <w:rFonts w:ascii="Century Gothic" w:hAnsi="Century Gothic" w:cs="Century Gothic" w:eastAsia="Century Gothic"/>
          <w:b w:val="0"/>
          <w:i w:val="0"/>
          <w:sz w:val="20"/>
        </w:rPr>
        <w:t>, previo cumplimiento estricto del régimen de prerrequisitos. La nómina de materias teóricas habilitadas para esta modalidad es aprobada anualmente por el Honorable Consejo de Carrera.</w:t>
      </w:r>
    </w:p>
    <w:p>
      <w:pPr>
        <w:spacing w:before="0" w:after="200" w:line="240" w:lineRule="auto"/>
        <w:jc w:val="both"/>
      </w:pPr>
      <w:r>
        <w:rPr>
          <w:rFonts w:ascii="Century Gothic" w:hAnsi="Century Gothic" w:cs="Century Gothic" w:eastAsia="Century Gothic"/>
          <w:b w:val="0"/>
          <w:i w:val="0"/>
          <w:sz w:val="20"/>
        </w:rPr>
        <w:t>Con base en los criterios justificados de la definición de “materia teórica”, se define la habilitación de las siguientes materias:</w:t>
      </w:r>
    </w:p>
    <w:tbl>
      <w:tblPr>
        <w:tblW w:type="auto" w:w="0"/>
        <w:jc w:val="center"/>
        <w:tblLayout w:type="fixed"/>
        <w:tblLook w:firstColumn="1" w:firstRow="1" w:lastColumn="0" w:lastRow="0" w:noHBand="0" w:noVBand="1" w:val="04A0"/>
      </w:tblPr>
      <w:tblGrid>
        <w:gridCol w:w="1159"/>
        <w:gridCol w:w="3125"/>
        <w:gridCol w:w="1159"/>
        <w:gridCol w:w="1159"/>
        <w:gridCol w:w="1309"/>
        <w:gridCol w:w="1159"/>
      </w:tblGrid>
      <w:tr>
        <w:trPr>
          <w:tblHeader/>
        </w:trPr>
        <w:tc>
          <w:tcPr>
            <w:tcW w:type="dxa" w:w="11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312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Código</w:t>
            </w:r>
          </w:p>
        </w:tc>
        <w:tc>
          <w:tcPr>
            <w:tcW w:type="dxa" w:w="11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11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13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w:t>
            </w:r>
          </w:p>
        </w:tc>
        <w:tc>
          <w:tcPr>
            <w:tcW w:type="dxa" w:w="11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r>
      <w:tr>
        <w:tc>
          <w:tcPr>
            <w:tcW w:type="dxa" w:w="9070"/>
            <w:gridSpan w:val="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Primer Año</w:t>
            </w: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ADM-101</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Administración General</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DER-101</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Comercial y Gobierno Corporativo</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DER-102</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Laboral y Seguridad Social</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070"/>
            <w:gridSpan w:val="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Segundo Año</w:t>
            </w: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ADM-201</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Administración de Sistemas Gerenciales</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DER-201</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Legislación Tributaria y Aduanera</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CPA-204</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Métodos y Técnicas de Investigación</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070"/>
            <w:gridSpan w:val="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Tercer Año</w:t>
            </w: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ADM-301</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Desarrollo Organizacional y Comportamiento Organizacional</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070"/>
            <w:gridSpan w:val="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Cuarto Año</w:t>
            </w: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CPA-406</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Ética e Independencia Profesional</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5.4</w:t>
        <w:tab/>
      </w:r>
      <w:r>
        <w:rPr>
          <w:rFonts w:ascii="Century Gothic" w:hAnsi="Century Gothic" w:cs="Century Gothic" w:eastAsia="Century Gothic"/>
          <w:b/>
          <w:i w:val="0"/>
          <w:sz w:val="24"/>
        </w:rPr>
        <w:t>Modalidades de graduación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5.4.1</w:t>
        <w:tab/>
      </w:r>
      <w:r>
        <w:rPr>
          <w:rFonts w:ascii="Century Gothic" w:hAnsi="Century Gothic" w:cs="Century Gothic" w:eastAsia="Century Gothic"/>
          <w:b/>
          <w:i w:val="0"/>
          <w:sz w:val="22"/>
        </w:rPr>
        <w:t>Grados Académicos y Títulos en Provisión Nacional</w:t>
      </w:r>
    </w:p>
    <w:p>
      <w:pPr>
        <w:spacing w:before="0" w:after="200" w:line="240" w:lineRule="auto"/>
        <w:jc w:val="both"/>
      </w:pPr>
      <w:r>
        <w:rPr>
          <w:rFonts w:ascii="Century Gothic" w:hAnsi="Century Gothic" w:cs="Century Gothic" w:eastAsia="Century Gothic"/>
          <w:b w:val="0"/>
          <w:i w:val="0"/>
          <w:sz w:val="20"/>
        </w:rPr>
        <w:t xml:space="preserve">El Plan de Estudios 2027 establece una estructura de </w:t>
      </w:r>
      <w:r>
        <w:rPr>
          <w:rFonts w:ascii="Century Gothic" w:hAnsi="Century Gothic" w:cs="Century Gothic" w:eastAsia="Century Gothic"/>
          <w:b/>
          <w:i w:val="0"/>
          <w:sz w:val="20"/>
        </w:rPr>
        <w:t>salidas intermedias y titulación de grado</w:t>
      </w:r>
      <w:r>
        <w:rPr>
          <w:rFonts w:ascii="Century Gothic" w:hAnsi="Century Gothic" w:cs="Century Gothic" w:eastAsia="Century Gothic"/>
          <w:b w:val="0"/>
          <w:i w:val="0"/>
          <w:sz w:val="20"/>
        </w:rPr>
        <w:t>, garantizando la inserción laboral progresiva del estudiante conforme avance en el cumplimiento de la malla curricular:</w:t>
      </w:r>
    </w:p>
    <w:tbl>
      <w:tblPr>
        <w:tblW w:type="auto" w:w="0"/>
        <w:jc w:val="center"/>
        <w:tblLayout w:type="fixed"/>
        <w:tblLook w:firstColumn="1" w:firstRow="1" w:lastColumn="0" w:lastRow="0" w:noHBand="0" w:noVBand="1" w:val="04A0"/>
      </w:tblPr>
      <w:tblGrid>
        <w:gridCol w:w="1422"/>
        <w:gridCol w:w="3391"/>
        <w:gridCol w:w="2248"/>
        <w:gridCol w:w="2011"/>
      </w:tblGrid>
      <w:tr>
        <w:trPr>
          <w:tblHeader/>
        </w:trPr>
        <w:tc>
          <w:tcPr>
            <w:tcW w:type="dxa" w:w="14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Nivel Académico</w:t>
            </w:r>
          </w:p>
        </w:tc>
        <w:tc>
          <w:tcPr>
            <w:tcW w:type="dxa" w:w="33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Tiempo y Vencimiento</w:t>
            </w:r>
          </w:p>
        </w:tc>
        <w:tc>
          <w:tcPr>
            <w:tcW w:type="dxa" w:w="22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Grado Otorgado</w:t>
            </w:r>
          </w:p>
        </w:tc>
        <w:tc>
          <w:tcPr>
            <w:tcW w:type="dxa" w:w="201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Título en Provisión Nacional</w:t>
            </w:r>
          </w:p>
        </w:tc>
      </w:tr>
      <w:tr>
        <w:tc>
          <w:tcPr>
            <w:tcW w:type="dxa" w:w="1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Técnico Medio</w:t>
            </w:r>
          </w:p>
        </w:tc>
        <w:tc>
          <w:tcPr>
            <w:tcW w:type="dxa" w:w="339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Conclusión del Segundo Año (16 Asignaturas), avalado con el Certificado</w:t>
            </w:r>
          </w:p>
          <w:p>
            <w:pPr>
              <w:spacing w:before="0" w:after="0" w:line="240" w:lineRule="auto"/>
              <w:jc w:val="left"/>
            </w:pPr>
            <w:r>
              <w:rPr>
                <w:rFonts w:ascii="Century Gothic" w:hAnsi="Century Gothic" w:cs="Century Gothic" w:eastAsia="Century Gothic"/>
                <w:b w:val="0"/>
                <w:i w:val="0"/>
                <w:sz w:val="20"/>
              </w:rPr>
              <w:t>correspondiente</w:t>
            </w:r>
          </w:p>
        </w:tc>
        <w:tc>
          <w:tcPr>
            <w:tcW w:type="dxa" w:w="22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Certificado de Egreso Intermedio</w:t>
            </w:r>
          </w:p>
        </w:tc>
        <w:tc>
          <w:tcPr>
            <w:tcW w:type="dxa" w:w="20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Auxiliar en Contabilidad General</w:t>
            </w:r>
          </w:p>
        </w:tc>
      </w:tr>
      <w:tr>
        <w:tc>
          <w:tcPr>
            <w:tcW w:type="dxa" w:w="1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Técnico Superior</w:t>
            </w:r>
          </w:p>
        </w:tc>
        <w:tc>
          <w:tcPr>
            <w:tcW w:type="dxa" w:w="339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Conclusión del Tercer Año (24 Asignaturas), avalado con el Certificado correspondiente; y</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Examen de Grado</w:t>
            </w:r>
          </w:p>
        </w:tc>
        <w:tc>
          <w:tcPr>
            <w:tcW w:type="dxa" w:w="22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Técnico Superior en Contabilidad General</w:t>
            </w:r>
          </w:p>
        </w:tc>
        <w:tc>
          <w:tcPr>
            <w:tcW w:type="dxa" w:w="20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Contador General</w:t>
            </w:r>
          </w:p>
        </w:tc>
      </w:tr>
      <w:tr>
        <w:tc>
          <w:tcPr>
            <w:tcW w:type="dxa" w:w="1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Licenciatura</w:t>
            </w:r>
          </w:p>
        </w:tc>
        <w:tc>
          <w:tcPr>
            <w:tcW w:type="dxa" w:w="339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Conclusión del Quinto Año (43 Asignaturas), avalado con el Certificado de Egreso; y</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Modalidad de Graduación</w:t>
            </w:r>
          </w:p>
        </w:tc>
        <w:tc>
          <w:tcPr>
            <w:tcW w:type="dxa" w:w="22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Licenciado (a) en Contaduría Pública</w:t>
            </w:r>
          </w:p>
        </w:tc>
        <w:tc>
          <w:tcPr>
            <w:tcW w:type="dxa" w:w="20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Contador Público Autorizado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Los citados grados académicos, están tipificados en Artículo 4 del Reglamento General de Títulos y Grados, aprobado en el XII Congreso Nacional de Universidades.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5.4.2</w:t>
        <w:tab/>
      </w:r>
      <w:r>
        <w:rPr>
          <w:rFonts w:ascii="Century Gothic" w:hAnsi="Century Gothic" w:cs="Century Gothic" w:eastAsia="Century Gothic"/>
          <w:b/>
          <w:i w:val="0"/>
          <w:sz w:val="22"/>
        </w:rPr>
        <w:t>Modalidades de Graduación y Titulación de Grado</w:t>
      </w:r>
    </w:p>
    <w:p>
      <w:pPr>
        <w:keepNext/>
        <w:tabs>
          <w:tab w:pos="992" w:val="left"/>
        </w:tabs>
        <w:spacing w:before="40" w:after="200" w:line="240" w:lineRule="auto"/>
        <w:ind w:left="992" w:hanging="992"/>
        <w:jc w:val="left"/>
      </w:pPr>
      <w:r>
        <w:rPr>
          <w:rFonts w:ascii="Century Gothic" w:hAnsi="Century Gothic" w:cs="Century Gothic" w:eastAsia="Century Gothic"/>
          <w:b/>
          <w:i w:val="0"/>
          <w:sz w:val="22"/>
        </w:rPr>
        <w:t>5.4.2.1</w:t>
        <w:tab/>
      </w:r>
      <w:r>
        <w:rPr>
          <w:rFonts w:ascii="Century Gothic" w:hAnsi="Century Gothic" w:cs="Century Gothic" w:eastAsia="Century Gothic"/>
          <w:b/>
          <w:i w:val="0"/>
          <w:sz w:val="22"/>
        </w:rPr>
        <w:t>Modalidades de Graduación para Licenciatura</w:t>
      </w:r>
    </w:p>
    <w:p>
      <w:pPr>
        <w:spacing w:before="0" w:after="200" w:line="240" w:lineRule="auto"/>
        <w:jc w:val="both"/>
      </w:pPr>
      <w:r>
        <w:rPr>
          <w:rFonts w:ascii="Century Gothic" w:hAnsi="Century Gothic" w:cs="Century Gothic" w:eastAsia="Century Gothic"/>
          <w:b w:val="0"/>
          <w:i w:val="0"/>
          <w:sz w:val="20"/>
        </w:rPr>
        <w:t xml:space="preserve">En estricta concordancia con el </w:t>
      </w:r>
      <w:r>
        <w:rPr>
          <w:rFonts w:ascii="Century Gothic" w:hAnsi="Century Gothic" w:cs="Century Gothic" w:eastAsia="Century Gothic"/>
          <w:b/>
          <w:i w:val="0"/>
          <w:sz w:val="20"/>
        </w:rPr>
        <w:t>“Reglamento General de Tipos y Modalidades de Graduación del Sistema de la Universidad Boliviana”</w:t>
      </w:r>
      <w:r>
        <w:rPr>
          <w:rFonts w:ascii="Century Gothic" w:hAnsi="Century Gothic" w:cs="Century Gothic" w:eastAsia="Century Gothic"/>
          <w:b w:val="0"/>
          <w:i w:val="0"/>
          <w:sz w:val="20"/>
        </w:rPr>
        <w:t xml:space="preserve"> (aprobado en los Congresos Nacionales de Universidades y ratificado por la UMSA), el estudiante que concluya las 43 asignaturas del Plan</w:t>
      </w:r>
    </w:p>
    <w:p>
      <w:pPr>
        <w:spacing w:before="0" w:after="200" w:line="240" w:lineRule="auto"/>
        <w:jc w:val="both"/>
      </w:pPr>
      <w:r>
        <w:rPr>
          <w:rFonts w:ascii="Century Gothic" w:hAnsi="Century Gothic" w:cs="Century Gothic" w:eastAsia="Century Gothic"/>
          <w:b w:val="0"/>
          <w:i w:val="0"/>
          <w:sz w:val="20"/>
        </w:rPr>
        <w:t xml:space="preserve">de Estudios 2027 podrá optar por una de las siguientes </w:t>
      </w:r>
      <w:r>
        <w:rPr>
          <w:rFonts w:ascii="Century Gothic" w:hAnsi="Century Gothic" w:cs="Century Gothic" w:eastAsia="Century Gothic"/>
          <w:b/>
          <w:i w:val="0"/>
          <w:sz w:val="20"/>
        </w:rPr>
        <w:t>seis modalidades de graduación para el nivel de Licenciatura</w:t>
      </w:r>
      <w:r>
        <w:rPr>
          <w:rFonts w:ascii="Century Gothic" w:hAnsi="Century Gothic" w:cs="Century Gothic" w:eastAsia="Century Gothic"/>
          <w:b w:val="0"/>
          <w:i w:val="0"/>
          <w:sz w:val="20"/>
        </w:rPr>
        <w:t>:</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a.</w:t>
        <w:tab/>
      </w:r>
      <w:r>
        <w:rPr>
          <w:rFonts w:ascii="Century Gothic" w:hAnsi="Century Gothic" w:cs="Century Gothic" w:eastAsia="Century Gothic"/>
          <w:b/>
          <w:i w:val="0"/>
          <w:sz w:val="22"/>
        </w:rPr>
        <w:t>Tesis de Grado</w:t>
      </w:r>
    </w:p>
    <w:p>
      <w:pPr>
        <w:spacing w:before="0" w:after="200" w:line="240" w:lineRule="auto"/>
        <w:jc w:val="both"/>
      </w:pPr>
      <w:r>
        <w:rPr>
          <w:rFonts w:ascii="Century Gothic" w:hAnsi="Century Gothic" w:cs="Century Gothic" w:eastAsia="Century Gothic"/>
          <w:b w:val="0"/>
          <w:i w:val="0"/>
          <w:sz w:val="20"/>
        </w:rPr>
        <w:t>Consiste en un trabajo riguroso de investigación científica individual, que aplica metodología científica adecuada para identificar, analizar y proponer una solución teórica o práctica a un problema relevante de la profesión contable, el aseguramiento o las finanzas.</w:t>
      </w:r>
    </w:p>
    <w:p>
      <w:pPr>
        <w:spacing w:before="0" w:after="200" w:line="240" w:lineRule="auto"/>
        <w:jc w:val="both"/>
      </w:pPr>
      <w:r>
        <w:rPr>
          <w:rFonts w:ascii="Century Gothic" w:hAnsi="Century Gothic" w:cs="Century Gothic" w:eastAsia="Century Gothic"/>
          <w:b w:val="0"/>
          <w:i w:val="0"/>
          <w:sz w:val="20"/>
        </w:rPr>
        <w:t>Para tal efecto, se designarán a tres (3) Docentes especialistas en la temática en calidad de Miembros del Tribunal Examinador para la correspondiente evaluación.</w:t>
      </w:r>
    </w:p>
    <w:p>
      <w:pPr>
        <w:spacing w:before="0" w:after="200" w:line="240" w:lineRule="auto"/>
        <w:jc w:val="both"/>
      </w:pPr>
      <w:r>
        <w:rPr>
          <w:rFonts w:ascii="Century Gothic" w:hAnsi="Century Gothic" w:cs="Century Gothic" w:eastAsia="Century Gothic"/>
          <w:b w:val="0"/>
          <w:i w:val="0"/>
          <w:sz w:val="20"/>
        </w:rPr>
        <w:t>La suma acumulativa en la escala de valoración es de 1 a 100 puntos, con un puntaje mínimo de aprobación de cincuenta y uno (51). La ponderación de las tesis de grado, es la siguiente:</w:t>
      </w:r>
    </w:p>
    <w:p>
      <w:pPr>
        <w:tabs>
          <w:tab w:pos="1701" w:val="left"/>
        </w:tabs>
        <w:spacing w:before="0" w:after="200" w:line="240" w:lineRule="auto"/>
        <w:ind w:left="1701" w:hanging="1701"/>
        <w:jc w:val="left"/>
      </w:pPr>
      <w:r>
        <w:rPr>
          <w:rFonts w:ascii="Century Gothic" w:hAnsi="Century Gothic" w:cs="Century Gothic" w:eastAsia="Century Gothic"/>
          <w:b/>
          <w:i w:val="0"/>
          <w:sz w:val="20"/>
        </w:rPr>
        <w:t>Presentación y contenido del trabajo escrito</w:t>
        <w:tab/>
        <w:t>50 puntos</w:t>
      </w:r>
    </w:p>
    <w:p>
      <w:pPr>
        <w:spacing w:before="0" w:after="200" w:line="240" w:lineRule="auto"/>
        <w:jc w:val="both"/>
      </w:pPr>
      <w:r>
        <w:rPr>
          <w:rFonts w:ascii="Century Gothic" w:hAnsi="Century Gothic" w:cs="Century Gothic" w:eastAsia="Century Gothic"/>
          <w:b w:val="0"/>
          <w:i w:val="0"/>
          <w:sz w:val="20"/>
        </w:rPr>
        <w:t>Coherencia metodológica, aporte científico, marco teórico y rigurosidad en los hallazgos</w:t>
      </w:r>
    </w:p>
    <w:p>
      <w:pPr>
        <w:tabs>
          <w:tab w:pos="1701" w:val="left"/>
        </w:tabs>
        <w:spacing w:before="0" w:after="200" w:line="240" w:lineRule="auto"/>
        <w:ind w:left="1701" w:hanging="1701"/>
        <w:jc w:val="left"/>
      </w:pPr>
      <w:r>
        <w:rPr>
          <w:rFonts w:ascii="Century Gothic" w:hAnsi="Century Gothic" w:cs="Century Gothic" w:eastAsia="Century Gothic"/>
          <w:b/>
          <w:i w:val="0"/>
          <w:sz w:val="20"/>
        </w:rPr>
        <w:t>Sustentación Oral</w:t>
        <w:tab/>
        <w:t>30 puntos</w:t>
      </w:r>
    </w:p>
    <w:p>
      <w:pPr>
        <w:spacing w:before="0" w:after="200" w:line="240" w:lineRule="auto"/>
        <w:jc w:val="both"/>
      </w:pPr>
      <w:r>
        <w:rPr>
          <w:rFonts w:ascii="Century Gothic" w:hAnsi="Century Gothic" w:cs="Century Gothic" w:eastAsia="Century Gothic"/>
          <w:b w:val="0"/>
          <w:i w:val="0"/>
          <w:sz w:val="20"/>
        </w:rPr>
        <w:t>Dominio técnico, claridad expositiva y orden de presentación</w:t>
      </w:r>
    </w:p>
    <w:p>
      <w:pPr>
        <w:tabs>
          <w:tab w:pos="1701" w:val="left"/>
        </w:tabs>
        <w:spacing w:before="0" w:after="200" w:line="240" w:lineRule="auto"/>
        <w:ind w:left="1701" w:hanging="1701"/>
        <w:jc w:val="left"/>
      </w:pPr>
      <w:r>
        <w:rPr>
          <w:rFonts w:ascii="Century Gothic" w:hAnsi="Century Gothic" w:cs="Century Gothic" w:eastAsia="Century Gothic"/>
          <w:b/>
          <w:i w:val="0"/>
          <w:sz w:val="20"/>
        </w:rPr>
        <w:t>Defensa y Respuestas al Tribunal</w:t>
        <w:tab/>
        <w:t>20 puntos</w:t>
      </w:r>
    </w:p>
    <w:p>
      <w:pPr>
        <w:spacing w:before="0" w:after="200" w:line="240" w:lineRule="auto"/>
        <w:jc w:val="both"/>
      </w:pPr>
      <w:r>
        <w:rPr>
          <w:rFonts w:ascii="Century Gothic" w:hAnsi="Century Gothic" w:cs="Century Gothic" w:eastAsia="Century Gothic"/>
          <w:b w:val="0"/>
          <w:i w:val="0"/>
          <w:sz w:val="20"/>
        </w:rPr>
        <w:t>Capacidad de argumentación y fundamentación</w:t>
      </w:r>
    </w:p>
    <w:p>
      <w:pPr>
        <w:tabs>
          <w:tab w:pos="1701" w:val="left"/>
        </w:tabs>
        <w:spacing w:before="0" w:after="200" w:line="240" w:lineRule="auto"/>
        <w:ind w:left="1701" w:hanging="1701"/>
        <w:jc w:val="left"/>
      </w:pPr>
      <w:r>
        <w:rPr>
          <w:rFonts w:ascii="Century Gothic" w:hAnsi="Century Gothic" w:cs="Century Gothic" w:eastAsia="Century Gothic"/>
          <w:b/>
          <w:i w:val="0"/>
          <w:sz w:val="20"/>
        </w:rPr>
        <w:t>Total</w:t>
        <w:tab/>
        <w:t>100 puntos</w:t>
      </w:r>
    </w:p>
    <w:p>
      <w:pPr>
        <w:spacing w:before="0" w:after="200" w:line="240" w:lineRule="auto"/>
        <w:jc w:val="both"/>
      </w:pPr>
      <w:r>
        <w:rPr>
          <w:rFonts w:ascii="Century Gothic" w:hAnsi="Century Gothic" w:cs="Century Gothic" w:eastAsia="Century Gothic"/>
          <w:b w:val="0"/>
          <w:i w:val="0"/>
          <w:sz w:val="20"/>
        </w:rPr>
        <w:t>Evaluado ante Tribunal Examinador (1 a 100 puntos, aprobación con 51).</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b.</w:t>
        <w:tab/>
      </w:r>
      <w:r>
        <w:rPr>
          <w:rFonts w:ascii="Century Gothic" w:hAnsi="Century Gothic" w:cs="Century Gothic" w:eastAsia="Century Gothic"/>
          <w:b/>
          <w:i w:val="0"/>
          <w:sz w:val="22"/>
        </w:rPr>
        <w:t>Proyecto de Grado</w:t>
      </w:r>
    </w:p>
    <w:p>
      <w:pPr>
        <w:spacing w:before="0" w:after="200" w:line="240" w:lineRule="auto"/>
        <w:jc w:val="both"/>
      </w:pPr>
      <w:r>
        <w:rPr>
          <w:rFonts w:ascii="Century Gothic" w:hAnsi="Century Gothic" w:cs="Century Gothic" w:eastAsia="Century Gothic"/>
          <w:b w:val="0"/>
          <w:i w:val="0"/>
          <w:sz w:val="20"/>
        </w:rPr>
        <w:t>Consiste en el desarrollo de una investigación aplicada orientada a la programación, diseño e implementación de una solución práctica de uso social, empresarial o institucional (Ejemplo: diseño de un sistema de costos para un sector emergente, propuesta de implementación de un sistema ERP, diseño de un modelo de control interno o de gestión de riesgos o un gabinete de auditoría especializada) con profundidad metodológica equivalente a la Tesis.</w:t>
      </w:r>
    </w:p>
    <w:p>
      <w:pPr>
        <w:spacing w:before="0" w:after="200" w:line="240" w:lineRule="auto"/>
        <w:jc w:val="both"/>
      </w:pPr>
      <w:r>
        <w:rPr>
          <w:rFonts w:ascii="Century Gothic" w:hAnsi="Century Gothic" w:cs="Century Gothic" w:eastAsia="Century Gothic"/>
          <w:b w:val="0"/>
          <w:i w:val="0"/>
          <w:sz w:val="20"/>
        </w:rPr>
        <w:t>Para tal efecto, se designarán a tres (3) Docentes en calidad de Miembros del Tribunal Examinador para la correspondiente evaluación.</w:t>
      </w:r>
    </w:p>
    <w:p>
      <w:pPr>
        <w:spacing w:before="0" w:after="200" w:line="240" w:lineRule="auto"/>
        <w:jc w:val="both"/>
      </w:pPr>
      <w:r>
        <w:rPr>
          <w:rFonts w:ascii="Century Gothic" w:hAnsi="Century Gothic" w:cs="Century Gothic" w:eastAsia="Century Gothic"/>
          <w:b w:val="0"/>
          <w:i w:val="0"/>
          <w:sz w:val="20"/>
        </w:rPr>
        <w:t>La suma acumulativa en la escala de valoración es de 1 a 100 puntos, con un puntaje mínimo de aprobación de cincuenta y uno (51). La ponderación de los proyectos de grado es la siguiente:</w:t>
      </w:r>
    </w:p>
    <w:p>
      <w:pPr>
        <w:tabs>
          <w:tab w:pos="1701" w:val="left"/>
        </w:tabs>
        <w:spacing w:before="0" w:after="200" w:line="240" w:lineRule="auto"/>
        <w:ind w:left="1701" w:hanging="1701"/>
        <w:jc w:val="left"/>
      </w:pPr>
      <w:r>
        <w:rPr>
          <w:rFonts w:ascii="Century Gothic" w:hAnsi="Century Gothic" w:cs="Century Gothic" w:eastAsia="Century Gothic"/>
          <w:b/>
          <w:i w:val="0"/>
          <w:sz w:val="20"/>
        </w:rPr>
        <w:t>Presentación y contenido del trabajo escrito</w:t>
        <w:tab/>
        <w:t>45 puntos</w:t>
      </w:r>
    </w:p>
    <w:p>
      <w:pPr>
        <w:tabs>
          <w:tab w:pos="1701" w:val="left"/>
        </w:tabs>
        <w:spacing w:before="0" w:after="200" w:line="240" w:lineRule="auto"/>
        <w:ind w:left="1701" w:hanging="1701"/>
        <w:jc w:val="left"/>
      </w:pPr>
      <w:r>
        <w:rPr>
          <w:rFonts w:ascii="Century Gothic" w:hAnsi="Century Gothic" w:cs="Century Gothic" w:eastAsia="Century Gothic"/>
          <w:b/>
          <w:i w:val="0"/>
          <w:sz w:val="20"/>
        </w:rPr>
        <w:t>Sustentación Oral y Demostración</w:t>
        <w:tab/>
        <w:t>30 puntos</w:t>
      </w:r>
    </w:p>
    <w:p>
      <w:pPr>
        <w:tabs>
          <w:tab w:pos="1701" w:val="left"/>
        </w:tabs>
        <w:spacing w:before="0" w:after="200" w:line="240" w:lineRule="auto"/>
        <w:ind w:left="1701" w:hanging="1701"/>
        <w:jc w:val="left"/>
      </w:pPr>
      <w:r>
        <w:rPr>
          <w:rFonts w:ascii="Century Gothic" w:hAnsi="Century Gothic" w:cs="Century Gothic" w:eastAsia="Century Gothic"/>
          <w:b/>
          <w:i w:val="0"/>
          <w:sz w:val="20"/>
        </w:rPr>
        <w:t>Defensa y Respuestas</w:t>
        <w:tab/>
        <w:t>25 puntos</w:t>
      </w:r>
    </w:p>
    <w:p>
      <w:pPr>
        <w:tabs>
          <w:tab w:pos="1701" w:val="left"/>
        </w:tabs>
        <w:spacing w:before="0" w:after="200" w:line="240" w:lineRule="auto"/>
        <w:ind w:left="1701" w:hanging="1701"/>
        <w:jc w:val="left"/>
      </w:pPr>
      <w:r>
        <w:rPr>
          <w:rFonts w:ascii="Century Gothic" w:hAnsi="Century Gothic" w:cs="Century Gothic" w:eastAsia="Century Gothic"/>
          <w:b/>
          <w:i w:val="0"/>
          <w:sz w:val="20"/>
        </w:rPr>
        <w:t>Total</w:t>
        <w:tab/>
        <w:t>100 puntos</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c.</w:t>
        <w:tab/>
      </w:r>
      <w:r>
        <w:rPr>
          <w:rFonts w:ascii="Century Gothic" w:hAnsi="Century Gothic" w:cs="Century Gothic" w:eastAsia="Century Gothic"/>
          <w:b/>
          <w:i w:val="0"/>
          <w:sz w:val="22"/>
        </w:rPr>
        <w:t>Trabajo Dirigido (Externo o Interno)</w:t>
      </w:r>
    </w:p>
    <w:p>
      <w:pPr>
        <w:spacing w:before="0" w:after="200" w:line="240" w:lineRule="auto"/>
        <w:jc w:val="both"/>
      </w:pPr>
      <w:r>
        <w:rPr>
          <w:rFonts w:ascii="Century Gothic" w:hAnsi="Century Gothic" w:cs="Century Gothic" w:eastAsia="Century Gothic"/>
          <w:b w:val="0"/>
          <w:i w:val="0"/>
          <w:sz w:val="20"/>
        </w:rPr>
        <w:t xml:space="preserve">Regulado por la </w:t>
      </w:r>
      <w:r>
        <w:rPr>
          <w:rFonts w:ascii="Century Gothic" w:hAnsi="Century Gothic" w:cs="Century Gothic" w:eastAsia="Century Gothic"/>
          <w:b/>
          <w:i w:val="0"/>
          <w:sz w:val="20"/>
        </w:rPr>
        <w:t>Resolución HCU Nº 330/2022</w:t>
      </w:r>
      <w:r>
        <w:rPr>
          <w:rFonts w:ascii="Century Gothic" w:hAnsi="Century Gothic" w:cs="Century Gothic" w:eastAsia="Century Gothic"/>
          <w:b w:val="0"/>
          <w:i w:val="0"/>
          <w:sz w:val="20"/>
        </w:rPr>
        <w:t xml:space="preserve"> de 18 de agosto de 2022, que define el trabajo dirigido como un trabajo práctico preprofesional desarrollado en instituciones externas e internas (UMSA), que son supervisados, fiscalizados y evaluados por profesionales en calidad de asesores o guías miembros; pueden ser de carácter individual o grupal, este último hasta un máximo de tres postulantes, acorde con los requerimientos del trabajo a realizar.</w:t>
      </w:r>
    </w:p>
    <w:p>
      <w:pPr>
        <w:spacing w:before="0" w:after="200" w:line="240" w:lineRule="auto"/>
        <w:jc w:val="both"/>
      </w:pPr>
      <w:r>
        <w:rPr>
          <w:rFonts w:ascii="Century Gothic" w:hAnsi="Century Gothic" w:cs="Century Gothic" w:eastAsia="Century Gothic"/>
          <w:b w:val="0"/>
          <w:i w:val="0"/>
          <w:sz w:val="20"/>
        </w:rPr>
        <w:t>El trabajo dirigido externo, se realiza en entidades públicas y privadas, bajo la guía de un Tutor Profesional y un Tutor Docente (Académico), en virtud a Convenios Interinstitucionales, suscritos por el/la Rector(a) de la Universidad Mayor de San Andrés o la/el Decano de la Facultad de Ciencias Económicas y Financieras.</w:t>
      </w:r>
    </w:p>
    <w:p>
      <w:pPr>
        <w:spacing w:before="0" w:after="200" w:line="240" w:lineRule="auto"/>
        <w:jc w:val="both"/>
      </w:pPr>
      <w:r>
        <w:rPr>
          <w:rFonts w:ascii="Century Gothic" w:hAnsi="Century Gothic" w:cs="Century Gothic" w:eastAsia="Century Gothic"/>
          <w:b w:val="0"/>
          <w:i w:val="0"/>
          <w:sz w:val="20"/>
        </w:rPr>
        <w:t>El trabajo dirigido interno, se realiza en las distintas dependencias de la Universidad Mayor de San Andrés, bajo la guía de un Tutor Profesional y un Tutor Docente, sin necesidad de suscribir Convenios Específicos.</w:t>
      </w:r>
    </w:p>
    <w:p>
      <w:pPr>
        <w:spacing w:before="0" w:after="200" w:line="240" w:lineRule="auto"/>
        <w:jc w:val="both"/>
      </w:pPr>
      <w:r>
        <w:rPr>
          <w:rFonts w:ascii="Century Gothic" w:hAnsi="Century Gothic" w:cs="Century Gothic" w:eastAsia="Century Gothic"/>
          <w:b w:val="0"/>
          <w:i w:val="0"/>
          <w:sz w:val="20"/>
        </w:rPr>
        <w:t>Para tal efecto, el Director de Carrera debe designar la institución donde el postulante desarrollará el Trabajo Dirigido y al Tutor Docente, una vez aprobado el Plan de Trabajo del Postulante.</w:t>
      </w:r>
    </w:p>
    <w:p>
      <w:pPr>
        <w:numPr>
          <w:ilvl w:val="0"/>
          <w:numId w:val="904"/>
        </w:numPr>
        <w:spacing w:before="0" w:after="160" w:line="240" w:lineRule="auto"/>
        <w:jc w:val="both"/>
      </w:pPr>
      <w:r>
        <w:rPr>
          <w:rFonts w:ascii="Century Gothic" w:hAnsi="Century Gothic" w:cs="Century Gothic" w:eastAsia="Century Gothic"/>
          <w:b/>
          <w:i w:val="0"/>
          <w:sz w:val="20"/>
        </w:rPr>
        <w:t>Requisitos Específicos:</w:t>
      </w:r>
      <w:r>
        <w:rPr>
          <w:rFonts w:ascii="Century Gothic" w:hAnsi="Century Gothic" w:cs="Century Gothic" w:eastAsia="Century Gothic"/>
          <w:b w:val="0"/>
          <w:i w:val="0"/>
          <w:sz w:val="20"/>
        </w:rPr>
        <w:t xml:space="preserve"> El estudiante debe tener un promedio académico acumulado no menor a </w:t>
      </w:r>
      <w:r>
        <w:rPr>
          <w:rFonts w:ascii="Century Gothic" w:hAnsi="Century Gothic" w:cs="Century Gothic" w:eastAsia="Century Gothic"/>
          <w:b/>
          <w:i w:val="0"/>
          <w:sz w:val="20"/>
        </w:rPr>
        <w:t>sesenta (60) puntos</w:t>
      </w:r>
      <w:r>
        <w:rPr>
          <w:rFonts w:ascii="Century Gothic" w:hAnsi="Century Gothic" w:cs="Century Gothic" w:eastAsia="Century Gothic"/>
          <w:b w:val="0"/>
          <w:i w:val="0"/>
          <w:sz w:val="20"/>
        </w:rPr>
        <w:t xml:space="preserve"> y dedicación exclusiva durante un periodo máximo de </w:t>
      </w:r>
      <w:r>
        <w:rPr>
          <w:rFonts w:ascii="Century Gothic" w:hAnsi="Century Gothic" w:cs="Century Gothic" w:eastAsia="Century Gothic"/>
          <w:b/>
          <w:i w:val="0"/>
          <w:sz w:val="20"/>
        </w:rPr>
        <w:t>8 meses.</w:t>
      </w:r>
    </w:p>
    <w:p>
      <w:pPr>
        <w:numPr>
          <w:ilvl w:val="0"/>
          <w:numId w:val="904"/>
        </w:numPr>
        <w:spacing w:before="0" w:after="160" w:line="240" w:lineRule="auto"/>
        <w:jc w:val="both"/>
      </w:pPr>
      <w:r>
        <w:rPr>
          <w:rFonts w:ascii="Century Gothic" w:hAnsi="Century Gothic" w:cs="Century Gothic" w:eastAsia="Century Gothic"/>
          <w:b/>
          <w:i w:val="0"/>
          <w:sz w:val="20"/>
        </w:rPr>
        <w:t>Estructura de Tutoría y Evaluaciones:</w:t>
      </w:r>
    </w:p>
    <w:p>
      <w:pPr>
        <w:numPr>
          <w:ilvl w:val="1"/>
          <w:numId w:val="904"/>
        </w:numPr>
        <w:spacing w:before="0" w:after="60" w:line="240" w:lineRule="auto"/>
        <w:jc w:val="both"/>
      </w:pPr>
      <w:r>
        <w:rPr>
          <w:rFonts w:ascii="Century Gothic" w:hAnsi="Century Gothic" w:cs="Century Gothic" w:eastAsia="Century Gothic"/>
          <w:b/>
          <w:i w:val="0"/>
          <w:sz w:val="20"/>
        </w:rPr>
        <w:t>Tutor Profesional (Institucional):</w:t>
      </w:r>
      <w:r>
        <w:rPr>
          <w:rFonts w:ascii="Century Gothic" w:hAnsi="Century Gothic" w:cs="Century Gothic" w:eastAsia="Century Gothic"/>
          <w:b w:val="0"/>
          <w:i w:val="0"/>
          <w:sz w:val="20"/>
        </w:rPr>
        <w:t xml:space="preserve"> Supervisa el desempeño diario en la entidad y emite la valoración principal basada en el cumplimiento del plan de trabajo.</w:t>
      </w:r>
    </w:p>
    <w:p>
      <w:pPr>
        <w:numPr>
          <w:ilvl w:val="1"/>
          <w:numId w:val="904"/>
        </w:numPr>
        <w:spacing w:before="0" w:after="60" w:line="240" w:lineRule="auto"/>
        <w:jc w:val="both"/>
      </w:pPr>
      <w:r>
        <w:rPr>
          <w:rFonts w:ascii="Century Gothic" w:hAnsi="Century Gothic" w:cs="Century Gothic" w:eastAsia="Century Gothic"/>
          <w:b/>
          <w:i w:val="0"/>
          <w:sz w:val="20"/>
        </w:rPr>
        <w:t>Tutor Académico (Docente UMSA):</w:t>
      </w:r>
      <w:r>
        <w:rPr>
          <w:rFonts w:ascii="Century Gothic" w:hAnsi="Century Gothic" w:cs="Century Gothic" w:eastAsia="Century Gothic"/>
          <w:b w:val="0"/>
          <w:i w:val="0"/>
          <w:sz w:val="20"/>
        </w:rPr>
        <w:t xml:space="preserve"> Orienta la metodología técnica y valida los avances.</w:t>
      </w:r>
    </w:p>
    <w:p>
      <w:pPr>
        <w:numPr>
          <w:ilvl w:val="1"/>
          <w:numId w:val="904"/>
        </w:numPr>
        <w:spacing w:before="0" w:after="60" w:line="240" w:lineRule="auto"/>
        <w:jc w:val="both"/>
      </w:pPr>
      <w:r>
        <w:rPr>
          <w:rFonts w:ascii="Century Gothic" w:hAnsi="Century Gothic" w:cs="Century Gothic" w:eastAsia="Century Gothic"/>
          <w:b/>
          <w:i w:val="0"/>
          <w:sz w:val="20"/>
        </w:rPr>
        <w:t>Informes:</w:t>
      </w:r>
      <w:r>
        <w:rPr>
          <w:rFonts w:ascii="Century Gothic" w:hAnsi="Century Gothic" w:cs="Century Gothic" w:eastAsia="Century Gothic"/>
          <w:b w:val="0"/>
          <w:i w:val="0"/>
          <w:sz w:val="20"/>
        </w:rPr>
        <w:t xml:space="preserve"> Durante la realización del trabajo dirigido el postulante presentará a la Dirección de Carrera de forma obligatoria dos (2) informes trimestrales de avance y un</w:t>
      </w:r>
    </w:p>
    <w:p>
      <w:pPr>
        <w:numPr>
          <w:ilvl w:val="2"/>
          <w:numId w:val="904"/>
        </w:numPr>
        <w:spacing w:before="0" w:after="60" w:line="240" w:lineRule="auto"/>
        <w:jc w:val="both"/>
      </w:pPr>
      <w:r>
        <w:rPr>
          <w:rFonts w:ascii="Century Gothic" w:hAnsi="Century Gothic" w:cs="Century Gothic" w:eastAsia="Century Gothic"/>
          <w:b w:val="0"/>
          <w:i w:val="0"/>
          <w:sz w:val="20"/>
        </w:rPr>
        <w:t>informe final integrador, rubricado por el Tutor Profesional y el Tutor Docente.</w:t>
      </w:r>
    </w:p>
    <w:p>
      <w:pPr>
        <w:numPr>
          <w:ilvl w:val="1"/>
          <w:numId w:val="904"/>
        </w:numPr>
        <w:spacing w:before="0" w:after="60" w:line="240" w:lineRule="auto"/>
        <w:jc w:val="both"/>
      </w:pPr>
      <w:r>
        <w:rPr>
          <w:rFonts w:ascii="Century Gothic" w:hAnsi="Century Gothic" w:cs="Century Gothic" w:eastAsia="Century Gothic"/>
          <w:b/>
          <w:i w:val="0"/>
          <w:sz w:val="20"/>
        </w:rPr>
        <w:t>Presentación oral pública de resultados:</w:t>
      </w:r>
      <w:r>
        <w:rPr>
          <w:rFonts w:ascii="Century Gothic" w:hAnsi="Century Gothic" w:cs="Century Gothic" w:eastAsia="Century Gothic"/>
          <w:b w:val="0"/>
          <w:i w:val="0"/>
          <w:sz w:val="20"/>
        </w:rPr>
        <w:t xml:space="preserve"> Posterior a la presentación del informe final, el y/o los postulantes deben realizar la presentación oral pública de los resultados del trabajo dirigido.</w:t>
      </w:r>
    </w:p>
    <w:p>
      <w:pPr>
        <w:numPr>
          <w:ilvl w:val="0"/>
          <w:numId w:val="904"/>
        </w:numPr>
        <w:spacing w:before="0" w:after="200" w:line="240" w:lineRule="auto"/>
        <w:jc w:val="both"/>
      </w:pPr>
      <w:r>
        <w:rPr>
          <w:rFonts w:ascii="Century Gothic" w:hAnsi="Century Gothic" w:cs="Century Gothic" w:eastAsia="Century Gothic"/>
          <w:b/>
          <w:i w:val="0"/>
          <w:sz w:val="20"/>
        </w:rPr>
        <w:t>Ponderación de la Calificación (1 a 100 puntos):</w:t>
      </w:r>
      <w:r>
        <w:rPr>
          <w:rFonts w:ascii="Century Gothic" w:hAnsi="Century Gothic" w:cs="Century Gothic" w:eastAsia="Century Gothic"/>
          <w:b w:val="0"/>
          <w:i w:val="0"/>
          <w:sz w:val="20"/>
        </w:rPr>
        <w:t xml:space="preserve"> Evaluación continua de informes (Tutor profesional y académico): 85% de la nota final; y presentación oral pública de resultados: 15% de la nota final ante tribunal.</w:t>
      </w:r>
    </w:p>
    <w:p>
      <w:pPr>
        <w:spacing w:before="0" w:after="200" w:line="240" w:lineRule="auto"/>
        <w:jc w:val="both"/>
      </w:pPr>
      <w:r>
        <w:rPr>
          <w:rFonts w:ascii="Century Gothic" w:hAnsi="Century Gothic" w:cs="Century Gothic" w:eastAsia="Century Gothic"/>
          <w:b w:val="0"/>
          <w:i w:val="0"/>
          <w:sz w:val="20"/>
        </w:rPr>
        <w:t>La escala de calificaciones, cualitativa y cuantitativa es la siguiente:</w:t>
      </w:r>
    </w:p>
    <w:tbl>
      <w:tblPr>
        <w:tblW w:type="auto" w:w="0"/>
        <w:jc w:val="center"/>
        <w:tblLayout w:type="fixed"/>
        <w:tblLook w:firstColumn="1" w:firstRow="1" w:lastColumn="0" w:lastRow="0" w:noHBand="0" w:noVBand="1" w:val="04A0"/>
      </w:tblPr>
      <w:tblGrid>
        <w:gridCol w:w="6345"/>
        <w:gridCol w:w="2726"/>
      </w:tblGrid>
      <w:tr>
        <w:trPr>
          <w:tblHeader/>
        </w:trPr>
        <w:tc>
          <w:tcPr>
            <w:tcW w:type="dxa" w:w="634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Cualitativa</w:t>
            </w:r>
          </w:p>
        </w:tc>
        <w:tc>
          <w:tcPr>
            <w:tcW w:type="dxa" w:w="272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Cuantitativa</w:t>
            </w:r>
          </w:p>
        </w:tc>
      </w:tr>
      <w:tr>
        <w:tc>
          <w:tcPr>
            <w:tcW w:type="dxa" w:w="6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Reprobado</w:t>
            </w:r>
          </w:p>
        </w:tc>
        <w:tc>
          <w:tcPr>
            <w:tcW w:type="dxa" w:w="2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0 – 50</w:t>
            </w:r>
          </w:p>
        </w:tc>
      </w:tr>
      <w:tr>
        <w:tc>
          <w:tcPr>
            <w:tcW w:type="dxa" w:w="6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Aprobado – Buena</w:t>
            </w:r>
          </w:p>
        </w:tc>
        <w:tc>
          <w:tcPr>
            <w:tcW w:type="dxa" w:w="2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 – 70</w:t>
            </w:r>
          </w:p>
        </w:tc>
      </w:tr>
      <w:tr>
        <w:tc>
          <w:tcPr>
            <w:tcW w:type="dxa" w:w="6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Sobresaliente – Con recomendación de publicación</w:t>
            </w:r>
          </w:p>
        </w:tc>
        <w:tc>
          <w:tcPr>
            <w:tcW w:type="dxa" w:w="2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71 – 89</w:t>
            </w:r>
          </w:p>
        </w:tc>
      </w:tr>
      <w:tr>
        <w:tc>
          <w:tcPr>
            <w:tcW w:type="dxa" w:w="6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Excelente – Con mención honorífica y recomendación de publicación</w:t>
            </w:r>
          </w:p>
        </w:tc>
        <w:tc>
          <w:tcPr>
            <w:tcW w:type="dxa" w:w="2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90 – 100</w:t>
            </w:r>
          </w:p>
        </w:tc>
      </w:tr>
    </w:tbl>
    <w:p>
      <w:pPr>
        <w:spacing w:before="0" w:after="120" w:line="240" w:lineRule="auto"/>
        <w:jc w:val="left"/>
      </w:pP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d.</w:t>
        <w:tab/>
      </w:r>
      <w:r>
        <w:rPr>
          <w:rFonts w:ascii="Century Gothic" w:hAnsi="Century Gothic" w:cs="Century Gothic" w:eastAsia="Century Gothic"/>
          <w:b/>
          <w:i w:val="0"/>
          <w:sz w:val="22"/>
        </w:rPr>
        <w:t>Examen de Grado por Ciclos</w:t>
      </w:r>
    </w:p>
    <w:p>
      <w:pPr>
        <w:spacing w:before="0" w:after="200" w:line="240" w:lineRule="auto"/>
        <w:jc w:val="both"/>
      </w:pPr>
      <w:r>
        <w:rPr>
          <w:rFonts w:ascii="Century Gothic" w:hAnsi="Century Gothic" w:cs="Century Gothic" w:eastAsia="Century Gothic"/>
          <w:b w:val="0"/>
          <w:i w:val="0"/>
          <w:sz w:val="20"/>
        </w:rPr>
        <w:t>Modalidad que mide la efectividad de la formación global del estudiante mediante pruebas teórico-prácticas presenciales ante tribunales evaluadores en las áreas troncales de la profesión.</w:t>
      </w:r>
    </w:p>
    <w:p>
      <w:pPr>
        <w:spacing w:before="0" w:after="200" w:line="240" w:lineRule="auto"/>
        <w:jc w:val="both"/>
      </w:pPr>
      <w:r>
        <w:rPr>
          <w:rFonts w:ascii="Century Gothic" w:hAnsi="Century Gothic" w:cs="Century Gothic" w:eastAsia="Century Gothic"/>
          <w:b w:val="0"/>
          <w:i w:val="0"/>
          <w:sz w:val="20"/>
        </w:rPr>
        <w:t>La suma acumulativa en la escala de valoración es de 1 a 100 puntos, con un puntaje mínimo de aprobación de cincuenta y uno (51) puntos.</w:t>
      </w:r>
    </w:p>
    <w:p>
      <w:pPr>
        <w:spacing w:before="0" w:after="200" w:line="240" w:lineRule="auto"/>
        <w:jc w:val="both"/>
      </w:pPr>
      <w:r>
        <w:rPr>
          <w:rFonts w:ascii="Century Gothic" w:hAnsi="Century Gothic" w:cs="Century Gothic" w:eastAsia="Century Gothic"/>
          <w:b w:val="0"/>
          <w:i w:val="0"/>
          <w:sz w:val="20"/>
        </w:rPr>
        <w:t>Las asignaturas sujetas a evaluación, corresponden a las áreas troncales, distribuidas en tres (3) grupos dando origen a tres (3) exámenes, que serán convocados por el Director de la Carrera como mínimo tres (3) veces al año, con la participación de Docentes que regentan las asignaturas sujetas a evaluación, siendo la nota mínima de aprobación de cada una de ellas cincuenta y uno (51) puntos. El sorteo de bolos se realizará con 24 horas de anticipación al examen.</w:t>
      </w:r>
    </w:p>
    <w:p>
      <w:pPr>
        <w:spacing w:before="0" w:after="200" w:line="240" w:lineRule="auto"/>
        <w:jc w:val="both"/>
      </w:pPr>
      <w:r>
        <w:rPr>
          <w:rFonts w:ascii="Century Gothic" w:hAnsi="Century Gothic" w:cs="Century Gothic" w:eastAsia="Century Gothic"/>
          <w:b w:val="0"/>
          <w:i w:val="0"/>
          <w:sz w:val="20"/>
        </w:rPr>
        <w:t>Está implícito que en los exámenes se incluyen conocimientos de administración, matemática, economía, derecho; aplicados a la actividad profesional.</w:t>
      </w:r>
    </w:p>
    <w:p>
      <w:pPr>
        <w:spacing w:before="0" w:after="200" w:line="240" w:lineRule="auto"/>
        <w:jc w:val="both"/>
      </w:pPr>
      <w:r>
        <w:rPr>
          <w:rFonts w:ascii="Century Gothic" w:hAnsi="Century Gothic" w:cs="Century Gothic" w:eastAsia="Century Gothic"/>
          <w:b w:val="0"/>
          <w:i w:val="0"/>
          <w:sz w:val="20"/>
        </w:rPr>
        <w:t>Los Ciclos de Exámenes de Grado y asignaturas que las integran son:</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a.</w:t>
        <w:tab/>
      </w:r>
      <w:r>
        <w:rPr>
          <w:rFonts w:ascii="Century Gothic" w:hAnsi="Century Gothic" w:cs="Century Gothic" w:eastAsia="Century Gothic"/>
          <w:b/>
          <w:i w:val="0"/>
          <w:sz w:val="22"/>
        </w:rPr>
        <w:t>Ciclo Básico de Información Financiera y de Gestión</w:t>
      </w:r>
    </w:p>
    <w:p>
      <w:pPr>
        <w:numPr>
          <w:ilvl w:val="0"/>
          <w:numId w:val="905"/>
        </w:numPr>
        <w:spacing w:before="0" w:after="160" w:line="240" w:lineRule="auto"/>
        <w:jc w:val="both"/>
      </w:pPr>
      <w:r>
        <w:rPr>
          <w:rFonts w:ascii="Century Gothic" w:hAnsi="Century Gothic" w:cs="Century Gothic" w:eastAsia="Century Gothic"/>
          <w:b w:val="0"/>
          <w:i w:val="0"/>
          <w:sz w:val="20"/>
        </w:rPr>
        <w:t>Contabilidad Básica</w:t>
      </w:r>
    </w:p>
    <w:p>
      <w:pPr>
        <w:numPr>
          <w:ilvl w:val="0"/>
          <w:numId w:val="905"/>
        </w:numPr>
        <w:spacing w:before="0" w:after="160" w:line="240" w:lineRule="auto"/>
        <w:jc w:val="both"/>
      </w:pPr>
      <w:r>
        <w:rPr>
          <w:rFonts w:ascii="Century Gothic" w:hAnsi="Century Gothic" w:cs="Century Gothic" w:eastAsia="Century Gothic"/>
          <w:b w:val="0"/>
          <w:i w:val="0"/>
          <w:sz w:val="20"/>
        </w:rPr>
        <w:t>Contabilidad Intermedia</w:t>
      </w:r>
    </w:p>
    <w:p>
      <w:pPr>
        <w:numPr>
          <w:ilvl w:val="0"/>
          <w:numId w:val="905"/>
        </w:numPr>
        <w:spacing w:before="0" w:after="160" w:line="240" w:lineRule="auto"/>
        <w:jc w:val="both"/>
      </w:pPr>
      <w:r>
        <w:rPr>
          <w:rFonts w:ascii="Century Gothic" w:hAnsi="Century Gothic" w:cs="Century Gothic" w:eastAsia="Century Gothic"/>
          <w:b w:val="0"/>
          <w:i w:val="0"/>
          <w:sz w:val="20"/>
        </w:rPr>
        <w:t>Contabilidad de Sociedades</w:t>
      </w:r>
    </w:p>
    <w:p>
      <w:pPr>
        <w:numPr>
          <w:ilvl w:val="0"/>
          <w:numId w:val="905"/>
        </w:numPr>
        <w:spacing w:before="0" w:after="160" w:line="240" w:lineRule="auto"/>
        <w:jc w:val="both"/>
      </w:pPr>
      <w:r>
        <w:rPr>
          <w:rFonts w:ascii="Century Gothic" w:hAnsi="Century Gothic" w:cs="Century Gothic" w:eastAsia="Century Gothic"/>
          <w:b w:val="0"/>
          <w:i w:val="0"/>
          <w:sz w:val="20"/>
        </w:rPr>
        <w:t>Contabilidad de Tributos</w:t>
      </w:r>
    </w:p>
    <w:p>
      <w:pPr>
        <w:numPr>
          <w:ilvl w:val="0"/>
          <w:numId w:val="905"/>
        </w:numPr>
        <w:spacing w:before="0" w:after="160" w:line="240" w:lineRule="auto"/>
        <w:jc w:val="both"/>
      </w:pPr>
      <w:r>
        <w:rPr>
          <w:rFonts w:ascii="Century Gothic" w:hAnsi="Century Gothic" w:cs="Century Gothic" w:eastAsia="Century Gothic"/>
          <w:b w:val="0"/>
          <w:i w:val="0"/>
          <w:sz w:val="20"/>
        </w:rPr>
        <w:t>Contabilidad Internacional</w:t>
      </w:r>
    </w:p>
    <w:p>
      <w:pPr>
        <w:numPr>
          <w:ilvl w:val="0"/>
          <w:numId w:val="905"/>
        </w:numPr>
        <w:spacing w:before="0" w:after="200" w:line="240" w:lineRule="auto"/>
        <w:jc w:val="both"/>
      </w:pPr>
      <w:r>
        <w:rPr>
          <w:rFonts w:ascii="Century Gothic" w:hAnsi="Century Gothic" w:cs="Century Gothic" w:eastAsia="Century Gothic"/>
          <w:b w:val="0"/>
          <w:i w:val="0"/>
          <w:sz w:val="20"/>
        </w:rPr>
        <w:t>Contabilidad de Costos y Gestión</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b.</w:t>
        <w:tab/>
      </w:r>
      <w:r>
        <w:rPr>
          <w:rFonts w:ascii="Century Gothic" w:hAnsi="Century Gothic" w:cs="Century Gothic" w:eastAsia="Century Gothic"/>
          <w:b/>
          <w:i w:val="0"/>
          <w:sz w:val="22"/>
        </w:rPr>
        <w:t>Ciclo Especializado de Información Financiera y Finanzas</w:t>
      </w:r>
    </w:p>
    <w:p>
      <w:pPr>
        <w:numPr>
          <w:ilvl w:val="0"/>
          <w:numId w:val="906"/>
        </w:numPr>
        <w:spacing w:before="0" w:after="160" w:line="240" w:lineRule="auto"/>
        <w:jc w:val="both"/>
      </w:pPr>
      <w:r>
        <w:rPr>
          <w:rFonts w:ascii="Century Gothic" w:hAnsi="Century Gothic" w:cs="Century Gothic" w:eastAsia="Century Gothic"/>
          <w:b w:val="0"/>
          <w:i w:val="0"/>
          <w:sz w:val="20"/>
        </w:rPr>
        <w:t>Contabilidad de Bancos y Entidades Financieras</w:t>
      </w:r>
    </w:p>
    <w:p>
      <w:pPr>
        <w:numPr>
          <w:ilvl w:val="0"/>
          <w:numId w:val="906"/>
        </w:numPr>
        <w:spacing w:before="0" w:after="160" w:line="240" w:lineRule="auto"/>
        <w:jc w:val="both"/>
      </w:pPr>
      <w:r>
        <w:rPr>
          <w:rFonts w:ascii="Century Gothic" w:hAnsi="Century Gothic" w:cs="Century Gothic" w:eastAsia="Century Gothic"/>
          <w:b w:val="0"/>
          <w:i w:val="0"/>
          <w:sz w:val="20"/>
        </w:rPr>
        <w:t>Contabilidad de Seguros: Privado y Social</w:t>
      </w:r>
    </w:p>
    <w:p>
      <w:pPr>
        <w:numPr>
          <w:ilvl w:val="0"/>
          <w:numId w:val="906"/>
        </w:numPr>
        <w:spacing w:before="0" w:after="160" w:line="240" w:lineRule="auto"/>
        <w:jc w:val="both"/>
      </w:pPr>
      <w:r>
        <w:rPr>
          <w:rFonts w:ascii="Century Gothic" w:hAnsi="Century Gothic" w:cs="Century Gothic" w:eastAsia="Century Gothic"/>
          <w:b w:val="0"/>
          <w:i w:val="0"/>
          <w:sz w:val="20"/>
        </w:rPr>
        <w:t>Contabilidad Minera y Petrolera</w:t>
      </w:r>
    </w:p>
    <w:p>
      <w:pPr>
        <w:numPr>
          <w:ilvl w:val="0"/>
          <w:numId w:val="906"/>
        </w:numPr>
        <w:spacing w:before="0" w:after="160" w:line="240" w:lineRule="auto"/>
        <w:jc w:val="both"/>
      </w:pPr>
      <w:r>
        <w:rPr>
          <w:rFonts w:ascii="Century Gothic" w:hAnsi="Century Gothic" w:cs="Century Gothic" w:eastAsia="Century Gothic"/>
          <w:b w:val="0"/>
          <w:i w:val="0"/>
          <w:sz w:val="20"/>
        </w:rPr>
        <w:t>Contabilidad Agrícola y Ganadera</w:t>
      </w:r>
    </w:p>
    <w:p>
      <w:pPr>
        <w:numPr>
          <w:ilvl w:val="0"/>
          <w:numId w:val="906"/>
        </w:numPr>
        <w:spacing w:before="0" w:after="160" w:line="240" w:lineRule="auto"/>
        <w:jc w:val="both"/>
      </w:pPr>
      <w:r>
        <w:rPr>
          <w:rFonts w:ascii="Century Gothic" w:hAnsi="Century Gothic" w:cs="Century Gothic" w:eastAsia="Century Gothic"/>
          <w:b w:val="0"/>
          <w:i w:val="0"/>
          <w:sz w:val="20"/>
        </w:rPr>
        <w:t>Presupuestos y Contabilidad Gubernamental</w:t>
      </w:r>
    </w:p>
    <w:p>
      <w:pPr>
        <w:numPr>
          <w:ilvl w:val="0"/>
          <w:numId w:val="906"/>
        </w:numPr>
        <w:spacing w:before="0" w:after="200" w:line="240" w:lineRule="auto"/>
        <w:jc w:val="both"/>
      </w:pPr>
      <w:r>
        <w:rPr>
          <w:rFonts w:ascii="Century Gothic" w:hAnsi="Century Gothic" w:cs="Century Gothic" w:eastAsia="Century Gothic"/>
          <w:b w:val="0"/>
          <w:i w:val="0"/>
          <w:sz w:val="20"/>
        </w:rPr>
        <w:t>Finanzas Corporativas</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c.</w:t>
        <w:tab/>
      </w:r>
      <w:r>
        <w:rPr>
          <w:rFonts w:ascii="Century Gothic" w:hAnsi="Century Gothic" w:cs="Century Gothic" w:eastAsia="Century Gothic"/>
          <w:b/>
          <w:i w:val="0"/>
          <w:sz w:val="22"/>
        </w:rPr>
        <w:t>Ciclo Servicios de Aseguramiento</w:t>
      </w:r>
    </w:p>
    <w:p>
      <w:pPr>
        <w:numPr>
          <w:ilvl w:val="0"/>
          <w:numId w:val="907"/>
        </w:numPr>
        <w:spacing w:before="0" w:after="160" w:line="240" w:lineRule="auto"/>
        <w:jc w:val="both"/>
      </w:pPr>
      <w:r>
        <w:rPr>
          <w:rFonts w:ascii="Century Gothic" w:hAnsi="Century Gothic" w:cs="Century Gothic" w:eastAsia="Century Gothic"/>
          <w:b w:val="0"/>
          <w:i w:val="0"/>
          <w:sz w:val="20"/>
        </w:rPr>
        <w:t>Auditoría Financiera</w:t>
      </w:r>
    </w:p>
    <w:p>
      <w:pPr>
        <w:numPr>
          <w:ilvl w:val="0"/>
          <w:numId w:val="907"/>
        </w:numPr>
        <w:spacing w:before="0" w:after="160" w:line="240" w:lineRule="auto"/>
        <w:jc w:val="both"/>
      </w:pPr>
      <w:r>
        <w:rPr>
          <w:rFonts w:ascii="Century Gothic" w:hAnsi="Century Gothic" w:cs="Century Gothic" w:eastAsia="Century Gothic"/>
          <w:b w:val="0"/>
          <w:i w:val="0"/>
          <w:sz w:val="20"/>
        </w:rPr>
        <w:t>Auditoría Interna, Control Interno y Gestión de Riesgos</w:t>
      </w:r>
    </w:p>
    <w:p>
      <w:pPr>
        <w:numPr>
          <w:ilvl w:val="0"/>
          <w:numId w:val="907"/>
        </w:numPr>
        <w:spacing w:before="0" w:after="160" w:line="240" w:lineRule="auto"/>
        <w:jc w:val="both"/>
      </w:pPr>
      <w:r>
        <w:rPr>
          <w:rFonts w:ascii="Century Gothic" w:hAnsi="Century Gothic" w:cs="Century Gothic" w:eastAsia="Century Gothic"/>
          <w:b w:val="0"/>
          <w:i w:val="0"/>
          <w:sz w:val="20"/>
        </w:rPr>
        <w:t>Auditoría Operativa</w:t>
      </w:r>
    </w:p>
    <w:p>
      <w:pPr>
        <w:numPr>
          <w:ilvl w:val="0"/>
          <w:numId w:val="907"/>
        </w:numPr>
        <w:spacing w:before="0" w:after="160" w:line="240" w:lineRule="auto"/>
        <w:jc w:val="both"/>
      </w:pPr>
      <w:r>
        <w:rPr>
          <w:rFonts w:ascii="Century Gothic" w:hAnsi="Century Gothic" w:cs="Century Gothic" w:eastAsia="Century Gothic"/>
          <w:b w:val="0"/>
          <w:i w:val="0"/>
          <w:sz w:val="20"/>
        </w:rPr>
        <w:t>Auditoría Gubernamental</w:t>
      </w:r>
    </w:p>
    <w:p>
      <w:pPr>
        <w:numPr>
          <w:ilvl w:val="0"/>
          <w:numId w:val="907"/>
        </w:numPr>
        <w:spacing w:before="0" w:after="160" w:line="240" w:lineRule="auto"/>
        <w:jc w:val="both"/>
      </w:pPr>
      <w:r>
        <w:rPr>
          <w:rFonts w:ascii="Century Gothic" w:hAnsi="Century Gothic" w:cs="Century Gothic" w:eastAsia="Century Gothic"/>
          <w:b w:val="0"/>
          <w:i w:val="0"/>
          <w:sz w:val="20"/>
        </w:rPr>
        <w:t>Auditoría Tributaria</w:t>
      </w:r>
    </w:p>
    <w:p>
      <w:pPr>
        <w:numPr>
          <w:ilvl w:val="0"/>
          <w:numId w:val="907"/>
        </w:numPr>
        <w:spacing w:before="0" w:after="160" w:line="240" w:lineRule="auto"/>
        <w:jc w:val="both"/>
      </w:pPr>
      <w:r>
        <w:rPr>
          <w:rFonts w:ascii="Century Gothic" w:hAnsi="Century Gothic" w:cs="Century Gothic" w:eastAsia="Century Gothic"/>
          <w:b w:val="0"/>
          <w:i w:val="0"/>
          <w:sz w:val="20"/>
        </w:rPr>
        <w:t>Auditoría de Proyectos: Público y Privado</w:t>
      </w:r>
    </w:p>
    <w:p>
      <w:pPr>
        <w:numPr>
          <w:ilvl w:val="0"/>
          <w:numId w:val="907"/>
        </w:numPr>
        <w:spacing w:before="0" w:after="200" w:line="240" w:lineRule="auto"/>
        <w:jc w:val="both"/>
      </w:pPr>
      <w:r>
        <w:rPr>
          <w:rFonts w:ascii="Century Gothic" w:hAnsi="Century Gothic" w:cs="Century Gothic" w:eastAsia="Century Gothic"/>
          <w:b w:val="0"/>
          <w:i w:val="0"/>
          <w:sz w:val="20"/>
        </w:rPr>
        <w:t>Auditoría de Entidades Financieras</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e.</w:t>
        <w:tab/>
      </w:r>
      <w:r>
        <w:rPr>
          <w:rFonts w:ascii="Century Gothic" w:hAnsi="Century Gothic" w:cs="Century Gothic" w:eastAsia="Century Gothic"/>
          <w:b/>
          <w:i w:val="0"/>
          <w:sz w:val="22"/>
        </w:rPr>
        <w:t>Graduación por Excelencia (Rendimiento Académico o Reconocimiento a la Calidad)</w:t>
      </w:r>
    </w:p>
    <w:p>
      <w:pPr>
        <w:spacing w:before="0" w:after="200" w:line="240" w:lineRule="auto"/>
        <w:jc w:val="both"/>
      </w:pPr>
      <w:r>
        <w:rPr>
          <w:rFonts w:ascii="Century Gothic" w:hAnsi="Century Gothic" w:cs="Century Gothic" w:eastAsia="Century Gothic"/>
          <w:b w:val="0"/>
          <w:i w:val="0"/>
          <w:sz w:val="20"/>
        </w:rPr>
        <w:t>Modalidad que exime al estudiante sobresaliente de someterse a exámenes o trabajos finales de grado, premiando su rendimiento académico continuo a lo largo de los 5 años de formación.</w:t>
      </w:r>
    </w:p>
    <w:p>
      <w:pPr>
        <w:numPr>
          <w:ilvl w:val="0"/>
          <w:numId w:val="908"/>
        </w:numPr>
        <w:spacing w:before="0" w:after="160" w:line="240" w:lineRule="auto"/>
        <w:jc w:val="both"/>
      </w:pPr>
      <w:r>
        <w:rPr>
          <w:rFonts w:ascii="Century Gothic" w:hAnsi="Century Gothic" w:cs="Century Gothic" w:eastAsia="Century Gothic"/>
          <w:b/>
          <w:i w:val="0"/>
          <w:sz w:val="20"/>
        </w:rPr>
        <w:t>Requisitos y Criterios Institucionales:</w:t>
      </w:r>
    </w:p>
    <w:p>
      <w:pPr>
        <w:numPr>
          <w:ilvl w:val="1"/>
          <w:numId w:val="908"/>
        </w:numPr>
        <w:spacing w:before="0" w:after="60" w:line="240" w:lineRule="auto"/>
        <w:jc w:val="both"/>
      </w:pPr>
      <w:r>
        <w:rPr>
          <w:rFonts w:ascii="Century Gothic" w:hAnsi="Century Gothic" w:cs="Century Gothic" w:eastAsia="Century Gothic"/>
          <w:b w:val="0"/>
          <w:i w:val="0"/>
          <w:sz w:val="20"/>
        </w:rPr>
        <w:t xml:space="preserve">Haber aprobado el 100% de las 43 asignaturas en </w:t>
      </w:r>
      <w:r>
        <w:rPr>
          <w:rFonts w:ascii="Century Gothic" w:hAnsi="Century Gothic" w:cs="Century Gothic" w:eastAsia="Century Gothic"/>
          <w:b/>
          <w:i w:val="0"/>
          <w:sz w:val="20"/>
        </w:rPr>
        <w:t>primera instancia</w:t>
      </w:r>
      <w:r>
        <w:rPr>
          <w:rFonts w:ascii="Century Gothic" w:hAnsi="Century Gothic" w:cs="Century Gothic" w:eastAsia="Century Gothic"/>
          <w:b w:val="0"/>
          <w:i w:val="0"/>
          <w:sz w:val="20"/>
        </w:rPr>
        <w:t xml:space="preserve"> (sin haber recurrido a exámenes de mesa ni haber reprobado ninguna materia).</w:t>
      </w:r>
    </w:p>
    <w:p>
      <w:pPr>
        <w:numPr>
          <w:ilvl w:val="1"/>
          <w:numId w:val="908"/>
        </w:numPr>
        <w:spacing w:before="0" w:after="60" w:line="240" w:lineRule="auto"/>
        <w:jc w:val="both"/>
      </w:pPr>
      <w:r>
        <w:rPr>
          <w:rFonts w:ascii="Century Gothic" w:hAnsi="Century Gothic" w:cs="Century Gothic" w:eastAsia="Century Gothic"/>
          <w:b w:val="0"/>
          <w:i w:val="0"/>
          <w:sz w:val="20"/>
        </w:rPr>
        <w:t>Haber concluido el plan de estudios dentro del tiempo reglamentario de la carrera (</w:t>
      </w:r>
      <w:r>
        <w:rPr>
          <w:rFonts w:ascii="Century Gothic" w:hAnsi="Century Gothic" w:cs="Century Gothic" w:eastAsia="Century Gothic"/>
          <w:b/>
          <w:i w:val="0"/>
          <w:sz w:val="20"/>
        </w:rPr>
        <w:t>5 años continuos</w:t>
      </w:r>
      <w:r>
        <w:rPr>
          <w:rFonts w:ascii="Century Gothic" w:hAnsi="Century Gothic" w:cs="Century Gothic" w:eastAsia="Century Gothic"/>
          <w:b w:val="0"/>
          <w:i w:val="0"/>
          <w:sz w:val="20"/>
        </w:rPr>
        <w:t>).</w:t>
      </w:r>
    </w:p>
    <w:p>
      <w:pPr>
        <w:numPr>
          <w:ilvl w:val="1"/>
          <w:numId w:val="908"/>
        </w:numPr>
        <w:spacing w:before="0" w:after="200" w:line="240" w:lineRule="auto"/>
        <w:jc w:val="both"/>
      </w:pPr>
      <w:r>
        <w:rPr>
          <w:rFonts w:ascii="Century Gothic" w:hAnsi="Century Gothic" w:cs="Century Gothic" w:eastAsia="Century Gothic"/>
          <w:b w:val="0"/>
          <w:i w:val="0"/>
          <w:sz w:val="20"/>
        </w:rPr>
        <w:t xml:space="preserve">Acreditar un </w:t>
      </w:r>
      <w:r>
        <w:rPr>
          <w:rFonts w:ascii="Century Gothic" w:hAnsi="Century Gothic" w:cs="Century Gothic" w:eastAsia="Century Gothic"/>
          <w:b/>
          <w:i w:val="0"/>
          <w:sz w:val="20"/>
        </w:rPr>
        <w:t>promedio general ponderado cuantitativo sobresaliente</w:t>
      </w:r>
      <w:r>
        <w:rPr>
          <w:rFonts w:ascii="Century Gothic" w:hAnsi="Century Gothic" w:cs="Century Gothic" w:eastAsia="Century Gothic"/>
          <w:b w:val="0"/>
          <w:i w:val="0"/>
          <w:sz w:val="20"/>
        </w:rPr>
        <w:t xml:space="preserve"> (igual o superior al límite fijado por la normativa de la Facultad y la UMSA).</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f.</w:t>
        <w:tab/>
      </w:r>
      <w:r>
        <w:rPr>
          <w:rFonts w:ascii="Century Gothic" w:hAnsi="Century Gothic" w:cs="Century Gothic" w:eastAsia="Century Gothic"/>
          <w:b/>
          <w:i w:val="0"/>
          <w:sz w:val="22"/>
        </w:rPr>
        <w:t>Articulación Grado - Posgrado (Monografía o Examen vía Diplomado)</w:t>
      </w:r>
    </w:p>
    <w:p>
      <w:pPr>
        <w:spacing w:before="0" w:after="200" w:line="240" w:lineRule="auto"/>
        <w:jc w:val="both"/>
      </w:pPr>
      <w:r>
        <w:rPr>
          <w:rFonts w:ascii="Century Gothic" w:hAnsi="Century Gothic" w:cs="Century Gothic" w:eastAsia="Century Gothic"/>
          <w:b w:val="0"/>
          <w:i w:val="0"/>
          <w:sz w:val="20"/>
        </w:rPr>
        <w:t xml:space="preserve">Conforme a las normativas vigentes del SUB, mediante el Título IV (Artículos 82 al 95) del Reglamento General de Estudios de Posgrado del Sistema de la Universidad Boliviana y el Reglamento General de Posgrado, el estudiante de Quinto Año o egresado puede cursar un </w:t>
      </w:r>
      <w:r>
        <w:rPr>
          <w:rFonts w:ascii="Century Gothic" w:hAnsi="Century Gothic" w:cs="Century Gothic" w:eastAsia="Century Gothic"/>
          <w:b/>
          <w:i w:val="0"/>
          <w:sz w:val="20"/>
        </w:rPr>
        <w:t>Programa de Diplomado Acreditado,</w:t>
      </w:r>
      <w:r>
        <w:rPr>
          <w:rFonts w:ascii="Century Gothic" w:hAnsi="Century Gothic" w:cs="Century Gothic" w:eastAsia="Century Gothic"/>
          <w:b w:val="0"/>
          <w:i w:val="0"/>
          <w:sz w:val="20"/>
        </w:rPr>
        <w:t xml:space="preserve"> el cual debe contar con la aprobación del Consejo Facultativo y acreditar una carga horaria total de 800 horas académicas (20 créditos):</w:t>
      </w:r>
    </w:p>
    <w:p>
      <w:pPr>
        <w:spacing w:before="0" w:after="200" w:line="240" w:lineRule="auto"/>
        <w:jc w:val="both"/>
      </w:pPr>
      <w:r>
        <w:rPr>
          <w:rFonts w:ascii="Century Gothic" w:hAnsi="Century Gothic" w:cs="Century Gothic" w:eastAsia="Century Gothic"/>
          <w:b w:val="0"/>
          <w:i w:val="0"/>
          <w:sz w:val="20"/>
        </w:rPr>
        <w:t xml:space="preserve">distribuidas en 240 horas lectivas presenciales y 560 horas de investigación/prácticas aplicadas; en áreas de especialización contable o de aseguramiento y obtener la titulación mediante la aprobación de una </w:t>
      </w:r>
      <w:r>
        <w:rPr>
          <w:rFonts w:ascii="Century Gothic" w:hAnsi="Century Gothic" w:cs="Century Gothic" w:eastAsia="Century Gothic"/>
          <w:b/>
          <w:i w:val="0"/>
          <w:sz w:val="20"/>
        </w:rPr>
        <w:t>Monografía</w:t>
      </w:r>
      <w:r>
        <w:rPr>
          <w:rFonts w:ascii="Century Gothic" w:hAnsi="Century Gothic" w:cs="Century Gothic" w:eastAsia="Century Gothic"/>
          <w:b w:val="0"/>
          <w:i w:val="0"/>
          <w:sz w:val="20"/>
        </w:rPr>
        <w:t xml:space="preserve"> (Desarrollo y defensa de un estudio exhaustivo de investigación aplicada bajo la guía de un tutor/docente sobre un tema del diplomado), un </w:t>
      </w:r>
      <w:r>
        <w:rPr>
          <w:rFonts w:ascii="Century Gothic" w:hAnsi="Century Gothic" w:cs="Century Gothic" w:eastAsia="Century Gothic"/>
          <w:b/>
          <w:i w:val="0"/>
          <w:sz w:val="20"/>
        </w:rPr>
        <w:t>Examen de Contenidos</w:t>
      </w:r>
      <w:r>
        <w:rPr>
          <w:rFonts w:ascii="Century Gothic" w:hAnsi="Century Gothic" w:cs="Century Gothic" w:eastAsia="Century Gothic"/>
          <w:b w:val="0"/>
          <w:i w:val="0"/>
          <w:sz w:val="20"/>
        </w:rPr>
        <w:t xml:space="preserve"> del posgrado (Evaluación teórico-práctica sobre las competencias del programa posgradual y su articulación con el pregrado) o </w:t>
      </w:r>
      <w:r>
        <w:rPr>
          <w:rFonts w:ascii="Century Gothic" w:hAnsi="Century Gothic" w:cs="Century Gothic" w:eastAsia="Century Gothic"/>
          <w:b/>
          <w:i w:val="0"/>
          <w:sz w:val="20"/>
        </w:rPr>
        <w:t>Graduación por Excelencia</w:t>
      </w:r>
      <w:r>
        <w:rPr>
          <w:rFonts w:ascii="Century Gothic" w:hAnsi="Century Gothic" w:cs="Century Gothic" w:eastAsia="Century Gothic"/>
          <w:b w:val="0"/>
          <w:i w:val="0"/>
          <w:sz w:val="20"/>
        </w:rPr>
        <w:t xml:space="preserve"> en el Diplomado (otorgada al cursante con desempeño cuali-cuantitativo sobresaliente en los módulos del programa).</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g.</w:t>
        <w:tab/>
      </w:r>
      <w:r>
        <w:rPr>
          <w:rFonts w:ascii="Century Gothic" w:hAnsi="Century Gothic" w:cs="Century Gothic" w:eastAsia="Century Gothic"/>
          <w:b/>
          <w:i w:val="0"/>
          <w:sz w:val="22"/>
        </w:rPr>
        <w:t>Plan Excepcional de Titulación para Antiguos Estudiantes No Graduados (P.E.T.A.E.N.G.)</w:t>
      </w:r>
    </w:p>
    <w:p>
      <w:pPr>
        <w:spacing w:before="0" w:after="200" w:line="240" w:lineRule="auto"/>
        <w:jc w:val="both"/>
      </w:pPr>
      <w:r>
        <w:rPr>
          <w:rFonts w:ascii="Century Gothic" w:hAnsi="Century Gothic" w:cs="Century Gothic" w:eastAsia="Century Gothic"/>
          <w:b w:val="0"/>
          <w:i w:val="0"/>
          <w:sz w:val="20"/>
        </w:rPr>
        <w:t xml:space="preserve">Programa académico de actualización y titulación dirigido exclusivamente a estudiantes egresados que hayan concluido el plan de estudios y tengan un tiempo </w:t>
      </w:r>
      <w:r>
        <w:rPr>
          <w:rFonts w:ascii="Century Gothic" w:hAnsi="Century Gothic" w:cs="Century Gothic" w:eastAsia="Century Gothic"/>
          <w:b/>
          <w:i w:val="0"/>
          <w:sz w:val="20"/>
        </w:rPr>
        <w:t>igual o mayor a tres (3) años de antigüedad sin haberse graduado.</w:t>
      </w:r>
    </w:p>
    <w:p>
      <w:pPr>
        <w:spacing w:before="0" w:after="200" w:line="240" w:lineRule="auto"/>
        <w:jc w:val="both"/>
      </w:pPr>
      <w:r>
        <w:rPr>
          <w:rFonts w:ascii="Century Gothic" w:hAnsi="Century Gothic" w:cs="Century Gothic" w:eastAsia="Century Gothic"/>
          <w:b w:val="0"/>
          <w:i w:val="0"/>
          <w:sz w:val="20"/>
        </w:rPr>
        <w:t>El “P.E.T.A.E.N.G.” es una modalidad de graduación excepcional que permite planificar, ejecutar y evaluar el desarrollo de un Trabajo Académico Diferenciado (actualización normativa, monografía de sistematización o proyecto de aplicación), con defensa oral ante tribunal para consolidar la obtención del título en Contaduría Pública.</w:t>
      </w:r>
    </w:p>
    <w:p>
      <w:pPr>
        <w:keepNext/>
        <w:spacing w:before="40" w:after="200" w:line="240" w:lineRule="auto"/>
        <w:jc w:val="left"/>
      </w:pPr>
      <w:r>
        <w:rPr>
          <w:rFonts w:ascii="Century Gothic" w:hAnsi="Century Gothic" w:cs="Century Gothic" w:eastAsia="Century Gothic"/>
          <w:b/>
          <w:i w:val="0"/>
          <w:sz w:val="22"/>
        </w:rPr>
        <w:t>Trámite Administrativo-Legal para la Obtención de Grados y Títulos</w:t>
      </w:r>
    </w:p>
    <w:p>
      <w:pPr>
        <w:spacing w:before="0" w:after="200" w:line="240" w:lineRule="auto"/>
        <w:jc w:val="both"/>
      </w:pPr>
      <w:r>
        <w:rPr>
          <w:rFonts w:ascii="Century Gothic" w:hAnsi="Century Gothic" w:cs="Century Gothic" w:eastAsia="Century Gothic"/>
          <w:b w:val="0"/>
          <w:i w:val="0"/>
          <w:sz w:val="20"/>
        </w:rPr>
        <w:t>Una vez aprobada la modalidad de graduación correspondientemente registrada en el Acta de Defensa Final, el graduado inicia el trámite administrativo-legal independiente para la obtención de:</w:t>
      </w:r>
    </w:p>
    <w:p>
      <w:pPr>
        <w:numPr>
          <w:ilvl w:val="0"/>
          <w:numId w:val="908"/>
        </w:numPr>
        <w:spacing w:before="0" w:after="160" w:line="240" w:lineRule="auto"/>
        <w:jc w:val="both"/>
      </w:pPr>
      <w:r>
        <w:rPr>
          <w:rFonts w:ascii="Century Gothic" w:hAnsi="Century Gothic" w:cs="Century Gothic" w:eastAsia="Century Gothic"/>
          <w:b/>
          <w:i w:val="0"/>
          <w:sz w:val="20"/>
        </w:rPr>
        <w:t>Diploma Académico de Licenciado(a) en Contaduría Pública:</w:t>
      </w:r>
      <w:r>
        <w:rPr>
          <w:rFonts w:ascii="Century Gothic" w:hAnsi="Century Gothic" w:cs="Century Gothic" w:eastAsia="Century Gothic"/>
          <w:b w:val="0"/>
          <w:i w:val="0"/>
          <w:sz w:val="20"/>
        </w:rPr>
        <w:t xml:space="preserve"> Expedido por la Universidad Mayor de San Andrés tras la verificación del expediente académico en el Departamento de Títulos y Grados.</w:t>
      </w:r>
    </w:p>
    <w:p>
      <w:pPr>
        <w:numPr>
          <w:ilvl w:val="0"/>
          <w:numId w:val="908"/>
        </w:numPr>
        <w:spacing w:before="0" w:after="200" w:line="240" w:lineRule="auto"/>
        <w:jc w:val="both"/>
      </w:pPr>
      <w:r>
        <w:rPr>
          <w:rFonts w:ascii="Century Gothic" w:hAnsi="Century Gothic" w:cs="Century Gothic" w:eastAsia="Century Gothic"/>
          <w:b/>
          <w:i w:val="0"/>
          <w:sz w:val="20"/>
        </w:rPr>
        <w:t>Título Profesional / Título en Provisión Nacional de Contador Público Autorizado (CPA):</w:t>
      </w:r>
      <w:r>
        <w:rPr>
          <w:rFonts w:ascii="Century Gothic" w:hAnsi="Century Gothic" w:cs="Century Gothic" w:eastAsia="Century Gothic"/>
          <w:b w:val="0"/>
          <w:i w:val="0"/>
          <w:sz w:val="20"/>
        </w:rPr>
        <w:t xml:space="preserve"> Otorgado por el Estado Plurinacional a través de la UMSA, habilitando el ejercicio legal de la profesión en todo el territorio nacional y la posterior matriculación en el Colegio de Auditores o Contadores Públicos de Bolivia.</w:t>
      </w:r>
    </w:p>
    <w:p>
      <w:pPr>
        <w:keepNext/>
        <w:tabs>
          <w:tab w:pos="992" w:val="left"/>
        </w:tabs>
        <w:spacing w:before="40" w:after="200" w:line="240" w:lineRule="auto"/>
        <w:ind w:left="992" w:hanging="992"/>
        <w:jc w:val="left"/>
      </w:pPr>
      <w:r>
        <w:rPr>
          <w:rFonts w:ascii="Century Gothic" w:hAnsi="Century Gothic" w:cs="Century Gothic" w:eastAsia="Century Gothic"/>
          <w:b/>
          <w:i w:val="0"/>
          <w:sz w:val="22"/>
        </w:rPr>
        <w:t>5.4.2.2</w:t>
        <w:tab/>
      </w:r>
      <w:r>
        <w:rPr>
          <w:rFonts w:ascii="Century Gothic" w:hAnsi="Century Gothic" w:cs="Century Gothic" w:eastAsia="Century Gothic"/>
          <w:b/>
          <w:i w:val="0"/>
          <w:sz w:val="22"/>
        </w:rPr>
        <w:t>Modalidades de Graduación para Técnico Superior</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a.</w:t>
        <w:tab/>
      </w:r>
      <w:r>
        <w:rPr>
          <w:rFonts w:ascii="Century Gothic" w:hAnsi="Century Gothic" w:cs="Century Gothic" w:eastAsia="Century Gothic"/>
          <w:b/>
          <w:i w:val="0"/>
          <w:sz w:val="22"/>
        </w:rPr>
        <w:t>Examen de Grado Técnico Superior</w:t>
      </w:r>
    </w:p>
    <w:p>
      <w:pPr>
        <w:spacing w:before="0" w:after="200" w:line="240" w:lineRule="auto"/>
        <w:jc w:val="both"/>
      </w:pPr>
      <w:r>
        <w:rPr>
          <w:rFonts w:ascii="Century Gothic" w:hAnsi="Century Gothic" w:cs="Century Gothic" w:eastAsia="Century Gothic"/>
          <w:b w:val="0"/>
          <w:i w:val="0"/>
          <w:sz w:val="20"/>
        </w:rPr>
        <w:t>Modalidad que mide la efectividad de la formación global del estudiante mediante pruebas teórico-prácticas presenciales ante tribunales evaluadores después de aprobar todas las asignaturas (24 asignaturas) hasta el tercer año que incluye el Plan de Estudios 2027.</w:t>
      </w:r>
    </w:p>
    <w:p>
      <w:pPr>
        <w:spacing w:before="0" w:after="200" w:line="240" w:lineRule="auto"/>
        <w:jc w:val="both"/>
      </w:pPr>
      <w:r>
        <w:rPr>
          <w:rFonts w:ascii="Century Gothic" w:hAnsi="Century Gothic" w:cs="Century Gothic" w:eastAsia="Century Gothic"/>
          <w:b w:val="0"/>
          <w:i w:val="0"/>
          <w:sz w:val="20"/>
        </w:rPr>
        <w:t>Las asignaturas sujetas a evaluación, corresponden a las áreas troncales, en un único examen, que será convocado por el Director de la Carrera dos (2) veces al año, con la participación de Docentes que regentan las asignaturas sujetas a evaluación.</w:t>
      </w:r>
    </w:p>
    <w:p>
      <w:pPr>
        <w:spacing w:before="0" w:after="200" w:line="240" w:lineRule="auto"/>
        <w:jc w:val="both"/>
      </w:pPr>
      <w:r>
        <w:rPr>
          <w:rFonts w:ascii="Century Gothic" w:hAnsi="Century Gothic" w:cs="Century Gothic" w:eastAsia="Century Gothic"/>
          <w:b w:val="0"/>
          <w:i w:val="0"/>
          <w:sz w:val="20"/>
        </w:rPr>
        <w:t>Las asignaturas que integran son:</w:t>
      </w:r>
    </w:p>
    <w:p>
      <w:pPr>
        <w:numPr>
          <w:ilvl w:val="0"/>
          <w:numId w:val="909"/>
        </w:numPr>
        <w:spacing w:before="0" w:after="160" w:line="240" w:lineRule="auto"/>
        <w:jc w:val="both"/>
      </w:pPr>
      <w:r>
        <w:rPr>
          <w:rFonts w:ascii="Century Gothic" w:hAnsi="Century Gothic" w:cs="Century Gothic" w:eastAsia="Century Gothic"/>
          <w:b w:val="0"/>
          <w:i w:val="0"/>
          <w:sz w:val="20"/>
        </w:rPr>
        <w:t>Contabilidad Básica</w:t>
      </w:r>
    </w:p>
    <w:p>
      <w:pPr>
        <w:numPr>
          <w:ilvl w:val="0"/>
          <w:numId w:val="909"/>
        </w:numPr>
        <w:spacing w:before="0" w:after="160" w:line="240" w:lineRule="auto"/>
        <w:jc w:val="both"/>
      </w:pPr>
      <w:r>
        <w:rPr>
          <w:rFonts w:ascii="Century Gothic" w:hAnsi="Century Gothic" w:cs="Century Gothic" w:eastAsia="Century Gothic"/>
          <w:b w:val="0"/>
          <w:i w:val="0"/>
          <w:sz w:val="20"/>
        </w:rPr>
        <w:t>Contabilidad Intermedia</w:t>
      </w:r>
    </w:p>
    <w:p>
      <w:pPr>
        <w:numPr>
          <w:ilvl w:val="0"/>
          <w:numId w:val="909"/>
        </w:numPr>
        <w:spacing w:before="0" w:after="160" w:line="240" w:lineRule="auto"/>
        <w:jc w:val="both"/>
      </w:pPr>
      <w:r>
        <w:rPr>
          <w:rFonts w:ascii="Century Gothic" w:hAnsi="Century Gothic" w:cs="Century Gothic" w:eastAsia="Century Gothic"/>
          <w:b w:val="0"/>
          <w:i w:val="0"/>
          <w:sz w:val="20"/>
        </w:rPr>
        <w:t>Contabilidad de Sociedades</w:t>
      </w:r>
    </w:p>
    <w:p>
      <w:pPr>
        <w:numPr>
          <w:ilvl w:val="0"/>
          <w:numId w:val="909"/>
        </w:numPr>
        <w:spacing w:before="0" w:after="160" w:line="240" w:lineRule="auto"/>
        <w:jc w:val="both"/>
      </w:pPr>
      <w:r>
        <w:rPr>
          <w:rFonts w:ascii="Century Gothic" w:hAnsi="Century Gothic" w:cs="Century Gothic" w:eastAsia="Century Gothic"/>
          <w:b w:val="0"/>
          <w:i w:val="0"/>
          <w:sz w:val="20"/>
        </w:rPr>
        <w:t>Contabilidad de Tributos</w:t>
      </w:r>
    </w:p>
    <w:p>
      <w:pPr>
        <w:numPr>
          <w:ilvl w:val="0"/>
          <w:numId w:val="909"/>
        </w:numPr>
        <w:spacing w:before="0" w:after="160" w:line="240" w:lineRule="auto"/>
        <w:jc w:val="both"/>
      </w:pPr>
      <w:r>
        <w:rPr>
          <w:rFonts w:ascii="Century Gothic" w:hAnsi="Century Gothic" w:cs="Century Gothic" w:eastAsia="Century Gothic"/>
          <w:b w:val="0"/>
          <w:i w:val="0"/>
          <w:sz w:val="20"/>
        </w:rPr>
        <w:t>Contabilidad Internacional</w:t>
      </w:r>
    </w:p>
    <w:p>
      <w:pPr>
        <w:numPr>
          <w:ilvl w:val="0"/>
          <w:numId w:val="909"/>
        </w:numPr>
        <w:spacing w:before="0" w:after="160" w:line="240" w:lineRule="auto"/>
        <w:jc w:val="both"/>
      </w:pPr>
      <w:r>
        <w:rPr>
          <w:rFonts w:ascii="Century Gothic" w:hAnsi="Century Gothic" w:cs="Century Gothic" w:eastAsia="Century Gothic"/>
          <w:b w:val="0"/>
          <w:i w:val="0"/>
          <w:sz w:val="20"/>
        </w:rPr>
        <w:t>Contabilidad de Costos y Gestión</w:t>
      </w:r>
    </w:p>
    <w:p>
      <w:pPr>
        <w:numPr>
          <w:ilvl w:val="0"/>
          <w:numId w:val="909"/>
        </w:numPr>
        <w:spacing w:before="0" w:after="160" w:line="240" w:lineRule="auto"/>
        <w:jc w:val="both"/>
      </w:pPr>
      <w:r>
        <w:rPr>
          <w:rFonts w:ascii="Century Gothic" w:hAnsi="Century Gothic" w:cs="Century Gothic" w:eastAsia="Century Gothic"/>
          <w:b w:val="0"/>
          <w:i w:val="0"/>
          <w:sz w:val="20"/>
        </w:rPr>
        <w:t>Contabilidad de Bancos y Entidades Financieras</w:t>
      </w:r>
    </w:p>
    <w:p>
      <w:pPr>
        <w:numPr>
          <w:ilvl w:val="0"/>
          <w:numId w:val="909"/>
        </w:numPr>
        <w:spacing w:before="0" w:after="200" w:line="240" w:lineRule="auto"/>
        <w:jc w:val="both"/>
      </w:pPr>
      <w:r>
        <w:rPr>
          <w:rFonts w:ascii="Century Gothic" w:hAnsi="Century Gothic" w:cs="Century Gothic" w:eastAsia="Century Gothic"/>
          <w:b w:val="0"/>
          <w:i w:val="0"/>
          <w:sz w:val="20"/>
        </w:rPr>
        <w:t>Presupuesto y Contabilidad Gubernamental</w:t>
      </w:r>
    </w:p>
    <w:p>
      <w:pPr>
        <w:spacing w:before="0" w:after="200" w:line="240" w:lineRule="auto"/>
        <w:jc w:val="both"/>
      </w:pPr>
      <w:r>
        <w:rPr>
          <w:rFonts w:ascii="Century Gothic" w:hAnsi="Century Gothic" w:cs="Century Gothic" w:eastAsia="Century Gothic"/>
          <w:b w:val="0"/>
          <w:i w:val="0"/>
          <w:sz w:val="20"/>
        </w:rPr>
        <w:t>La suma acumulativa en la escala de valoración es de 1 a 100 puntos, con un puntaje mínimo de aprobación de cincuenta y uno (51) puntos.</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 w:numId="905">
    <w:abstractNumId w:val="902"/>
    <w:lvlOverride w:ilvl="0">
      <w:startOverride w:val="1"/>
    </w:lvlOverride>
  </w:num>
  <w:num w:numId="906">
    <w:abstractNumId w:val="902"/>
    <w:lvlOverride w:ilvl="0">
      <w:startOverride w:val="1"/>
    </w:lvlOverride>
  </w:num>
  <w:num w:numId="907">
    <w:abstractNumId w:val="902"/>
    <w:lvlOverride w:ilvl="0">
      <w:startOverride w:val="1"/>
    </w:lvlOverride>
  </w:num>
  <w:num w:numId="908">
    <w:abstractNumId w:val="900"/>
    <w:lvlOverride w:ilvl="0">
      <w:startOverride w:val="1"/>
    </w:lvlOverride>
  </w:num>
  <w:num w:numId="909">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