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Century Gothic" w:hAnsi="Century Gothic" w:cs="Century Gothic" w:eastAsia="Century Gothic"/>
          <w:b/>
          <w:i w:val="0"/>
          <w:sz w:val="28"/>
        </w:rPr>
        <w:t>Diseño Curricular</w:t>
      </w:r>
    </w:p>
    <w:p>
      <w:pPr>
        <w:spacing w:before="0" w:after="360" w:line="240" w:lineRule="auto"/>
        <w:jc w:val="center"/>
      </w:pPr>
      <w:r>
        <w:rPr>
          <w:rFonts w:ascii="Century Gothic" w:hAnsi="Century Gothic" w:cs="Century Gothic" w:eastAsia="Century Gothic"/>
          <w:b/>
          <w:i w:val="0"/>
          <w:sz w:val="28"/>
        </w:rPr>
        <w:t>Atención a la Recomendación 2</w:t>
      </w:r>
    </w:p>
    <w:p>
      <w:pPr>
        <w:spacing w:before="0" w:after="240" w:line="240" w:lineRule="auto"/>
        <w:jc w:val="center"/>
      </w:pPr>
      <w:r>
        <w:rPr>
          <w:rFonts w:ascii="Century Gothic" w:hAnsi="Century Gothic" w:cs="Century Gothic" w:eastAsia="Century Gothic"/>
          <w:b w:val="0"/>
          <w:i/>
          <w:sz w:val="20"/>
        </w:rPr>
        <w:t>Disponibilidad de recursos académicos, tecnológicos y convenios para las prácticas preprofesionales</w:t>
      </w:r>
    </w:p>
    <w:p>
      <w:pPr>
        <w:spacing w:before="0" w:after="240" w:line="240" w:lineRule="auto"/>
        <w:jc w:val="center"/>
      </w:pPr>
      <w:r>
        <w:rPr>
          <w:rFonts w:ascii="Century Gothic" w:hAnsi="Century Gothic" w:cs="Century Gothic" w:eastAsia="Century Gothic"/>
          <w:b w:val="0"/>
          <w:i/>
          <w:sz w:val="20"/>
        </w:rPr>
        <w:t>Propuesta para revisión de la Comisión Académica</w:t>
      </w:r>
    </w:p>
    <w:p>
      <w:pPr>
        <w:keepNext/>
        <w:spacing w:before="160" w:after="200" w:line="240" w:lineRule="auto"/>
        <w:jc w:val="left"/>
      </w:pPr>
      <w:r>
        <w:rPr>
          <w:rFonts w:ascii="Century Gothic" w:hAnsi="Century Gothic" w:cs="Century Gothic" w:eastAsia="Century Gothic"/>
          <w:b/>
          <w:i w:val="0"/>
          <w:sz w:val="24"/>
        </w:rPr>
        <w:t>Parte I. Observación y alcance de la propuesta</w:t>
      </w:r>
    </w:p>
    <w:tbl>
      <w:tblPr>
        <w:tblW w:type="auto" w:w="0"/>
        <w:jc w:val="center"/>
        <w:tblLook w:firstColumn="1" w:firstRow="1" w:lastColumn="0" w:lastRow="0" w:noHBand="0" w:noVBand="1" w:val="04A0"/>
      </w:tblPr>
      <w:tblGrid>
        <w:gridCol w:w="9405"/>
      </w:tblGrid>
      <w:tr>
        <w:tc>
          <w:tcPr>
            <w:tcW w:type="dxa" w:w="8787"/>
            <w:tcBorders>
              <w:top w:val="single" w:sz="6" w:space="0" w:color="404040"/>
              <w:left w:val="single" w:sz="6" w:space="0" w:color="404040"/>
              <w:bottom w:val="single" w:sz="6" w:space="0" w:color="404040"/>
              <w:right w:val="single" w:sz="6" w:space="0" w:color="404040"/>
            </w:tcBorders>
            <w:tcMar>
              <w:top w:w="140" w:type="dxa"/>
              <w:left w:w="140" w:type="dxa"/>
              <w:bottom w:w="140" w:type="dxa"/>
              <w:right w:w="140" w:type="dxa"/>
            </w:tcMar>
          </w:tcPr>
          <w:p>
            <w:pPr>
              <w:spacing w:before="60" w:after="60" w:line="240" w:lineRule="auto"/>
              <w:jc w:val="both"/>
            </w:pPr>
            <w:r>
              <w:rPr>
                <w:rFonts w:ascii="Century Gothic" w:hAnsi="Century Gothic" w:cs="Century Gothic" w:eastAsia="Century Gothic"/>
                <w:b/>
                <w:i w:val="0"/>
                <w:sz w:val="20"/>
              </w:rPr>
              <w:t>Recomendación de Secretaría Académica (Nota STRIA.ACAD. N.º 1793/2026):</w:t>
            </w:r>
          </w:p>
          <w:p>
            <w:pPr>
              <w:spacing w:before="60" w:after="60" w:line="240" w:lineRule="auto"/>
              <w:jc w:val="both"/>
            </w:pPr>
            <w:r>
              <w:rPr>
                <w:rFonts w:ascii="Century Gothic" w:hAnsi="Century Gothic" w:cs="Century Gothic" w:eastAsia="Century Gothic"/>
                <w:b w:val="0"/>
                <w:i w:val="0"/>
                <w:sz w:val="20"/>
              </w:rPr>
              <w:t>«Condicionar la implementación administrativa a la presentación de evidencias de cumplimiento de las siguientes observaciones: Verificar la disponibilidad de recursos académicos, tecnológicos y convenios para las prácticas preprofesionales.»</w:t>
            </w:r>
          </w:p>
        </w:tc>
      </w:tr>
    </w:tbl>
    <w:p>
      <w:pPr>
        <w:spacing w:before="0" w:after="120" w:line="240" w:lineRule="auto"/>
        <w:jc w:val="left"/>
      </w:pPr>
    </w:p>
    <w:p>
      <w:pPr>
        <w:spacing w:before="0" w:after="200" w:line="240" w:lineRule="auto"/>
        <w:jc w:val="both"/>
      </w:pPr>
      <w:r>
        <w:rPr>
          <w:rFonts w:ascii="Century Gothic" w:hAnsi="Century Gothic" w:cs="Century Gothic" w:eastAsia="Century Gothic"/>
          <w:b w:val="0"/>
          <w:i w:val="0"/>
          <w:sz w:val="20"/>
        </w:rPr>
        <w:t>El punto 4.8 define los objetivos, los niveles, la organización y la supervisión de las prácticas preprofesionales, y los puntos 10, 11 y 14 describen los laboratorios, el software y los requerimientos de la Carrera. Sin embargo, el documento no contrasta esos recursos con lo que las prácticas exigen ni con el momento en que lo exigen. La revisión del documento identifica seis vacíos:</w:t>
      </w:r>
    </w:p>
    <w:p>
      <w:pPr>
        <w:numPr>
          <w:ilvl w:val="0"/>
          <w:numId w:val="901"/>
        </w:numPr>
        <w:spacing w:before="0" w:after="160" w:line="240" w:lineRule="auto"/>
        <w:jc w:val="both"/>
      </w:pPr>
      <w:r>
        <w:rPr>
          <w:rFonts w:ascii="Century Gothic" w:hAnsi="Century Gothic" w:cs="Century Gothic" w:eastAsia="Century Gothic"/>
          <w:b w:val="0"/>
          <w:i w:val="0"/>
          <w:sz w:val="20"/>
        </w:rPr>
        <w:t>No existe un inventario de los convenios vigentes que podrían recibir practicantes, aunque la Carrera ya opera convenios para el trabajo dirigido externo (punto 13.1.4).</w:t>
      </w:r>
    </w:p>
    <w:p>
      <w:pPr>
        <w:numPr>
          <w:ilvl w:val="0"/>
          <w:numId w:val="901"/>
        </w:numPr>
        <w:spacing w:before="0" w:after="160" w:line="240" w:lineRule="auto"/>
        <w:jc w:val="both"/>
      </w:pPr>
      <w:r>
        <w:rPr>
          <w:rFonts w:ascii="Century Gothic" w:hAnsi="Century Gothic" w:cs="Century Gothic" w:eastAsia="Century Gothic"/>
          <w:b w:val="0"/>
          <w:i w:val="0"/>
          <w:sz w:val="20"/>
        </w:rPr>
        <w:t>No se estima cuántas plazas de práctica, tutores y convenios se necesitan ni desde qué gestión.</w:t>
      </w:r>
    </w:p>
    <w:p>
      <w:pPr>
        <w:numPr>
          <w:ilvl w:val="0"/>
          <w:numId w:val="901"/>
        </w:numPr>
        <w:spacing w:before="0" w:after="160" w:line="240" w:lineRule="auto"/>
        <w:jc w:val="both"/>
      </w:pPr>
      <w:r>
        <w:rPr>
          <w:rFonts w:ascii="Century Gothic" w:hAnsi="Century Gothic" w:cs="Century Gothic" w:eastAsia="Century Gothic"/>
          <w:b w:val="0"/>
          <w:i w:val="0"/>
          <w:sz w:val="20"/>
        </w:rPr>
        <w:t>El Reglamento de Prácticas Preprofesionales, al que remite el punto 4.8.3, no figura en el Cuadro 2 de reglamentos del punto 13.1.2.</w:t>
      </w:r>
    </w:p>
    <w:p>
      <w:pPr>
        <w:numPr>
          <w:ilvl w:val="0"/>
          <w:numId w:val="901"/>
        </w:numPr>
        <w:spacing w:before="0" w:after="160" w:line="240" w:lineRule="auto"/>
        <w:jc w:val="both"/>
      </w:pPr>
      <w:r>
        <w:rPr>
          <w:rFonts w:ascii="Century Gothic" w:hAnsi="Century Gothic" w:cs="Century Gothic" w:eastAsia="Century Gothic"/>
          <w:b w:val="0"/>
          <w:i w:val="0"/>
          <w:sz w:val="20"/>
        </w:rPr>
        <w:t>El punto 4.8.3 acredita las horas de práctica como horas no presenciales de las «asignaturas vinculadas», pero ningún punto identifica esas asignaturas.</w:t>
      </w:r>
    </w:p>
    <w:p>
      <w:pPr>
        <w:numPr>
          <w:ilvl w:val="0"/>
          <w:numId w:val="901"/>
        </w:numPr>
        <w:spacing w:before="0" w:after="160" w:line="240" w:lineRule="auto"/>
        <w:jc w:val="both"/>
      </w:pPr>
      <w:r>
        <w:rPr>
          <w:rFonts w:ascii="Century Gothic" w:hAnsi="Century Gothic" w:cs="Century Gothic" w:eastAsia="Century Gothic"/>
          <w:b w:val="0"/>
          <w:i w:val="0"/>
          <w:sz w:val="20"/>
        </w:rPr>
        <w:t>La capacidad de los laboratorios no es concordante: el punto 10.4 indica 106 puestos simultáneos, mientras que los puntos 14.3 y 14.5 registran que 24 de las 39 computadoras del Monoblock Central están en mal estado.</w:t>
      </w:r>
    </w:p>
    <w:p>
      <w:pPr>
        <w:numPr>
          <w:ilvl w:val="0"/>
          <w:numId w:val="901"/>
        </w:numPr>
        <w:spacing w:before="0" w:after="200" w:line="240" w:lineRule="auto"/>
        <w:jc w:val="both"/>
      </w:pPr>
      <w:r>
        <w:rPr>
          <w:rFonts w:ascii="Century Gothic" w:hAnsi="Century Gothic" w:cs="Century Gothic" w:eastAsia="Century Gothic"/>
          <w:b w:val="0"/>
          <w:i w:val="0"/>
          <w:sz w:val="20"/>
        </w:rPr>
        <w:t>La coordinación de las prácticas y la gestión de convenios no tienen un responsable asignado en los requerimientos de recursos humanos del punto 11.2.3.</w:t>
      </w:r>
    </w:p>
    <w:p>
      <w:pPr>
        <w:spacing w:before="0" w:after="200" w:line="240" w:lineRule="auto"/>
        <w:jc w:val="both"/>
      </w:pPr>
      <w:r>
        <w:rPr>
          <w:rFonts w:ascii="Century Gothic" w:hAnsi="Century Gothic" w:cs="Century Gothic" w:eastAsia="Century Gothic"/>
          <w:b w:val="0"/>
          <w:i w:val="0"/>
          <w:sz w:val="20"/>
        </w:rPr>
        <w:t>Esta propuesta verifica la disponibilidad de cada recurso con la información que contiene el propio Rediseño Curricular, estima la demanda con un método declarado y añade el texto, los instrumentos y los ajustes necesarios para reunir las evidencias que pide Secretaría Académica. No incorpora convenios, cupos ni equipos que no consten en la base documental.</w:t>
      </w:r>
    </w:p>
    <w:p>
      <w:pPr>
        <w:keepNext/>
        <w:spacing w:before="40" w:after="80" w:line="240" w:lineRule="auto"/>
        <w:jc w:val="center"/>
      </w:pPr>
      <w:r>
        <w:rPr>
          <w:rFonts w:ascii="Century Gothic" w:hAnsi="Century Gothic" w:cs="Century Gothic" w:eastAsia="Century Gothic"/>
          <w:b/>
          <w:i w:val="0"/>
          <w:sz w:val="20"/>
        </w:rPr>
        <w:t>Cuadro A. Criterios de la Resolución HCU N.º 032/2025 que atiende la propuesta</w:t>
      </w:r>
    </w:p>
    <w:tbl>
      <w:tblPr>
        <w:tblW w:type="auto" w:w="0"/>
        <w:jc w:val="center"/>
        <w:tblLayout w:type="fixed"/>
        <w:tblLook w:firstColumn="1" w:firstRow="1" w:lastColumn="0" w:lastRow="0" w:noHBand="0" w:noVBand="1" w:val="04A0"/>
      </w:tblPr>
      <w:tblGrid>
        <w:gridCol w:w="2835"/>
        <w:gridCol w:w="3969"/>
        <w:gridCol w:w="2268"/>
      </w:tblGrid>
      <w:tr>
        <w:trPr>
          <w:tblHeader/>
        </w:trPr>
        <w:tc>
          <w:tcPr>
            <w:tcW w:type="dxa" w:w="2835"/>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Disposición</w:t>
            </w:r>
          </w:p>
        </w:tc>
        <w:tc>
          <w:tcPr>
            <w:tcW w:type="dxa" w:w="396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Exigencia</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Dónde se atiende</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Artículo 11, parágrafo VI (Relación con el mundo laboral)</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Los planes de estudio conectan al estudiante con el mundo laboral.</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4.8.4</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Artículo 11, parágrafo VIII (Transferibilidad)</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Actividades curriculares en las que el estudiante transfiera sus conocimientos a experiencias prácticas, en cantidad y calidad suficiente.</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4.8.4</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Artículo 12, Prácticas preprofesionales</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Horas de prácticas en una empresa o institución pública o privada.</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4.8.3 y 4.8.4</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Artículo 12, Recursos educativos</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Garantizar el acceso de estudiantes y docentes a sistemas informáticos, internet y wifi.</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4.8.4, 10.4 y 11.1.4</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Artículo 12, Infraestructura y equipamiento</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Ambientes de aprendizaje requeridos disponibles en la UMSA u otra institución pública o privada.</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4.8.4 y 14.3</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Artículo 12, Implementación del proyecto curricular</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Sistema de monitoreo de la implementación.</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4.8.4 y 12.1.2</w:t>
            </w:r>
          </w:p>
        </w:tc>
      </w:tr>
      <w:tr>
        <w:tc>
          <w:tcPr>
            <w:tcW w:type="dxa" w:w="2835"/>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Artículo 12, Reglamentación</w:t>
            </w:r>
          </w:p>
        </w:tc>
        <w:tc>
          <w:tcPr>
            <w:tcW w:type="dxa" w:w="396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Reglamentos académicos y administrativos que viabilicen la implementación.</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13.1.2</w:t>
            </w:r>
          </w:p>
        </w:tc>
      </w:tr>
    </w:tbl>
    <w:p>
      <w:pPr>
        <w:spacing w:before="40" w:after="200" w:line="240" w:lineRule="auto"/>
        <w:jc w:val="left"/>
      </w:pPr>
      <w:r>
        <w:rPr>
          <w:rFonts w:ascii="Century Gothic" w:hAnsi="Century Gothic" w:cs="Century Gothic" w:eastAsia="Century Gothic"/>
          <w:b w:val="0"/>
          <w:i w:val="0"/>
          <w:sz w:val="16"/>
        </w:rPr>
        <w:t>Fuente: Resolución HCU N.º 032/2025, Reglamento de Innovación Curricular de la UMSA.</w:t>
      </w:r>
    </w:p>
    <w:p>
      <w:pPr>
        <w:keepNext/>
        <w:spacing w:before="40" w:after="80" w:line="240" w:lineRule="auto"/>
        <w:jc w:val="center"/>
      </w:pPr>
      <w:r>
        <w:rPr>
          <w:rFonts w:ascii="Century Gothic" w:hAnsi="Century Gothic" w:cs="Century Gothic" w:eastAsia="Century Gothic"/>
          <w:b/>
          <w:i w:val="0"/>
          <w:sz w:val="20"/>
        </w:rPr>
        <w:t>Cuadro B. Resumen de los cambios propuestos</w:t>
      </w:r>
    </w:p>
    <w:tbl>
      <w:tblPr>
        <w:tblW w:type="auto" w:w="0"/>
        <w:jc w:val="center"/>
        <w:tblLayout w:type="fixed"/>
        <w:tblLook w:firstColumn="1" w:firstRow="1" w:lastColumn="0" w:lastRow="0" w:noHBand="0" w:noVBand="1" w:val="04A0"/>
      </w:tblPr>
      <w:tblGrid>
        <w:gridCol w:w="1247"/>
        <w:gridCol w:w="6406"/>
        <w:gridCol w:w="1417"/>
      </w:tblGrid>
      <w:tr>
        <w:trPr>
          <w:tblHeader/>
        </w:trPr>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Punto</w:t>
            </w:r>
          </w:p>
        </w:tc>
        <w:tc>
          <w:tcPr>
            <w:tcW w:type="dxa" w:w="6406"/>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Cambio</w:t>
            </w:r>
          </w:p>
        </w:tc>
        <w:tc>
          <w:tcPr>
            <w:tcW w:type="dxa" w:w="141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Tipo</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4.8.4</w:t>
            </w:r>
          </w:p>
        </w:tc>
        <w:tc>
          <w:tcPr>
            <w:tcW w:type="dxa" w:w="64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Disponibilidad de recursos y convenios para las prácticas: calendario, demanda estimada, verificación por recurso, estrategia de convenios y seguimiento</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Nuevo</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4.8.3</w:t>
            </w:r>
          </w:p>
        </w:tc>
        <w:tc>
          <w:tcPr>
            <w:tcW w:type="dxa" w:w="64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Identificación de las asignaturas vinculadas a la práctica</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Ajuste</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10.4</w:t>
            </w:r>
          </w:p>
        </w:tc>
        <w:tc>
          <w:tcPr>
            <w:tcW w:type="dxa" w:w="64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Capacidad operativa de los laboratorios</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Ajuste</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11.2.3</w:t>
            </w:r>
          </w:p>
        </w:tc>
        <w:tc>
          <w:tcPr>
            <w:tcW w:type="dxa" w:w="64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Coordinación de prácticas y vinculación</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Ajuste</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11.3.4</w:t>
            </w:r>
          </w:p>
        </w:tc>
        <w:tc>
          <w:tcPr>
            <w:tcW w:type="dxa" w:w="64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Fase de preparación: convenios con cupos y reglamento</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Ajuste</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12.1.2</w:t>
            </w:r>
          </w:p>
        </w:tc>
        <w:tc>
          <w:tcPr>
            <w:tcW w:type="dxa" w:w="64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Indicadores de las prácticas en la evaluación de proceso</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Ajuste</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13.1.2</w:t>
            </w:r>
          </w:p>
        </w:tc>
        <w:tc>
          <w:tcPr>
            <w:tcW w:type="dxa" w:w="64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Reglamento de Prácticas Preprofesionales</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Ajuste</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16.2</w:t>
            </w:r>
          </w:p>
        </w:tc>
        <w:tc>
          <w:tcPr>
            <w:tcW w:type="dxa" w:w="64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Hitos de convenios y reglamento en el cronograma</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Ajuste</w:t>
            </w:r>
          </w:p>
        </w:tc>
      </w:tr>
      <w:tr>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Parte III</w:t>
            </w:r>
          </w:p>
        </w:tc>
        <w:tc>
          <w:tcPr>
            <w:tcW w:type="dxa" w:w="6406"/>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Formularios de registro de convenios y de verificación de equipos</w:t>
            </w:r>
          </w:p>
        </w:tc>
        <w:tc>
          <w:tcPr>
            <w:tcW w:type="dxa" w:w="141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Instrumento</w:t>
            </w:r>
          </w:p>
        </w:tc>
      </w:tr>
    </w:tbl>
    <w:p>
      <w:pPr>
        <w:spacing w:before="40" w:after="200" w:line="240" w:lineRule="auto"/>
        <w:jc w:val="left"/>
      </w:pPr>
      <w:r>
        <w:rPr>
          <w:rFonts w:ascii="Century Gothic" w:hAnsi="Century Gothic" w:cs="Century Gothic" w:eastAsia="Century Gothic"/>
          <w:b w:val="0"/>
          <w:i w:val="0"/>
          <w:sz w:val="16"/>
        </w:rPr>
        <w:t>Fuente: elaboración propia.</w:t>
      </w:r>
    </w:p>
    <w:p>
      <w:pPr>
        <w:spacing w:before="0" w:after="200" w:line="240" w:lineRule="auto"/>
        <w:jc w:val="both"/>
      </w:pPr>
      <w:r>
        <w:rPr>
          <w:rFonts w:ascii="Century Gothic" w:hAnsi="Century Gothic" w:cs="Century Gothic" w:eastAsia="Century Gothic"/>
          <w:b/>
          <w:i w:val="0"/>
          <w:sz w:val="20"/>
        </w:rPr>
        <w:t>Convenciones.</w:t>
      </w:r>
      <w:r>
        <w:rPr>
          <w:rFonts w:ascii="Century Gothic" w:hAnsi="Century Gothic" w:cs="Century Gothic" w:eastAsia="Century Gothic"/>
          <w:b w:val="0"/>
          <w:i w:val="0"/>
          <w:sz w:val="20"/>
        </w:rPr>
        <w:t xml:space="preserve"> El texto resaltado en </w:t>
      </w:r>
      <w:r>
        <w:rPr>
          <w:rFonts w:ascii="Century Gothic" w:hAnsi="Century Gothic" w:cs="Century Gothic" w:eastAsia="Century Gothic"/>
          <w:b w:val="0"/>
          <w:i w:val="0"/>
          <w:sz w:val="20"/>
          <w:highlight w:val="yellow"/>
        </w:rPr>
        <w:t>amarillo</w:t>
      </w:r>
      <w:r>
        <w:rPr>
          <w:rFonts w:ascii="Century Gothic" w:hAnsi="Century Gothic" w:cs="Century Gothic" w:eastAsia="Century Gothic"/>
          <w:b w:val="0"/>
          <w:i w:val="0"/>
          <w:sz w:val="20"/>
        </w:rPr>
        <w:t xml:space="preserve"> es un parámetro de diseño que debe fijar la Comisión Académica o un dato que debe confirmar la unidad responsable; los cálculos que dependen de él se recalculan si cambia. Los resaltados se quitan al incorporar el texto. Los cuadros del nuevo punto 4.8.4 continúan la numeración del punto 4.8, cuyo último cuadro es el Cuadro 1.</w:t>
      </w:r>
    </w:p>
    <w:p>
      <w:r>
        <w:br w:type="page"/>
      </w:r>
    </w:p>
    <w:p>
      <w:pPr>
        <w:keepNext/>
        <w:spacing w:before="160" w:after="200" w:line="240" w:lineRule="auto"/>
        <w:jc w:val="left"/>
      </w:pPr>
      <w:r>
        <w:rPr>
          <w:rFonts w:ascii="Century Gothic" w:hAnsi="Century Gothic" w:cs="Century Gothic" w:eastAsia="Century Gothic"/>
          <w:b/>
          <w:i w:val="0"/>
          <w:sz w:val="24"/>
        </w:rPr>
        <w:t>Parte II. Texto propuesto para el punto 4.8</w:t>
      </w:r>
    </w:p>
    <w:p>
      <w:pPr>
        <w:keepNext/>
        <w:tabs>
          <w:tab w:pos="709" w:val="left"/>
        </w:tabs>
        <w:spacing w:before="80" w:after="200" w:line="240" w:lineRule="auto"/>
        <w:ind w:left="709" w:hanging="709"/>
        <w:jc w:val="left"/>
      </w:pPr>
      <w:r>
        <w:rPr>
          <w:rFonts w:ascii="Century Gothic" w:hAnsi="Century Gothic" w:cs="Century Gothic" w:eastAsia="Century Gothic"/>
          <w:b/>
          <w:i w:val="0"/>
          <w:sz w:val="22"/>
        </w:rPr>
        <w:t>4.8.4</w:t>
        <w:tab/>
      </w:r>
      <w:r>
        <w:rPr>
          <w:rFonts w:ascii="Century Gothic" w:hAnsi="Century Gothic" w:cs="Century Gothic" w:eastAsia="Century Gothic"/>
          <w:b/>
          <w:i w:val="0"/>
          <w:sz w:val="22"/>
        </w:rPr>
        <w:t>Disponibilidad de recursos y convenios para las prácticas</w:t>
      </w:r>
    </w:p>
    <w:p>
      <w:pPr>
        <w:spacing w:before="0" w:after="200" w:line="240" w:lineRule="auto"/>
        <w:jc w:val="both"/>
      </w:pPr>
      <w:r>
        <w:rPr>
          <w:rFonts w:ascii="Century Gothic" w:hAnsi="Century Gothic" w:cs="Century Gothic" w:eastAsia="Century Gothic"/>
          <w:b w:val="0"/>
          <w:i w:val="0"/>
          <w:sz w:val="20"/>
        </w:rPr>
        <w:t>La disponibilidad de los recursos se verifica en función del momento en que cada nivel de práctica entra en vigencia. Como el Rediseño Curricular se implementa año por año desde 2027 (punto 16.2), las prácticas formativas en asignaturas comienzan con la primera cohorte, mientras que las prácticas preprofesionales en organizaciones comienzan en 2029, cuando esa cohorte llega al tercer año. Este desfase deja las gestiones 2027 y 2028 para suscribir los convenios y aprobar el reglamento.</w:t>
      </w:r>
    </w:p>
    <w:p>
      <w:pPr>
        <w:keepNext/>
        <w:spacing w:before="40" w:after="80" w:line="240" w:lineRule="auto"/>
        <w:jc w:val="center"/>
      </w:pPr>
      <w:r>
        <w:rPr>
          <w:rFonts w:ascii="Century Gothic" w:hAnsi="Century Gothic" w:cs="Century Gothic" w:eastAsia="Century Gothic"/>
          <w:b/>
          <w:i w:val="0"/>
          <w:sz w:val="20"/>
        </w:rPr>
        <w:t>Cuadro 2. Calendario de las prácticas durante la implementación</w:t>
      </w:r>
    </w:p>
    <w:tbl>
      <w:tblPr>
        <w:tblW w:type="auto" w:w="0"/>
        <w:jc w:val="center"/>
        <w:tblLayout w:type="fixed"/>
        <w:tblLook w:firstColumn="1" w:firstRow="1" w:lastColumn="0" w:lastRow="0" w:noHBand="0" w:noVBand="1" w:val="04A0"/>
      </w:tblPr>
      <w:tblGrid>
        <w:gridCol w:w="907"/>
        <w:gridCol w:w="1077"/>
        <w:gridCol w:w="2948"/>
        <w:gridCol w:w="4139"/>
      </w:tblGrid>
      <w:tr>
        <w:trPr>
          <w:tblHeader/>
        </w:trPr>
        <w:tc>
          <w:tcPr>
            <w:tcW w:type="dxa" w:w="90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Gestión</w:t>
            </w:r>
          </w:p>
        </w:tc>
        <w:tc>
          <w:tcPr>
            <w:tcW w:type="dxa" w:w="107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Año que inicia</w:t>
            </w:r>
          </w:p>
        </w:tc>
        <w:tc>
          <w:tcPr>
            <w:tcW w:type="dxa" w:w="294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Niveles de práctica en vigencia</w:t>
            </w:r>
          </w:p>
        </w:tc>
        <w:tc>
          <w:tcPr>
            <w:tcW w:type="dxa" w:w="4139"/>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Recursos que deben estar disponibles</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2027</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Primero</w:t>
            </w:r>
          </w:p>
        </w:tc>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Prácticas formativas en asignaturas</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Laboratorios de computación, software de ofimática y análisis de datos (CPA-102, MAT-101 y MAT-102)</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2028</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Segundo</w:t>
            </w:r>
          </w:p>
        </w:tc>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Prácticas formativas en asignaturas</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Software contable y aplicativos tributarios (CPA-201 y CPA-203); reglamento aprobado y convenios suscritos para 2029</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2029</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Tercero</w:t>
            </w:r>
          </w:p>
        </w:tc>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Prácticas formativas y primeras prácticas preprofesionales en organizaciones</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Convenios con cupos, tutores académicos y de la entidad; sistemas ERP (CPA-305)</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2030</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Cuarto</w:t>
            </w:r>
          </w:p>
        </w:tc>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Se agregan gabinetes, simulación profesional y consultoría social contable</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Herramientas de auditoría asistida por computadora (CPA-407); espacios de simulación</w:t>
            </w:r>
          </w:p>
        </w:tc>
      </w:tr>
      <w:tr>
        <w:tc>
          <w:tcPr>
            <w:tcW w:type="dxa" w:w="90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2031</w:t>
            </w:r>
          </w:p>
        </w:tc>
        <w:tc>
          <w:tcPr>
            <w:tcW w:type="dxa" w:w="107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Quinto</w:t>
            </w:r>
          </w:p>
        </w:tc>
        <w:tc>
          <w:tcPr>
            <w:tcW w:type="dxa" w:w="294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Todos los niveles</w:t>
            </w:r>
          </w:p>
        </w:tc>
        <w:tc>
          <w:tcPr>
            <w:tcW w:type="dxa" w:w="4139"/>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Herramientas de auditoría (CPA-502, CPA-505 y CPA-508); convenios con entidades sin fines de lucro (CPA-507); Taller de Grado (CPA-510)</w:t>
            </w:r>
          </w:p>
        </w:tc>
      </w:tr>
    </w:tbl>
    <w:p>
      <w:pPr>
        <w:spacing w:before="40" w:after="200" w:line="240" w:lineRule="auto"/>
        <w:jc w:val="left"/>
      </w:pPr>
      <w:r>
        <w:rPr>
          <w:rFonts w:ascii="Century Gothic" w:hAnsi="Century Gothic" w:cs="Century Gothic" w:eastAsia="Century Gothic"/>
          <w:b w:val="0"/>
          <w:i w:val="0"/>
          <w:sz w:val="16"/>
        </w:rPr>
        <w:t>Fuente: elaboración con base en los puntos 4.8.2, 10.3 y 16.2 y en la malla curricular del punto 4.4.3.</w:t>
      </w:r>
    </w:p>
    <w:p>
      <w:pPr>
        <w:keepNext/>
        <w:spacing w:before="40" w:after="200" w:line="240" w:lineRule="auto"/>
        <w:jc w:val="left"/>
      </w:pPr>
      <w:r>
        <w:rPr>
          <w:rFonts w:ascii="Century Gothic" w:hAnsi="Century Gothic" w:cs="Century Gothic" w:eastAsia="Century Gothic"/>
          <w:b/>
          <w:i w:val="0"/>
          <w:sz w:val="22"/>
        </w:rPr>
        <w:t>Demanda estimada de plazas y tutores</w:t>
      </w:r>
    </w:p>
    <w:p>
      <w:pPr>
        <w:spacing w:before="0" w:after="200" w:line="240" w:lineRule="auto"/>
        <w:jc w:val="both"/>
      </w:pPr>
      <w:r>
        <w:rPr>
          <w:rFonts w:ascii="Century Gothic" w:hAnsi="Century Gothic" w:cs="Century Gothic" w:eastAsia="Century Gothic"/>
          <w:b w:val="0"/>
          <w:i w:val="0"/>
          <w:sz w:val="20"/>
        </w:rPr>
        <w:t>La primera cohorte se estima con el promedio de nuevos inscritos de 2023 a 2025, que fue de 472 estudiantes (498, 448 y 471, según la DSIE citada en el Diagnóstico de la Carrera 2026). El cálculo no descuenta el abandono entre primero y tercer año, por lo que representa el máximo de plazas requeridas. La demanda depende de cuántas prácticas en organizaciones exija el Reglamento a cada estudiante entre tercer y quinto año; el Cuadro 3 presenta las dos alternativas posibles.</w:t>
      </w:r>
    </w:p>
    <w:p>
      <w:pPr>
        <w:keepNext/>
        <w:spacing w:before="40" w:after="80" w:line="240" w:lineRule="auto"/>
        <w:jc w:val="center"/>
      </w:pPr>
      <w:r>
        <w:rPr>
          <w:rFonts w:ascii="Century Gothic" w:hAnsi="Century Gothic" w:cs="Century Gothic" w:eastAsia="Century Gothic"/>
          <w:b/>
          <w:i w:val="0"/>
          <w:sz w:val="20"/>
        </w:rPr>
        <w:t>Cuadro 3. Plazas de práctica y tutores académicos requeridos</w:t>
      </w:r>
    </w:p>
    <w:tbl>
      <w:tblPr>
        <w:tblW w:type="auto" w:w="0"/>
        <w:jc w:val="center"/>
        <w:tblLayout w:type="fixed"/>
        <w:tblLook w:firstColumn="1" w:firstRow="1" w:lastColumn="0" w:lastRow="0" w:noHBand="0" w:noVBand="1" w:val="04A0"/>
      </w:tblPr>
      <w:tblGrid>
        <w:gridCol w:w="1020"/>
        <w:gridCol w:w="2268"/>
        <w:gridCol w:w="2268"/>
        <w:gridCol w:w="1757"/>
        <w:gridCol w:w="1757"/>
      </w:tblGrid>
      <w:tr>
        <w:trPr>
          <w:tblHeader/>
        </w:trPr>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Gestión</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Alternativa A: una práctica entre 3.º y 5.º año</w:t>
            </w:r>
          </w:p>
        </w:tc>
        <w:tc>
          <w:tcPr>
            <w:tcW w:type="dxa" w:w="226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Alternativa B: una práctica en cada año de 3.º a 5.º</w:t>
            </w:r>
          </w:p>
        </w:tc>
        <w:tc>
          <w:tcPr>
            <w:tcW w:type="dxa" w:w="175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Tutores académicos, alternativa A</w:t>
            </w:r>
          </w:p>
        </w:tc>
        <w:tc>
          <w:tcPr>
            <w:tcW w:type="dxa" w:w="175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Tutores académicos, alternativa B</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2029</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Hasta 472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472</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2030</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Hasta 472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944</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48</w:t>
            </w:r>
          </w:p>
        </w:tc>
      </w:tr>
      <w:tr>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2031</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Hasta 472</w:t>
            </w:r>
          </w:p>
        </w:tc>
        <w:tc>
          <w:tcPr>
            <w:tcW w:type="dxa" w:w="226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1.416</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24</w:t>
            </w:r>
          </w:p>
        </w:tc>
        <w:tc>
          <w:tcPr>
            <w:tcW w:type="dxa" w:w="175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71</w:t>
            </w:r>
          </w:p>
        </w:tc>
      </w:tr>
    </w:tbl>
    <w:p>
      <w:pPr>
        <w:spacing w:before="40" w:after="200" w:line="240" w:lineRule="auto"/>
        <w:jc w:val="left"/>
      </w:pPr>
      <w:r>
        <w:rPr>
          <w:rFonts w:ascii="Century Gothic" w:hAnsi="Century Gothic" w:cs="Century Gothic" w:eastAsia="Century Gothic"/>
          <w:b w:val="0"/>
          <w:i w:val="0"/>
          <w:sz w:val="16"/>
        </w:rPr>
        <w:t xml:space="preserve">Fuente: elaboración propia. Relación referencial de </w:t>
      </w:r>
      <w:r>
        <w:rPr>
          <w:rFonts w:ascii="Century Gothic" w:hAnsi="Century Gothic" w:cs="Century Gothic" w:eastAsia="Century Gothic"/>
          <w:b w:val="0"/>
          <w:i w:val="0"/>
          <w:sz w:val="16"/>
          <w:highlight w:val="yellow"/>
        </w:rPr>
        <w:t>20 practicantes por tutor académico</w:t>
      </w:r>
      <w:r>
        <w:rPr>
          <w:rFonts w:ascii="Century Gothic" w:hAnsi="Century Gothic" w:cs="Century Gothic" w:eastAsia="Century Gothic"/>
          <w:b w:val="0"/>
          <w:i w:val="0"/>
          <w:sz w:val="16"/>
        </w:rPr>
        <w:t>, que fijará el Reglamento de Prácticas Preprofesionales.</w:t>
      </w:r>
    </w:p>
    <w:p>
      <w:pPr>
        <w:spacing w:before="0" w:after="200" w:line="240" w:lineRule="auto"/>
        <w:jc w:val="both"/>
      </w:pPr>
      <w:r>
        <w:rPr>
          <w:rFonts w:ascii="Century Gothic" w:hAnsi="Century Gothic" w:cs="Century Gothic" w:eastAsia="Century Gothic"/>
          <w:b w:val="0"/>
          <w:i w:val="0"/>
          <w:sz w:val="20"/>
        </w:rPr>
        <w:t>A estas plazas se suman las del trabajo dirigido de los estudiantes del Plan 2013, que entre 2021 y 2025 tituló en promedio a 55 estudiantes por año (Cuadro 10 del punto 2.7.2). La alternativa A es viable con un número de convenios menor y se recomienda para la primera cohorte; la alternativa B requiere triplicar los cupos hasta 2031.</w:t>
      </w:r>
    </w:p>
    <w:p>
      <w:pPr>
        <w:keepNext/>
        <w:spacing w:before="40" w:after="200" w:line="240" w:lineRule="auto"/>
        <w:jc w:val="left"/>
      </w:pPr>
      <w:r>
        <w:rPr>
          <w:rFonts w:ascii="Century Gothic" w:hAnsi="Century Gothic" w:cs="Century Gothic" w:eastAsia="Century Gothic"/>
          <w:b/>
          <w:i w:val="0"/>
          <w:sz w:val="22"/>
        </w:rPr>
        <w:t>Verificación de los recursos</w:t>
      </w:r>
    </w:p>
    <w:p>
      <w:pPr>
        <w:spacing w:before="0" w:after="200" w:line="240" w:lineRule="auto"/>
        <w:jc w:val="both"/>
      </w:pPr>
      <w:r>
        <w:rPr>
          <w:rFonts w:ascii="Century Gothic" w:hAnsi="Century Gothic" w:cs="Century Gothic" w:eastAsia="Century Gothic"/>
          <w:b w:val="0"/>
          <w:i w:val="0"/>
          <w:sz w:val="20"/>
        </w:rPr>
        <w:t>El Cuadro 4 contrasta cada recurso que exigen las prácticas con su situación según el propio Rediseño Curricular, e indica la acción, el plazo y la fuente de financiamiento ya previstos o necesarios.</w:t>
      </w:r>
    </w:p>
    <w:p>
      <w:pPr>
        <w:keepNext/>
        <w:spacing w:before="40" w:after="80" w:line="240" w:lineRule="auto"/>
        <w:jc w:val="center"/>
      </w:pPr>
      <w:r>
        <w:rPr>
          <w:rFonts w:ascii="Century Gothic" w:hAnsi="Century Gothic" w:cs="Century Gothic" w:eastAsia="Century Gothic"/>
          <w:b/>
          <w:i w:val="0"/>
          <w:sz w:val="20"/>
        </w:rPr>
        <w:t>Cuadro 4. Verificación de la disponibilidad de recursos para las prácticas</w:t>
      </w:r>
    </w:p>
    <w:tbl>
      <w:tblPr>
        <w:tblW w:type="auto" w:w="0"/>
        <w:jc w:val="center"/>
        <w:tblLayout w:type="fixed"/>
        <w:tblLook w:firstColumn="1" w:firstRow="1" w:lastColumn="0" w:lastRow="0" w:noHBand="0" w:noVBand="1" w:val="04A0"/>
      </w:tblPr>
      <w:tblGrid>
        <w:gridCol w:w="1587"/>
        <w:gridCol w:w="737"/>
        <w:gridCol w:w="3061"/>
        <w:gridCol w:w="1984"/>
        <w:gridCol w:w="1701"/>
      </w:tblGrid>
      <w:tr>
        <w:trPr>
          <w:tblHeader/>
        </w:trPr>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Recurso</w:t>
            </w:r>
          </w:p>
        </w:tc>
        <w:tc>
          <w:tcPr>
            <w:tcW w:type="dxa" w:w="73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Desde</w:t>
            </w:r>
          </w:p>
        </w:tc>
        <w:tc>
          <w:tcPr>
            <w:tcW w:type="dxa" w:w="306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Situación verificada</w:t>
            </w:r>
          </w:p>
        </w:tc>
        <w:tc>
          <w:tcPr>
            <w:tcW w:type="dxa" w:w="198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Acción</w:t>
            </w:r>
          </w:p>
        </w:tc>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6"/>
              </w:rPr>
              <w:t>Financiamiento</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Laboratorios de computación</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2027</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Parcialmente disponible.</w:t>
            </w:r>
            <w:r>
              <w:rPr>
                <w:rFonts w:ascii="Century Gothic" w:hAnsi="Century Gothic" w:cs="Century Gothic" w:eastAsia="Century Gothic"/>
                <w:b w:val="0"/>
                <w:i w:val="0"/>
                <w:sz w:val="16"/>
              </w:rPr>
              <w:t xml:space="preserve"> 70 puestos en el Edificio Nava Morales; en el Monoblock Central, 24 de las 39 computadoras están en mal estado. El 90 % de los equipos cumplió su ciclo de vida (puntos 10.4, 14.3 y 14.5).</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Renovación de 70 computadoras en 2027</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Presupuesto 2027, Bs 820.000 (Cuadros 14 y 15 del punto 11.3.5)</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Análisis de datos: Python, R, SPSS, Power BI y Excel</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2027</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Disponible</w:t>
            </w:r>
            <w:r>
              <w:rPr>
                <w:rFonts w:ascii="Century Gothic" w:hAnsi="Century Gothic" w:cs="Century Gothic" w:eastAsia="Century Gothic"/>
                <w:b w:val="0"/>
                <w:i w:val="0"/>
                <w:sz w:val="16"/>
              </w:rPr>
              <w:t xml:space="preserve"> en el laboratorio del Edificio Nava Morales (Cuadro 3 del punto 10.3).</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Instalación en el laboratorio del Monoblock Central al renovar los equipos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Software de uso libre y licencias existentes</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Software contable y aplicativos tributarios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2028</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Disponible.</w:t>
            </w:r>
            <w:r>
              <w:rPr>
                <w:rFonts w:ascii="Century Gothic" w:hAnsi="Century Gothic" w:cs="Century Gothic" w:eastAsia="Century Gothic"/>
                <w:b w:val="0"/>
                <w:i w:val="0"/>
                <w:sz w:val="16"/>
              </w:rPr>
              <w:t xml:space="preserve"> Módulos contables académicos y SIAT-Desktop (punto 10.3).</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Actualización anual</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Licencias, Bs 41.000 por año (Cuadro 21 del punto 11.3.5)</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Sistemas ERP</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2029</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No disponible</w:t>
            </w:r>
            <w:r>
              <w:rPr>
                <w:rFonts w:ascii="Century Gothic" w:hAnsi="Century Gothic" w:cs="Century Gothic" w:eastAsia="Century Gothic"/>
                <w:b w:val="0"/>
                <w:i w:val="0"/>
                <w:sz w:val="16"/>
              </w:rPr>
              <w:t>; solo módulos contables académicos (punto 10.3).</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Convenio de alianza universitaria o software de código abierto, gestionado en 2027 y 2028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Alianzas con proveedores de software (Cuadro 11 del punto 11.3.3)</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Herramientas de auditoría asistida por computadora</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2030</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No disponible</w:t>
            </w:r>
            <w:r>
              <w:rPr>
                <w:rFonts w:ascii="Century Gothic" w:hAnsi="Century Gothic" w:cs="Century Gothic" w:eastAsia="Century Gothic"/>
                <w:b w:val="0"/>
                <w:i w:val="0"/>
                <w:sz w:val="16"/>
              </w:rPr>
              <w:t xml:space="preserve"> (punto 10.3).</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Licencia académica o alternativa de código abierto, gestionada hasta 2029</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Alianzas con proveedores y firmas de auditoría (punto 11.3.3)</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Plataforma virtual para planes, bitácoras e informes de práctica</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2029</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Parcialmente disponible.</w:t>
            </w:r>
            <w:r>
              <w:rPr>
                <w:rFonts w:ascii="Century Gothic" w:hAnsi="Century Gothic" w:cs="Century Gothic" w:eastAsia="Century Gothic"/>
                <w:b w:val="0"/>
                <w:i w:val="0"/>
                <w:sz w:val="16"/>
              </w:rPr>
              <w:t xml:space="preserve"> Moodle con limitaciones de capacidad para 3.116 inscritos (punto 10.12).</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Ampliación de la capacidad y aula virtual de prácticas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Requerimiento de corto plazo del Cuadro 6 del punto 11.1.4</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Salas de simulación y espacios colaborativos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2030</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No disponible</w:t>
            </w:r>
            <w:r>
              <w:rPr>
                <w:rFonts w:ascii="Century Gothic" w:hAnsi="Century Gothic" w:cs="Century Gothic" w:eastAsia="Century Gothic"/>
                <w:b w:val="0"/>
                <w:i w:val="0"/>
                <w:sz w:val="16"/>
              </w:rPr>
              <w:t xml:space="preserve"> (punto 14.3).</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Habilitación de salas para gabinetes y simulación de firmas</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Red de graduados y cooperación (punto 11.3.3); mediano plazo del punto 11.1.4</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Tutores académicos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2029</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Parcialmente disponible.</w:t>
            </w:r>
            <w:r>
              <w:rPr>
                <w:rFonts w:ascii="Century Gothic" w:hAnsi="Century Gothic" w:cs="Century Gothic" w:eastAsia="Century Gothic"/>
                <w:b w:val="0"/>
                <w:i w:val="0"/>
                <w:sz w:val="16"/>
              </w:rPr>
              <w:t xml:space="preserve"> Menos de dos de cada cien cargas docentes son de tiempo completo (punto 3.1.2).</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Asignación de horas de tutoría de práctica e incremento progresivo de tiempo completo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Presupuesto ordinario, carga horaria docente (punto 11.3.3)</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Coordinación de prácticas y gestión de convenios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2028</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No disponible.</w:t>
            </w:r>
            <w:r>
              <w:rPr>
                <w:rFonts w:ascii="Century Gothic" w:hAnsi="Century Gothic" w:cs="Century Gothic" w:eastAsia="Century Gothic"/>
                <w:b w:val="0"/>
                <w:i w:val="0"/>
                <w:sz w:val="16"/>
              </w:rPr>
              <w:t xml:space="preserve"> La unidad de vinculación figura solo como medida de mitigación (Cuadro 13 del punto 11.3.4).</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Designación de un coordinador de prácticas con apoyo administrativo</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Presupuesto ordinario (punto 11.2.3)</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Convenios con entidades receptoras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2029</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Parcialmente disponible.</w:t>
            </w:r>
            <w:r>
              <w:rPr>
                <w:rFonts w:ascii="Century Gothic" w:hAnsi="Century Gothic" w:cs="Century Gothic" w:eastAsia="Century Gothic"/>
                <w:b w:val="0"/>
                <w:i w:val="0"/>
                <w:sz w:val="16"/>
              </w:rPr>
              <w:t xml:space="preserve"> La Carrera opera convenios para el trabajo dirigido externo, suscritos por el Rector o el Decano (punto 13.1.4), pero no existe un inventario de su número, vigencia ni cupos.</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Inventario de convenios vigentes en 2027 y suscripción de convenios con cupos hasta 2028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Sin costo directo; acuerdos marco que retribuyen con certificaciones o apoyo (punto 11.3.3)</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Espacios internos que no requieren convenio</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2029</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Disponible.</w:t>
            </w:r>
            <w:r>
              <w:rPr>
                <w:rFonts w:ascii="Century Gothic" w:hAnsi="Century Gothic" w:cs="Century Gothic" w:eastAsia="Century Gothic"/>
                <w:b w:val="0"/>
                <w:i w:val="0"/>
                <w:sz w:val="16"/>
              </w:rPr>
              <w:t xml:space="preserve"> Dependencias de la UMSA para el trabajo dirigido interno (Resolución HCU N.º 330/2022), Instituto de Investigaciones y consultoría social contable (puntos 4.8.2 y 7.1.2).</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Fijación de cupos internos por gestión</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Presupuesto ordinario</w:t>
            </w:r>
          </w:p>
        </w:tc>
      </w:tr>
      <w:tr>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Reglamento de Prácticas Preprofesionales</w:t>
            </w:r>
          </w:p>
        </w:tc>
        <w:tc>
          <w:tcPr>
            <w:tcW w:type="dxa" w:w="73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2028</w:t>
            </w:r>
          </w:p>
        </w:tc>
        <w:tc>
          <w:tcPr>
            <w:tcW w:type="dxa" w:w="306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i w:val="0"/>
                <w:sz w:val="16"/>
              </w:rPr>
              <w:t>No disponible.</w:t>
            </w:r>
            <w:r>
              <w:rPr>
                <w:rFonts w:ascii="Century Gothic" w:hAnsi="Century Gothic" w:cs="Century Gothic" w:eastAsia="Century Gothic"/>
                <w:b w:val="0"/>
                <w:i w:val="0"/>
                <w:sz w:val="16"/>
              </w:rPr>
              <w:t xml:space="preserve"> Anunciado en el punto 4.8.3 y ausente del Cuadro 2 del punto 13.1.2.</w:t>
            </w:r>
          </w:p>
        </w:tc>
        <w:tc>
          <w:tcPr>
            <w:tcW w:type="dxa" w:w="198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Elaboración y aprobación por el Honorable Consejo de Carrera en 2028</w:t>
            </w:r>
          </w:p>
        </w:tc>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6"/>
              </w:rPr>
              <w:t>No requiere</w:t>
            </w:r>
          </w:p>
        </w:tc>
      </w:tr>
    </w:tbl>
    <w:p>
      <w:pPr>
        <w:spacing w:before="40" w:after="200" w:line="240" w:lineRule="auto"/>
        <w:jc w:val="left"/>
      </w:pPr>
      <w:r>
        <w:rPr>
          <w:rFonts w:ascii="Century Gothic" w:hAnsi="Century Gothic" w:cs="Century Gothic" w:eastAsia="Century Gothic"/>
          <w:b w:val="0"/>
          <w:i w:val="0"/>
          <w:sz w:val="16"/>
        </w:rPr>
        <w:t>Fuente: elaboración con base en los puntos 3.1.2, 4.8, 7.1.2, 10, 11, 13.1.4 y 14 del Rediseño Curricular.</w:t>
      </w:r>
    </w:p>
    <w:p>
      <w:pPr>
        <w:spacing w:before="0" w:after="200" w:line="240" w:lineRule="auto"/>
        <w:jc w:val="both"/>
      </w:pPr>
      <w:r>
        <w:rPr>
          <w:rFonts w:ascii="Century Gothic" w:hAnsi="Century Gothic" w:cs="Century Gothic" w:eastAsia="Century Gothic"/>
          <w:b w:val="0"/>
          <w:i w:val="0"/>
          <w:sz w:val="20"/>
        </w:rPr>
        <w:t>De los doce recursos verificados, tres están disponibles, cuatro lo están parcialmente y cinco no están disponibles. Los recursos de las dos primeras gestiones, laboratorios y software contable, tienen financiamiento asignado en el presupuesto plurianual. Los que no están disponibles se requieren desde 2028 o después y dependen de gestiones sin costo directo, como el reglamento, la designación del coordinador y las alianzas con proveedores, o de requerimientos ya previstos en el punto 11.1.4.</w:t>
      </w:r>
    </w:p>
    <w:p>
      <w:pPr>
        <w:keepNext/>
        <w:spacing w:before="40" w:after="200" w:line="240" w:lineRule="auto"/>
        <w:jc w:val="left"/>
      </w:pPr>
      <w:r>
        <w:rPr>
          <w:rFonts w:ascii="Century Gothic" w:hAnsi="Century Gothic" w:cs="Century Gothic" w:eastAsia="Century Gothic"/>
          <w:b/>
          <w:i w:val="0"/>
          <w:sz w:val="22"/>
        </w:rPr>
        <w:t>Estrategia de convenios</w:t>
      </w:r>
    </w:p>
    <w:p>
      <w:pPr>
        <w:numPr>
          <w:ilvl w:val="0"/>
          <w:numId w:val="902"/>
        </w:numPr>
        <w:spacing w:before="0" w:after="160" w:line="240" w:lineRule="auto"/>
        <w:jc w:val="both"/>
      </w:pPr>
      <w:r>
        <w:rPr>
          <w:rFonts w:ascii="Century Gothic" w:hAnsi="Century Gothic" w:cs="Century Gothic" w:eastAsia="Century Gothic"/>
          <w:b/>
          <w:i w:val="0"/>
          <w:sz w:val="20"/>
        </w:rPr>
        <w:t>Entidades prioritarias.</w:t>
      </w:r>
      <w:r>
        <w:rPr>
          <w:rFonts w:ascii="Century Gothic" w:hAnsi="Century Gothic" w:cs="Century Gothic" w:eastAsia="Century Gothic"/>
          <w:b w:val="0"/>
          <w:i w:val="0"/>
          <w:sz w:val="20"/>
        </w:rPr>
        <w:t xml:space="preserve"> Las de los ámbitos de práctica del punto 4.8.3 y las áreas laborales del Cuadro 21 del punto 3.3.3: Servicio de Impuestos Nacionales, Contraloría General del Estado, entidades públicas nacionales y subnacionales, firmas de auditoría, entidades financieras, empresas, cooperativas y entidades sin fines de lucro para la asignatura CPA-507.</w:t>
      </w:r>
    </w:p>
    <w:p>
      <w:pPr>
        <w:numPr>
          <w:ilvl w:val="0"/>
          <w:numId w:val="902"/>
        </w:numPr>
        <w:spacing w:before="0" w:after="160" w:line="240" w:lineRule="auto"/>
        <w:jc w:val="both"/>
      </w:pPr>
      <w:r>
        <w:rPr>
          <w:rFonts w:ascii="Century Gothic" w:hAnsi="Century Gothic" w:cs="Century Gothic" w:eastAsia="Century Gothic"/>
          <w:b/>
          <w:i w:val="0"/>
          <w:sz w:val="20"/>
        </w:rPr>
        <w:t>Instrumentos.</w:t>
      </w:r>
      <w:r>
        <w:rPr>
          <w:rFonts w:ascii="Century Gothic" w:hAnsi="Century Gothic" w:cs="Century Gothic" w:eastAsia="Century Gothic"/>
          <w:b w:val="0"/>
          <w:i w:val="0"/>
          <w:sz w:val="20"/>
        </w:rPr>
        <w:t xml:space="preserve"> Convenios marco con instituciones y colegios profesionales, como el Colegio de Auditores o Contadores Públicos previsto en el punto 11.3.4, y convenios específicos de práctica, suscritos por el Rector o el Decano conforme al punto 13.1.4.</w:t>
      </w:r>
    </w:p>
    <w:p>
      <w:pPr>
        <w:numPr>
          <w:ilvl w:val="0"/>
          <w:numId w:val="902"/>
        </w:numPr>
        <w:spacing w:before="0" w:after="160" w:line="240" w:lineRule="auto"/>
        <w:jc w:val="both"/>
      </w:pPr>
      <w:r>
        <w:rPr>
          <w:rFonts w:ascii="Century Gothic" w:hAnsi="Century Gothic" w:cs="Century Gothic" w:eastAsia="Century Gothic"/>
          <w:b/>
          <w:i w:val="0"/>
          <w:sz w:val="20"/>
        </w:rPr>
        <w:t>Contenido mínimo de cada convenio específico.</w:t>
      </w:r>
      <w:r>
        <w:rPr>
          <w:rFonts w:ascii="Century Gothic" w:hAnsi="Century Gothic" w:cs="Century Gothic" w:eastAsia="Century Gothic"/>
          <w:b w:val="0"/>
          <w:i w:val="0"/>
          <w:sz w:val="20"/>
        </w:rPr>
        <w:t xml:space="preserve"> Cupos por gestión, áreas y actividades de práctica, designación del tutor de la entidad, duración y horarios compatibles con el estudiante que trabaja, confidencialidad de la información, evaluación del practicante y vigencia.</w:t>
      </w:r>
    </w:p>
    <w:p>
      <w:pPr>
        <w:numPr>
          <w:ilvl w:val="0"/>
          <w:numId w:val="902"/>
        </w:numPr>
        <w:spacing w:before="0" w:after="160" w:line="240" w:lineRule="auto"/>
        <w:jc w:val="both"/>
      </w:pPr>
      <w:r>
        <w:rPr>
          <w:rFonts w:ascii="Century Gothic" w:hAnsi="Century Gothic" w:cs="Century Gothic" w:eastAsia="Century Gothic"/>
          <w:b/>
          <w:i w:val="0"/>
          <w:sz w:val="20"/>
        </w:rPr>
        <w:t>Meta de cobertura.</w:t>
      </w:r>
      <w:r>
        <w:rPr>
          <w:rFonts w:ascii="Century Gothic" w:hAnsi="Century Gothic" w:cs="Century Gothic" w:eastAsia="Century Gothic"/>
          <w:b w:val="0"/>
          <w:i w:val="0"/>
          <w:sz w:val="20"/>
        </w:rPr>
        <w:t xml:space="preserve"> Hasta 2028, convenios y cupos internos que sumen al menos las plazas de la alternativa adoptada para 2029, es decir, 472 en la alternativa A.</w:t>
      </w:r>
    </w:p>
    <w:p>
      <w:pPr>
        <w:numPr>
          <w:ilvl w:val="0"/>
          <w:numId w:val="902"/>
        </w:numPr>
        <w:spacing w:before="0" w:after="200" w:line="240" w:lineRule="auto"/>
        <w:jc w:val="both"/>
      </w:pPr>
      <w:r>
        <w:rPr>
          <w:rFonts w:ascii="Century Gothic" w:hAnsi="Century Gothic" w:cs="Century Gothic" w:eastAsia="Century Gothic"/>
          <w:b/>
          <w:i w:val="0"/>
          <w:sz w:val="20"/>
        </w:rPr>
        <w:t>Aprovechamiento de lo existente.</w:t>
      </w:r>
      <w:r>
        <w:rPr>
          <w:rFonts w:ascii="Century Gothic" w:hAnsi="Century Gothic" w:cs="Century Gothic" w:eastAsia="Century Gothic"/>
          <w:b w:val="0"/>
          <w:i w:val="0"/>
          <w:sz w:val="20"/>
        </w:rPr>
        <w:t xml:space="preserve"> Los convenios que hoy sostienen el trabajo dirigido externo se inventarían y, cuando corresponda, se amplían por adenda para recibir practicantes.</w:t>
      </w:r>
    </w:p>
    <w:p>
      <w:pPr>
        <w:keepNext/>
        <w:spacing w:before="40" w:after="200" w:line="240" w:lineRule="auto"/>
        <w:jc w:val="left"/>
      </w:pPr>
      <w:r>
        <w:rPr>
          <w:rFonts w:ascii="Century Gothic" w:hAnsi="Century Gothic" w:cs="Century Gothic" w:eastAsia="Century Gothic"/>
          <w:b/>
          <w:i w:val="0"/>
          <w:sz w:val="22"/>
        </w:rPr>
        <w:t>Seguimiento</w:t>
      </w:r>
    </w:p>
    <w:p>
      <w:pPr>
        <w:spacing w:before="0" w:after="200" w:line="240" w:lineRule="auto"/>
        <w:jc w:val="both"/>
      </w:pPr>
      <w:r>
        <w:rPr>
          <w:rFonts w:ascii="Century Gothic" w:hAnsi="Century Gothic" w:cs="Century Gothic" w:eastAsia="Century Gothic"/>
          <w:b w:val="0"/>
          <w:i w:val="0"/>
          <w:sz w:val="20"/>
        </w:rPr>
        <w:t>La Coordinación de Prácticas informa cada gestión al Honorable Consejo de Carrera los siguientes indicadores, que forman parte de la evaluación de proceso del punto 12.1.2: convenios vigentes y cupos ofrecidos; relación entre cupos y estudiantes habilitados; porcentaje de practicantes con tutor académico y tutor de la entidad asignados; prácticas concluidas con informe aprobado; y valoración de los tutores de las entidades sobre el desempeño de los practicantes.</w:t>
      </w:r>
    </w:p>
    <w:p>
      <w:r>
        <w:br w:type="page"/>
      </w:r>
    </w:p>
    <w:p>
      <w:pPr>
        <w:keepNext/>
        <w:spacing w:before="160" w:after="200" w:line="240" w:lineRule="auto"/>
        <w:jc w:val="left"/>
      </w:pPr>
      <w:r>
        <w:rPr>
          <w:rFonts w:ascii="Century Gothic" w:hAnsi="Century Gothic" w:cs="Century Gothic" w:eastAsia="Century Gothic"/>
          <w:b/>
          <w:i w:val="0"/>
          <w:sz w:val="24"/>
        </w:rPr>
        <w:t>Parte III. Instrumentos para reunir las evidencias</w:t>
      </w:r>
    </w:p>
    <w:p>
      <w:pPr>
        <w:spacing w:before="0" w:after="200" w:line="240" w:lineRule="auto"/>
        <w:jc w:val="both"/>
      </w:pPr>
      <w:r>
        <w:rPr>
          <w:rFonts w:ascii="Century Gothic" w:hAnsi="Century Gothic" w:cs="Century Gothic" w:eastAsia="Century Gothic"/>
          <w:b w:val="0"/>
          <w:i w:val="0"/>
          <w:sz w:val="20"/>
        </w:rPr>
        <w:t>Las evidencias que pide Secretaría Académica se reúnen con dos formularios, que se incorporan al punto 4.8.4 o se presentan como anexo, y con los documentos de respaldo de la lista final.</w:t>
      </w:r>
    </w:p>
    <w:p>
      <w:pPr>
        <w:keepNext/>
        <w:spacing w:before="40" w:after="80" w:line="240" w:lineRule="auto"/>
        <w:jc w:val="center"/>
      </w:pPr>
      <w:r>
        <w:rPr>
          <w:rFonts w:ascii="Century Gothic" w:hAnsi="Century Gothic" w:cs="Century Gothic" w:eastAsia="Century Gothic"/>
          <w:b/>
          <w:i w:val="0"/>
          <w:sz w:val="20"/>
        </w:rPr>
        <w:t>Formulario 1. Registro de convenios para prácticas preprofesionales</w:t>
      </w:r>
    </w:p>
    <w:tbl>
      <w:tblPr>
        <w:tblW w:type="auto" w:w="0"/>
        <w:jc w:val="center"/>
        <w:tblLayout w:type="fixed"/>
        <w:tblLook w:firstColumn="1" w:firstRow="1" w:lastColumn="0" w:lastRow="0" w:noHBand="0" w:noVBand="1" w:val="04A0"/>
      </w:tblPr>
      <w:tblGrid>
        <w:gridCol w:w="510"/>
        <w:gridCol w:w="1928"/>
        <w:gridCol w:w="1304"/>
        <w:gridCol w:w="1587"/>
        <w:gridCol w:w="1020"/>
        <w:gridCol w:w="1587"/>
        <w:gridCol w:w="1134"/>
      </w:tblGrid>
      <w:tr>
        <w:trPr>
          <w:tblHeader/>
        </w:trPr>
        <w:tc>
          <w:tcPr>
            <w:tcW w:type="dxa" w:w="51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N.º</w:t>
            </w:r>
          </w:p>
        </w:tc>
        <w:tc>
          <w:tcPr>
            <w:tcW w:type="dxa" w:w="192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Entidad</w:t>
            </w:r>
          </w:p>
        </w:tc>
        <w:tc>
          <w:tcPr>
            <w:tcW w:type="dxa" w:w="130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Tipo de convenio</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Fecha de suscripción y vigencia</w:t>
            </w:r>
          </w:p>
        </w:tc>
        <w:tc>
          <w:tcPr>
            <w:tcW w:type="dxa" w:w="1020"/>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Cupos por gestión</w:t>
            </w:r>
          </w:p>
        </w:tc>
        <w:tc>
          <w:tcPr>
            <w:tcW w:type="dxa" w:w="158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Áreas de práctica</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Estado</w:t>
            </w:r>
          </w:p>
        </w:tc>
      </w:tr>
      <w:tr>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1</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r>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2</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r>
        <w:tc>
          <w:tcPr>
            <w:tcW w:type="dxa" w:w="51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w:t>
            </w:r>
          </w:p>
        </w:tc>
        <w:tc>
          <w:tcPr>
            <w:tcW w:type="dxa" w:w="192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020"/>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58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bl>
    <w:p>
      <w:pPr>
        <w:spacing w:before="40" w:after="200" w:line="240" w:lineRule="auto"/>
        <w:jc w:val="left"/>
      </w:pPr>
      <w:r>
        <w:rPr>
          <w:rFonts w:ascii="Century Gothic" w:hAnsi="Century Gothic" w:cs="Century Gothic" w:eastAsia="Century Gothic"/>
          <w:b w:val="0"/>
          <w:i w:val="0"/>
          <w:sz w:val="16"/>
        </w:rPr>
        <w:t>Tipo de convenio: marco, específico de práctica o de trabajo dirigido. Estado: vigente, en trámite o vencido. Responsable: Coordinación de Prácticas, con la información del Decanato y de la Secretaría General.</w:t>
      </w:r>
    </w:p>
    <w:p>
      <w:pPr>
        <w:keepNext/>
        <w:spacing w:before="40" w:after="80" w:line="240" w:lineRule="auto"/>
        <w:jc w:val="center"/>
      </w:pPr>
      <w:r>
        <w:rPr>
          <w:rFonts w:ascii="Century Gothic" w:hAnsi="Century Gothic" w:cs="Century Gothic" w:eastAsia="Century Gothic"/>
          <w:b/>
          <w:i w:val="0"/>
          <w:sz w:val="20"/>
        </w:rPr>
        <w:t>Formulario 2. Verificación de equipos y software de los laboratorios</w:t>
      </w:r>
    </w:p>
    <w:tbl>
      <w:tblPr>
        <w:tblW w:type="auto" w:w="0"/>
        <w:jc w:val="center"/>
        <w:tblLayout w:type="fixed"/>
        <w:tblLook w:firstColumn="1" w:firstRow="1" w:lastColumn="0" w:lastRow="0" w:noHBand="0" w:noVBand="1" w:val="04A0"/>
      </w:tblPr>
      <w:tblGrid>
        <w:gridCol w:w="1474"/>
        <w:gridCol w:w="964"/>
        <w:gridCol w:w="1134"/>
        <w:gridCol w:w="1134"/>
        <w:gridCol w:w="1814"/>
        <w:gridCol w:w="1247"/>
        <w:gridCol w:w="1304"/>
      </w:tblGrid>
      <w:tr>
        <w:trPr>
          <w:tblHeader/>
        </w:trPr>
        <w:tc>
          <w:tcPr>
            <w:tcW w:type="dxa" w:w="147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Laboratorio</w:t>
            </w:r>
          </w:p>
        </w:tc>
        <w:tc>
          <w:tcPr>
            <w:tcW w:type="dxa" w:w="96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Puestos</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Equipos operativos</w:t>
            </w:r>
          </w:p>
        </w:tc>
        <w:tc>
          <w:tcPr>
            <w:tcW w:type="dxa" w:w="113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Equipos en mal estado</w:t>
            </w:r>
          </w:p>
        </w:tc>
        <w:tc>
          <w:tcPr>
            <w:tcW w:type="dxa" w:w="181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Software instalado</w:t>
            </w:r>
          </w:p>
        </w:tc>
        <w:tc>
          <w:tcPr>
            <w:tcW w:type="dxa" w:w="1247"/>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Fecha de verificación</w:t>
            </w:r>
          </w:p>
        </w:tc>
        <w:tc>
          <w:tcPr>
            <w:tcW w:type="dxa" w:w="1304"/>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Responsable</w:t>
            </w: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Edificio Nava Morales</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70</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r>
        <w:tc>
          <w:tcPr>
            <w:tcW w:type="dxa" w:w="147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Monoblock Central</w:t>
            </w:r>
          </w:p>
        </w:tc>
        <w:tc>
          <w:tcPr>
            <w:tcW w:type="dxa" w:w="96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r>
              <w:rPr>
                <w:rFonts w:ascii="Century Gothic" w:hAnsi="Century Gothic" w:cs="Century Gothic" w:eastAsia="Century Gothic"/>
                <w:b w:val="0"/>
                <w:i w:val="0"/>
                <w:sz w:val="18"/>
              </w:rPr>
              <w:t>36</w:t>
            </w: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13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81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247"/>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c>
          <w:tcPr>
            <w:tcW w:type="dxa" w:w="1304"/>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center"/>
            </w:pPr>
          </w:p>
        </w:tc>
      </w:tr>
    </w:tbl>
    <w:p>
      <w:pPr>
        <w:spacing w:before="40" w:after="200" w:line="240" w:lineRule="auto"/>
        <w:jc w:val="left"/>
      </w:pPr>
      <w:r>
        <w:rPr>
          <w:rFonts w:ascii="Century Gothic" w:hAnsi="Century Gothic" w:cs="Century Gothic" w:eastAsia="Century Gothic"/>
          <w:b w:val="0"/>
          <w:i w:val="0"/>
          <w:sz w:val="16"/>
        </w:rPr>
        <w:t>Responsable: Centro de Cómputo de la Carrera. Se actualiza al inicio de cada gestión.</w:t>
      </w:r>
    </w:p>
    <w:p>
      <w:pPr>
        <w:keepNext/>
        <w:spacing w:before="40" w:after="200" w:line="240" w:lineRule="auto"/>
        <w:jc w:val="left"/>
      </w:pPr>
      <w:r>
        <w:rPr>
          <w:rFonts w:ascii="Century Gothic" w:hAnsi="Century Gothic" w:cs="Century Gothic" w:eastAsia="Century Gothic"/>
          <w:b/>
          <w:i w:val="0"/>
          <w:sz w:val="22"/>
        </w:rPr>
        <w:t>Documentos de respaldo</w:t>
      </w:r>
    </w:p>
    <w:p>
      <w:pPr>
        <w:numPr>
          <w:ilvl w:val="0"/>
          <w:numId w:val="903"/>
        </w:numPr>
        <w:spacing w:before="0" w:after="160" w:line="240" w:lineRule="auto"/>
        <w:jc w:val="both"/>
      </w:pPr>
      <w:r>
        <w:rPr>
          <w:rFonts w:ascii="Century Gothic" w:hAnsi="Century Gothic" w:cs="Century Gothic" w:eastAsia="Century Gothic"/>
          <w:b w:val="0"/>
          <w:i w:val="0"/>
          <w:sz w:val="20"/>
        </w:rPr>
        <w:t>Copia de los convenios vigentes y de los suscritos para las prácticas, con el Formulario 1 completo.</w:t>
      </w:r>
    </w:p>
    <w:p>
      <w:pPr>
        <w:numPr>
          <w:ilvl w:val="0"/>
          <w:numId w:val="903"/>
        </w:numPr>
        <w:spacing w:before="0" w:after="160" w:line="240" w:lineRule="auto"/>
        <w:jc w:val="both"/>
      </w:pPr>
      <w:r>
        <w:rPr>
          <w:rFonts w:ascii="Century Gothic" w:hAnsi="Century Gothic" w:cs="Century Gothic" w:eastAsia="Century Gothic"/>
          <w:b w:val="0"/>
          <w:i w:val="0"/>
          <w:sz w:val="20"/>
        </w:rPr>
        <w:t>Inventario del Centro de Cómputo y relevamiento del estado de los equipos, con el Formulario 2 completo.</w:t>
      </w:r>
    </w:p>
    <w:p>
      <w:pPr>
        <w:numPr>
          <w:ilvl w:val="0"/>
          <w:numId w:val="903"/>
        </w:numPr>
        <w:spacing w:before="0" w:after="160" w:line="240" w:lineRule="auto"/>
        <w:jc w:val="both"/>
      </w:pPr>
      <w:r>
        <w:rPr>
          <w:rFonts w:ascii="Century Gothic" w:hAnsi="Century Gothic" w:cs="Century Gothic" w:eastAsia="Century Gothic"/>
          <w:b w:val="0"/>
          <w:i w:val="0"/>
          <w:sz w:val="20"/>
        </w:rPr>
        <w:t>Constancias de las licencias académicas o alianzas con proveedores de software ERP y de auditoría.</w:t>
      </w:r>
    </w:p>
    <w:p>
      <w:pPr>
        <w:numPr>
          <w:ilvl w:val="0"/>
          <w:numId w:val="903"/>
        </w:numPr>
        <w:spacing w:before="0" w:after="160" w:line="240" w:lineRule="auto"/>
        <w:jc w:val="both"/>
      </w:pPr>
      <w:r>
        <w:rPr>
          <w:rFonts w:ascii="Century Gothic" w:hAnsi="Century Gothic" w:cs="Century Gothic" w:eastAsia="Century Gothic"/>
          <w:b w:val="0"/>
          <w:i w:val="0"/>
          <w:sz w:val="20"/>
        </w:rPr>
        <w:t>Resolución del Honorable Consejo de Carrera que aprueba el Reglamento de Prácticas Preprofesionales.</w:t>
      </w:r>
    </w:p>
    <w:p>
      <w:pPr>
        <w:numPr>
          <w:ilvl w:val="0"/>
          <w:numId w:val="903"/>
        </w:numPr>
        <w:spacing w:before="0" w:after="160" w:line="240" w:lineRule="auto"/>
        <w:jc w:val="both"/>
      </w:pPr>
      <w:r>
        <w:rPr>
          <w:rFonts w:ascii="Century Gothic" w:hAnsi="Century Gothic" w:cs="Century Gothic" w:eastAsia="Century Gothic"/>
          <w:b w:val="0"/>
          <w:i w:val="0"/>
          <w:sz w:val="20"/>
        </w:rPr>
        <w:t>Designación del coordinador de prácticas y asignación de horas de tutoría de práctica.</w:t>
      </w:r>
    </w:p>
    <w:p>
      <w:pPr>
        <w:numPr>
          <w:ilvl w:val="0"/>
          <w:numId w:val="903"/>
        </w:numPr>
        <w:spacing w:before="0" w:after="200" w:line="240" w:lineRule="auto"/>
        <w:jc w:val="both"/>
      </w:pPr>
      <w:r>
        <w:rPr>
          <w:rFonts w:ascii="Century Gothic" w:hAnsi="Century Gothic" w:cs="Century Gothic" w:eastAsia="Century Gothic"/>
          <w:b w:val="0"/>
          <w:i w:val="0"/>
          <w:sz w:val="20"/>
        </w:rPr>
        <w:t>Certificación presupuestaria de la renovación de equipos de 2027.</w:t>
      </w:r>
    </w:p>
    <w:p>
      <w:r>
        <w:br w:type="page"/>
      </w:r>
    </w:p>
    <w:p>
      <w:pPr>
        <w:keepNext/>
        <w:spacing w:before="160" w:after="200" w:line="240" w:lineRule="auto"/>
        <w:jc w:val="left"/>
      </w:pPr>
      <w:r>
        <w:rPr>
          <w:rFonts w:ascii="Century Gothic" w:hAnsi="Century Gothic" w:cs="Century Gothic" w:eastAsia="Century Gothic"/>
          <w:b/>
          <w:i w:val="0"/>
          <w:sz w:val="24"/>
        </w:rPr>
        <w:t>Parte IV. Ajustes de concordancia en otros puntos</w:t>
      </w:r>
    </w:p>
    <w:p>
      <w:pPr>
        <w:keepNext/>
        <w:spacing w:before="40" w:after="80" w:line="240" w:lineRule="auto"/>
        <w:jc w:val="center"/>
      </w:pPr>
      <w:r>
        <w:rPr>
          <w:rFonts w:ascii="Century Gothic" w:hAnsi="Century Gothic" w:cs="Century Gothic" w:eastAsia="Century Gothic"/>
          <w:b/>
          <w:i w:val="0"/>
          <w:sz w:val="20"/>
        </w:rPr>
        <w:t>Cuadro C. Ajustes de concordancia</w:t>
      </w:r>
    </w:p>
    <w:tbl>
      <w:tblPr>
        <w:tblW w:type="auto" w:w="0"/>
        <w:jc w:val="center"/>
        <w:tblLayout w:type="fixed"/>
        <w:tblLook w:firstColumn="1" w:firstRow="1" w:lastColumn="0" w:lastRow="0" w:noHBand="0" w:noVBand="1" w:val="04A0"/>
      </w:tblPr>
      <w:tblGrid>
        <w:gridCol w:w="1701"/>
        <w:gridCol w:w="3458"/>
        <w:gridCol w:w="3912"/>
      </w:tblGrid>
      <w:tr>
        <w:trPr>
          <w:tblHeader/>
        </w:trPr>
        <w:tc>
          <w:tcPr>
            <w:tcW w:type="dxa" w:w="1701"/>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Punto</w:t>
            </w:r>
          </w:p>
        </w:tc>
        <w:tc>
          <w:tcPr>
            <w:tcW w:type="dxa" w:w="3458"/>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Texto actual</w:t>
            </w:r>
          </w:p>
        </w:tc>
        <w:tc>
          <w:tcPr>
            <w:tcW w:type="dxa" w:w="3912"/>
            <w:tcBorders>
              <w:top w:val="single" w:sz="4" w:space="0" w:color="4472C4"/>
              <w:left w:val="single" w:sz="4" w:space="0" w:color="4472C4"/>
              <w:bottom w:val="single" w:sz="4" w:space="0" w:color="4472C4"/>
              <w:right w:val="single" w:sz="4" w:space="0" w:color="4472C4"/>
            </w:tcBorders>
            <w:shd w:val="clear" w:color="auto" w:fill="4472C4"/>
            <w:vAlign w:val="center"/>
          </w:tcPr>
          <w:p>
            <w:pPr>
              <w:spacing w:before="0" w:after="0" w:line="240" w:lineRule="auto"/>
              <w:jc w:val="center"/>
            </w:pPr>
            <w:r>
              <w:rPr>
                <w:rFonts w:ascii="Century Gothic" w:hAnsi="Century Gothic" w:cs="Century Gothic" w:eastAsia="Century Gothic"/>
                <w:b/>
                <w:i w:val="0"/>
                <w:color w:val="FFFFFF"/>
                <w:sz w:val="18"/>
              </w:rPr>
              <w:t>Texto propuesto</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4.8.3, Carga horaria</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Las horas de práctica se registran como horas no presenciales de las asignaturas vinculadas y se acreditan en el historial académico del estudiante.</w:t>
            </w:r>
          </w:p>
        </w:tc>
        <w:tc>
          <w:tcPr>
            <w:tcW w:type="dxa" w:w="3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Las horas de práctica se registran como horas no presenciales de las asignaturas vinculadas, que el Reglamento de Prácticas Preprofesionales identificará entre las de tercer a quinto año, y se acreditan en el historial académico del estudiante.</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10.4, párrafo final</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Con 70 y 36 puestos, los laboratorios atienden simultáneamente a 106 estudiantes…</w:t>
            </w:r>
          </w:p>
        </w:tc>
        <w:tc>
          <w:tcPr>
            <w:tcW w:type="dxa" w:w="3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Con 70 y 36 puestos, los laboratorios atienden simultáneamente a 106 estudiantes; sin embargo, mientras no se renueven los equipos, 24 de las 39 computadoras del Monoblock Central están en mal estado, según el relevamiento de octubre de 2026 (punto 14.3)…</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11.2.3, Cuadro 9</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Sin fila de prácticas</w:t>
            </w:r>
          </w:p>
        </w:tc>
        <w:tc>
          <w:tcPr>
            <w:tcW w:type="dxa" w:w="3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Fila nueva: «Coordinación de prácticas y vinculación | Designación de un coordinador de prácticas con apoyo administrativo para la gestión de convenios, cupos, tutores y registros | Corto»</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11.3.4, Cuadro 12, fase 2</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Capacitación docente en competencias, nuevas normas y herramientas; habilitación de los laboratorios; suscripción de los convenios iniciales</w:t>
            </w:r>
          </w:p>
        </w:tc>
        <w:tc>
          <w:tcPr>
            <w:tcW w:type="dxa" w:w="3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Capacitación docente en competencias, nuevas normas y herramientas; habilitación de los laboratorios; aprobación del Reglamento de Prácticas Preprofesionales; suscripción de convenios con los cupos que requiere la primera cohorte de tercer año en 2029</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12.1.2, Cuadro 1, fila Proceso</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Encuestas a estudiantes y docentes, observación de aula, registros de prácticas y convenios</w:t>
            </w:r>
          </w:p>
        </w:tc>
        <w:tc>
          <w:tcPr>
            <w:tcW w:type="dxa" w:w="3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Encuestas a estudiantes y docentes, observación de aula, registros de prácticas y convenios, e indicadores de prácticas del punto 4.8.4</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13.1.2, Cuadro 2</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Sin fila de prácticas</w:t>
            </w:r>
          </w:p>
        </w:tc>
        <w:tc>
          <w:tcPr>
            <w:tcW w:type="dxa" w:w="3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Fila nueva: «Reglamento de Prácticas Preprofesionales | Elaborar | Niveles de práctica, carga horaria mínima, asignaturas vinculadas, requisitos de habilitación, convenios y cupos, tutores académicos y de la entidad, plan, bitácora e informe, evaluación con rúbrica, reconocimiento de la experiencia laboral del estudiante trabajador, derechos, obligaciones y responsabilidades del practicante | Punto 4.8»</w:t>
            </w:r>
          </w:p>
        </w:tc>
      </w:tr>
      <w:tr>
        <w:tc>
          <w:tcPr>
            <w:tcW w:type="dxa" w:w="1701"/>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16.2, Cuadro 2, fila 2028</w:t>
            </w:r>
          </w:p>
        </w:tc>
        <w:tc>
          <w:tcPr>
            <w:tcW w:type="dxa" w:w="3458"/>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Primera evaluación de la implementación y ajustes; planes de asignatura de tercer año</w:t>
            </w:r>
          </w:p>
        </w:tc>
        <w:tc>
          <w:tcPr>
            <w:tcW w:type="dxa" w:w="3912"/>
            <w:tcBorders>
              <w:top w:val="single" w:sz="4" w:space="0" w:color="8EAADB"/>
              <w:left w:val="single" w:sz="4" w:space="0" w:color="8EAADB"/>
              <w:bottom w:val="single" w:sz="4" w:space="0" w:color="8EAADB"/>
              <w:right w:val="single" w:sz="4" w:space="0" w:color="8EAADB"/>
            </w:tcBorders>
            <w:shd w:val="clear" w:color="auto" w:fill="D9E2F3"/>
            <w:vAlign w:val="top"/>
          </w:tcPr>
          <w:p>
            <w:pPr>
              <w:spacing w:before="0" w:after="0" w:line="240" w:lineRule="auto"/>
              <w:jc w:val="both"/>
            </w:pPr>
            <w:r>
              <w:rPr>
                <w:rFonts w:ascii="Century Gothic" w:hAnsi="Century Gothic" w:cs="Century Gothic" w:eastAsia="Century Gothic"/>
                <w:b w:val="0"/>
                <w:i w:val="0"/>
                <w:sz w:val="18"/>
              </w:rPr>
              <w:t>Primera evaluación de la implementación y ajustes; planes de asignatura de tercer año; aprobación del Reglamento de Prácticas Preprofesionales y convenios con cupos para 2029</w:t>
            </w:r>
          </w:p>
        </w:tc>
      </w:tr>
    </w:tbl>
    <w:p>
      <w:pPr>
        <w:spacing w:before="40" w:after="200" w:line="240" w:lineRule="auto"/>
        <w:jc w:val="left"/>
      </w:pPr>
      <w:r>
        <w:rPr>
          <w:rFonts w:ascii="Century Gothic" w:hAnsi="Century Gothic" w:cs="Century Gothic" w:eastAsia="Century Gothic"/>
          <w:b w:val="0"/>
          <w:i w:val="0"/>
          <w:sz w:val="16"/>
        </w:rPr>
        <w:t>Fuente: elaboración propia.</w:t>
      </w:r>
    </w:p>
    <w:p>
      <w:pPr>
        <w:keepNext/>
        <w:spacing w:before="160" w:after="200" w:line="240" w:lineRule="auto"/>
        <w:jc w:val="left"/>
      </w:pPr>
      <w:r>
        <w:rPr>
          <w:rFonts w:ascii="Century Gothic" w:hAnsi="Century Gothic" w:cs="Century Gothic" w:eastAsia="Century Gothic"/>
          <w:b/>
          <w:i w:val="0"/>
          <w:sz w:val="24"/>
        </w:rPr>
        <w:t>Parte V. Decisiones y datos pendientes</w:t>
      </w:r>
    </w:p>
    <w:p>
      <w:pPr>
        <w:numPr>
          <w:ilvl w:val="0"/>
          <w:numId w:val="904"/>
        </w:numPr>
        <w:spacing w:before="0" w:after="160" w:line="240" w:lineRule="auto"/>
        <w:jc w:val="both"/>
      </w:pPr>
      <w:r>
        <w:rPr>
          <w:rFonts w:ascii="Century Gothic" w:hAnsi="Century Gothic" w:cs="Century Gothic" w:eastAsia="Century Gothic"/>
          <w:b/>
          <w:i w:val="0"/>
          <w:sz w:val="20"/>
        </w:rPr>
        <w:t>Número de prácticas por estudiante.</w:t>
      </w:r>
      <w:r>
        <w:rPr>
          <w:rFonts w:ascii="Century Gothic" w:hAnsi="Century Gothic" w:cs="Century Gothic" w:eastAsia="Century Gothic"/>
          <w:b w:val="0"/>
          <w:i w:val="0"/>
          <w:sz w:val="20"/>
        </w:rPr>
        <w:t xml:space="preserve"> La Comisión Académica debe elegir entre la alternativa A y la B del Cuadro 3. La propuesta recomienda la A para la primera cohorte.</w:t>
      </w:r>
    </w:p>
    <w:p>
      <w:pPr>
        <w:numPr>
          <w:ilvl w:val="0"/>
          <w:numId w:val="904"/>
        </w:numPr>
        <w:spacing w:before="0" w:after="160" w:line="240" w:lineRule="auto"/>
        <w:jc w:val="both"/>
      </w:pPr>
      <w:r>
        <w:rPr>
          <w:rFonts w:ascii="Century Gothic" w:hAnsi="Century Gothic" w:cs="Century Gothic" w:eastAsia="Century Gothic"/>
          <w:b/>
          <w:i w:val="0"/>
          <w:sz w:val="20"/>
        </w:rPr>
        <w:t>Relación de practicantes por tutor académico.</w:t>
      </w:r>
      <w:r>
        <w:rPr>
          <w:rFonts w:ascii="Century Gothic" w:hAnsi="Century Gothic" w:cs="Century Gothic" w:eastAsia="Century Gothic"/>
          <w:b w:val="0"/>
          <w:i w:val="0"/>
          <w:sz w:val="20"/>
        </w:rPr>
        <w:t xml:space="preserve"> El valor de 20 es referencial; si la Comisión adopta otro, se recalculan los tutores del Cuadro 3.</w:t>
      </w:r>
    </w:p>
    <w:p>
      <w:pPr>
        <w:numPr>
          <w:ilvl w:val="0"/>
          <w:numId w:val="904"/>
        </w:numPr>
        <w:spacing w:before="0" w:after="160" w:line="240" w:lineRule="auto"/>
        <w:jc w:val="both"/>
      </w:pPr>
      <w:r>
        <w:rPr>
          <w:rFonts w:ascii="Century Gothic" w:hAnsi="Century Gothic" w:cs="Century Gothic" w:eastAsia="Century Gothic"/>
          <w:b/>
          <w:i w:val="0"/>
          <w:sz w:val="20"/>
        </w:rPr>
        <w:t>Asignaturas vinculadas.</w:t>
      </w:r>
      <w:r>
        <w:rPr>
          <w:rFonts w:ascii="Century Gothic" w:hAnsi="Century Gothic" w:cs="Century Gothic" w:eastAsia="Century Gothic"/>
          <w:b w:val="0"/>
          <w:i w:val="0"/>
          <w:sz w:val="20"/>
        </w:rPr>
        <w:t xml:space="preserve"> El Reglamento debe identificarlas. Entre los planes de asignatura del punto 4.5 prevén el trabajo con entidades reales CPA-408, CPA-504 y CPA-507, y CPA-510 incluye el desarrollo de la práctica preprofesional, por lo que son candidatas naturales.</w:t>
      </w:r>
    </w:p>
    <w:p>
      <w:pPr>
        <w:numPr>
          <w:ilvl w:val="0"/>
          <w:numId w:val="904"/>
        </w:numPr>
        <w:spacing w:before="0" w:after="160" w:line="240" w:lineRule="auto"/>
        <w:jc w:val="both"/>
      </w:pPr>
      <w:r>
        <w:rPr>
          <w:rFonts w:ascii="Century Gothic" w:hAnsi="Century Gothic" w:cs="Century Gothic" w:eastAsia="Century Gothic"/>
          <w:b/>
          <w:i w:val="0"/>
          <w:sz w:val="20"/>
        </w:rPr>
        <w:t>Inventario de convenios vigentes.</w:t>
      </w:r>
      <w:r>
        <w:rPr>
          <w:rFonts w:ascii="Century Gothic" w:hAnsi="Century Gothic" w:cs="Century Gothic" w:eastAsia="Century Gothic"/>
          <w:b w:val="0"/>
          <w:i w:val="0"/>
          <w:sz w:val="20"/>
        </w:rPr>
        <w:t xml:space="preserve"> No consta en la base documental de la Comisión. Debe elaborarse con el Decanato y la Secretaría General mediante el Formulario 1.</w:t>
      </w:r>
    </w:p>
    <w:p>
      <w:pPr>
        <w:numPr>
          <w:ilvl w:val="0"/>
          <w:numId w:val="904"/>
        </w:numPr>
        <w:spacing w:before="0" w:after="160" w:line="240" w:lineRule="auto"/>
        <w:jc w:val="both"/>
      </w:pPr>
      <w:r>
        <w:rPr>
          <w:rFonts w:ascii="Century Gothic" w:hAnsi="Century Gothic" w:cs="Century Gothic" w:eastAsia="Century Gothic"/>
          <w:b/>
          <w:i w:val="0"/>
          <w:sz w:val="20"/>
        </w:rPr>
        <w:t>Estado de los equipos.</w:t>
      </w:r>
      <w:r>
        <w:rPr>
          <w:rFonts w:ascii="Century Gothic" w:hAnsi="Century Gothic" w:cs="Century Gothic" w:eastAsia="Century Gothic"/>
          <w:b w:val="0"/>
          <w:i w:val="0"/>
          <w:sz w:val="20"/>
        </w:rPr>
        <w:t xml:space="preserve"> El punto 10.4 indica 36 puestos y el punto 14.5, 39 computadoras en el Monoblock Central. El Centro de Cómputo debe confirmar ambas cifras con el Formulario 2.</w:t>
      </w:r>
    </w:p>
    <w:p>
      <w:pPr>
        <w:numPr>
          <w:ilvl w:val="0"/>
          <w:numId w:val="904"/>
        </w:numPr>
        <w:spacing w:before="0" w:after="200" w:line="240" w:lineRule="auto"/>
        <w:jc w:val="both"/>
      </w:pPr>
      <w:r>
        <w:rPr>
          <w:rFonts w:ascii="Century Gothic" w:hAnsi="Century Gothic" w:cs="Century Gothic" w:eastAsia="Century Gothic"/>
          <w:b/>
          <w:i w:val="0"/>
          <w:sz w:val="20"/>
        </w:rPr>
        <w:t>Licencias ERP y de auditoría.</w:t>
      </w:r>
      <w:r>
        <w:rPr>
          <w:rFonts w:ascii="Century Gothic" w:hAnsi="Century Gothic" w:cs="Century Gothic" w:eastAsia="Century Gothic"/>
          <w:b w:val="0"/>
          <w:i w:val="0"/>
          <w:sz w:val="20"/>
        </w:rPr>
        <w:t xml:space="preserve"> La disponibilidad de licencias académicas depende de los proveedores y debe confirmarse por escrito antes de 2029.</w:t>
      </w:r>
    </w:p>
    <w:sectPr w:rsidR="00FC693F" w:rsidRPr="0006063C" w:rsidSect="00034616">
      <w:headerReference w:type="default" r:id="rId9"/>
      <w:footerReference w:type="default" r:id="rId10"/>
      <w:pgSz w:w="12240" w:h="15840"/>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entury Gothic" w:hAnsi="Century Gothic" w:cs="Century Gothic" w:eastAsia="Century Gothic"/>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Borders>
        <w:top w:val="nil"/>
        <w:left w:val="nil"/>
        <w:bottom w:val="single" w:sz="6" w:space="0" w:color="000000"/>
        <w:right w:val="nil"/>
        <w:insideH w:val="nil"/>
        <w:insideV w:val="nil"/>
      </w:tblBorders>
      <w:tblLayout w:type="fixed"/>
      <w:tblLook w:firstColumn="1" w:firstRow="1" w:lastColumn="0" w:lastRow="0" w:noHBand="0" w:noVBand="1" w:val="04A0"/>
    </w:tblPr>
    <w:tblGrid>
      <w:gridCol w:w="1247"/>
      <w:gridCol w:w="6911"/>
      <w:gridCol w:w="1247"/>
    </w:tblGrid>
    <w:tr>
      <w:tc>
        <w:tcPr>
          <w:tcW w:type="dxa" w:w="1247"/>
          <w:vAlign w:val="center"/>
        </w:tcPr>
        <w:p>
          <w:pPr>
            <w:spacing w:before="0" w:after="40" w:line="240" w:lineRule="auto"/>
            <w:jc w:val="left"/>
          </w:pPr>
          <w:r>
            <w:drawing>
              <wp:inline xmlns:a="http://schemas.openxmlformats.org/drawingml/2006/main" xmlns:pic="http://schemas.openxmlformats.org/drawingml/2006/picture">
                <wp:extent cx="484248" cy="684000"/>
                <wp:docPr id="1" name="Picture 1"/>
                <wp:cNvGraphicFramePr>
                  <a:graphicFrameLocks noChangeAspect="1"/>
                </wp:cNvGraphicFramePr>
                <a:graphic>
                  <a:graphicData uri="http://schemas.openxmlformats.org/drawingml/2006/picture">
                    <pic:pic>
                      <pic:nvPicPr>
                        <pic:cNvPr id="0" name="logo_umsa.png"/>
                        <pic:cNvPicPr/>
                      </pic:nvPicPr>
                      <pic:blipFill>
                        <a:blip r:embed="rId1"/>
                        <a:stretch>
                          <a:fillRect/>
                        </a:stretch>
                      </pic:blipFill>
                      <pic:spPr>
                        <a:xfrm>
                          <a:off x="0" y="0"/>
                          <a:ext cx="484248" cy="684000"/>
                        </a:xfrm>
                        <a:prstGeom prst="rect"/>
                      </pic:spPr>
                    </pic:pic>
                  </a:graphicData>
                </a:graphic>
              </wp:inline>
            </w:drawing>
          </w:r>
        </w:p>
      </w:tc>
      <w:tc>
        <w:tcPr>
          <w:tcW w:type="dxa" w:w="6911"/>
          <w:vAlign w:val="center"/>
        </w:tcPr>
        <w:p>
          <w:pPr>
            <w:spacing w:before="0" w:after="0" w:line="240" w:lineRule="auto"/>
            <w:jc w:val="center"/>
          </w:pPr>
          <w:r>
            <w:rPr>
              <w:rFonts w:ascii="Century Gothic" w:hAnsi="Century Gothic" w:cs="Century Gothic" w:eastAsia="Century Gothic"/>
              <w:b/>
              <w:sz w:val="22"/>
            </w:rPr>
            <w:t>Universidad Mayor de “San Andrés”</w:t>
            <w:br/>
          </w:r>
          <w:r>
            <w:rPr>
              <w:rFonts w:ascii="Century Gothic" w:hAnsi="Century Gothic" w:cs="Century Gothic" w:eastAsia="Century Gothic"/>
              <w:b/>
              <w:sz w:val="22"/>
            </w:rPr>
            <w:t>Facultad de Ciencias Económicas y Financieras</w:t>
            <w:br/>
          </w:r>
          <w:r>
            <w:rPr>
              <w:rFonts w:ascii="Century Gothic" w:hAnsi="Century Gothic" w:cs="Century Gothic" w:eastAsia="Century Gothic"/>
              <w:b/>
              <w:sz w:val="22"/>
            </w:rPr>
            <w:t>Carrera Contaduría Pública</w:t>
          </w:r>
        </w:p>
      </w:tc>
      <w:tc>
        <w:tcPr>
          <w:tcW w:type="dxa" w:w="1247"/>
          <w:vAlign w:val="center"/>
        </w:tcPr>
        <w:p>
          <w:pPr>
            <w:spacing w:before="0" w:after="40" w:line="240" w:lineRule="auto"/>
            <w:jc w:val="right"/>
          </w:pPr>
          <w:r>
            <w:drawing>
              <wp:inline xmlns:a="http://schemas.openxmlformats.org/drawingml/2006/main" xmlns:pic="http://schemas.openxmlformats.org/drawingml/2006/picture">
                <wp:extent cx="445846" cy="684000"/>
                <wp:docPr id="2" name="Picture 2"/>
                <wp:cNvGraphicFramePr>
                  <a:graphicFrameLocks noChangeAspect="1"/>
                </wp:cNvGraphicFramePr>
                <a:graphic>
                  <a:graphicData uri="http://schemas.openxmlformats.org/drawingml/2006/picture">
                    <pic:pic>
                      <pic:nvPicPr>
                        <pic:cNvPr id="0" name="logo_carrera.png"/>
                        <pic:cNvPicPr/>
                      </pic:nvPicPr>
                      <pic:blipFill>
                        <a:blip r:embed="rId2"/>
                        <a:stretch>
                          <a:fillRect/>
                        </a:stretch>
                      </pic:blipFill>
                      <pic:spPr>
                        <a:xfrm>
                          <a:off x="0" y="0"/>
                          <a:ext cx="445846" cy="684000"/>
                        </a:xfrm>
                        <a:prstGeom prst="rect"/>
                      </pic:spPr>
                    </pic:pic>
                  </a:graphicData>
                </a:graphic>
              </wp:inline>
            </w:drawing>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0">
    <w:multiLevelType w:val="hybridMultilevel"/>
    <w:lvl w:ilvl="0">
      <w:start w:val="1"/>
      <w:numFmt w:val="bullet"/>
      <w:lvlText w:val=""/>
      <w:lvlJc w:val="left"/>
      <w:pPr>
        <w:ind w:left="357" w:hanging="357"/>
      </w:pPr>
      <w:rPr>
        <w:rFonts w:ascii="Wingdings" w:hAnsi="Wingdings" w:cs="Wingdings" w:hint="default"/>
        <w:sz w:val="20"/>
      </w:rPr>
    </w:lvl>
    <w:lvl w:ilvl="1">
      <w:start w:val="1"/>
      <w:numFmt w:val="bullet"/>
      <w:lvlText w:val="–"/>
      <w:lvlJc w:val="left"/>
      <w:pPr>
        <w:ind w:left="720" w:hanging="283"/>
      </w:pPr>
      <w:rPr>
        <w:rFonts w:ascii="Century Gothic" w:hAnsi="Century Gothic" w:cs="Century Gothic" w:hint="default"/>
        <w:sz w:val="20"/>
      </w:rPr>
    </w:lvl>
    <w:lvl w:ilvl="2">
      <w:start w:val="1"/>
      <w:numFmt w:val="bullet"/>
      <w:lvlText w:val="·"/>
      <w:lvlJc w:val="left"/>
      <w:pPr>
        <w:ind w:left="1077" w:hanging="283"/>
      </w:pPr>
      <w:rPr>
        <w:rFonts w:ascii="Symbol" w:hAnsi="Symbol" w:cs="Symbol" w:hint="default"/>
        <w:sz w:val="20"/>
      </w:rPr>
    </w:lvl>
  </w:abstractNum>
  <w:abstractNum w:abstractNumId="901">
    <w:multiLevelType w:val="hybridMultilevel"/>
    <w:lvl w:ilvl="0">
      <w:start w:val="1"/>
      <w:numFmt w:val="lowerLetter"/>
      <w:lvlText w:val="%1."/>
      <w:lvlJc w:val="left"/>
      <w:pPr>
        <w:ind w:left="357" w:hanging="357"/>
      </w:pPr>
      <w:rPr>
        <w:rFonts w:ascii="Century Gothic" w:hAnsi="Century Gothic" w:cs="Century Gothic" w:hint="default"/>
        <w:b/>
        <w:sz w:val="20"/>
      </w:rPr>
    </w:lvl>
    <w:lvl w:ilvl="1">
      <w:start w:val="1"/>
      <w:numFmt w:val="bullet"/>
      <w:lvlText w:val=""/>
      <w:lvlJc w:val="left"/>
      <w:pPr>
        <w:ind w:left="720" w:hanging="357"/>
      </w:pPr>
      <w:rPr>
        <w:rFonts w:ascii="Wingdings" w:hAnsi="Wingdings" w:cs="Wingdings" w:hint="default"/>
        <w:sz w:val="20"/>
      </w:rPr>
    </w:lvl>
    <w:lvl w:ilvl="2">
      <w:start w:val="1"/>
      <w:numFmt w:val="bullet"/>
      <w:lvlText w:val="–"/>
      <w:lvlJc w:val="left"/>
      <w:pPr>
        <w:ind w:left="1077" w:hanging="283"/>
      </w:pPr>
      <w:rPr>
        <w:rFonts w:ascii="Century Gothic" w:hAnsi="Century Gothic" w:cs="Century Gothic" w:hint="default"/>
        <w:sz w:val="20"/>
      </w:rPr>
    </w:lvl>
  </w:abstractNum>
  <w:abstractNum w:abstractNumId="902">
    <w:multiLevelType w:val="hybridMultilevel"/>
    <w:lvl w:ilvl="0">
      <w:start w:val="1"/>
      <w:numFmt w:val="decimal"/>
      <w:lvlText w:val="%1."/>
      <w:lvlJc w:val="left"/>
      <w:pPr>
        <w:ind w:left="357" w:hanging="357"/>
      </w:pPr>
      <w:rPr>
        <w:rFonts w:ascii="Century Gothic" w:hAnsi="Century Gothic" w:cs="Century Gothic" w:hint="default"/>
        <w:b/>
        <w:sz w:val="20"/>
      </w:rPr>
    </w:lvl>
    <w:lvl w:ilvl="1">
      <w:start w:val="1"/>
      <w:numFmt w:val="lowerLetter"/>
      <w:lvlText w:val="%2."/>
      <w:lvlJc w:val="left"/>
      <w:pPr>
        <w:ind w:left="720" w:hanging="357"/>
      </w:pPr>
      <w:rPr>
        <w:rFonts w:ascii="Century Gothic" w:hAnsi="Century Gothic" w:cs="Century Gothic" w:hint="default"/>
        <w:b/>
        <w:sz w:val="20"/>
      </w:rPr>
    </w:lvl>
    <w:lvl w:ilvl="2">
      <w:start w:val="1"/>
      <w:numFmt w:val="bullet"/>
      <w:lvlText w:val=""/>
      <w:lvlJc w:val="left"/>
      <w:pPr>
        <w:ind w:left="1077" w:hanging="283"/>
      </w:pPr>
      <w:rPr>
        <w:rFonts w:ascii="Wingdings" w:hAnsi="Wingdings" w:cs="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1">
    <w:abstractNumId w:val="900"/>
    <w:lvlOverride w:ilvl="0">
      <w:startOverride w:val="1"/>
    </w:lvlOverride>
  </w:num>
  <w:num w:numId="902">
    <w:abstractNumId w:val="900"/>
    <w:lvlOverride w:ilvl="0">
      <w:startOverride w:val="1"/>
    </w:lvlOverride>
  </w:num>
  <w:num w:numId="903">
    <w:abstractNumId w:val="900"/>
    <w:lvlOverride w:ilvl="0">
      <w:startOverride w:val="1"/>
    </w:lvlOverride>
  </w:num>
  <w:num w:numId="904">
    <w:abstractNumId w:val="90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entury Gothic" w:hAnsi="Century Gothic" w:cs="Century Gothic" w:eastAsia="Century Gothic"/>
      <w:sz w:val="20"/>
      <w:lang w:val="es-BO" w:eastAsia="es-B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