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jc w:val="center"/>
      </w:pPr>
      <w:r>
        <w:rPr>
          <w:rFonts w:ascii="Century Gothic" w:hAnsi="Century Gothic" w:cs="Century Gothic" w:eastAsia="Century Gothic"/>
          <w:b/>
          <w:i w:val="0"/>
          <w:sz w:val="28"/>
        </w:rPr>
        <w:t>Diseño Curricular</w:t>
      </w:r>
    </w:p>
    <w:p>
      <w:pPr>
        <w:spacing w:before="0" w:after="360" w:line="240" w:lineRule="auto"/>
        <w:jc w:val="center"/>
      </w:pPr>
      <w:r>
        <w:rPr>
          <w:rFonts w:ascii="Century Gothic" w:hAnsi="Century Gothic" w:cs="Century Gothic" w:eastAsia="Century Gothic"/>
          <w:b/>
          <w:i w:val="0"/>
          <w:sz w:val="28"/>
        </w:rPr>
        <w:t>Antecedentes</w:t>
      </w:r>
    </w:p>
    <w:p>
      <w:pPr>
        <w:keepNext/>
        <w:tabs>
          <w:tab w:pos="709" w:val="left"/>
        </w:tabs>
        <w:spacing w:before="160" w:after="200" w:line="240" w:lineRule="auto"/>
        <w:ind w:left="709" w:hanging="709"/>
        <w:jc w:val="left"/>
      </w:pPr>
      <w:r>
        <w:rPr>
          <w:rFonts w:ascii="Century Gothic" w:hAnsi="Century Gothic" w:cs="Century Gothic" w:eastAsia="Century Gothic"/>
          <w:b/>
          <w:i w:val="0"/>
          <w:sz w:val="24"/>
        </w:rPr>
        <w:t>2.</w:t>
        <w:tab/>
      </w:r>
      <w:r>
        <w:rPr>
          <w:rFonts w:ascii="Century Gothic" w:hAnsi="Century Gothic" w:cs="Century Gothic" w:eastAsia="Century Gothic"/>
          <w:b/>
          <w:i w:val="0"/>
          <w:sz w:val="24"/>
        </w:rPr>
        <w:t>Antecedentes</w:t>
      </w:r>
    </w:p>
    <w:p>
      <w:pPr>
        <w:keepNext/>
        <w:tabs>
          <w:tab w:pos="709" w:val="left"/>
        </w:tabs>
        <w:spacing w:before="120" w:after="200" w:line="240" w:lineRule="auto"/>
        <w:ind w:left="709" w:hanging="709"/>
        <w:jc w:val="left"/>
      </w:pPr>
      <w:r>
        <w:rPr>
          <w:rFonts w:ascii="Century Gothic" w:hAnsi="Century Gothic" w:cs="Century Gothic" w:eastAsia="Century Gothic"/>
          <w:b/>
          <w:i w:val="0"/>
          <w:sz w:val="24"/>
        </w:rPr>
        <w:t>2.2</w:t>
        <w:tab/>
      </w:r>
      <w:r>
        <w:rPr>
          <w:rFonts w:ascii="Century Gothic" w:hAnsi="Century Gothic" w:cs="Century Gothic" w:eastAsia="Century Gothic"/>
          <w:b/>
          <w:i w:val="0"/>
          <w:sz w:val="24"/>
        </w:rPr>
        <w:t>Misión, visión de la carrera</w:t>
      </w:r>
    </w:p>
    <w:p>
      <w:pPr>
        <w:keepNext/>
        <w:tabs>
          <w:tab w:pos="709" w:val="left"/>
        </w:tabs>
        <w:spacing w:before="80" w:after="200" w:line="240" w:lineRule="auto"/>
        <w:ind w:left="709" w:hanging="709"/>
        <w:jc w:val="left"/>
      </w:pPr>
      <w:r>
        <w:rPr>
          <w:rFonts w:ascii="Century Gothic" w:hAnsi="Century Gothic" w:cs="Century Gothic" w:eastAsia="Century Gothic"/>
          <w:b/>
          <w:i w:val="0"/>
          <w:sz w:val="22"/>
        </w:rPr>
        <w:t>2.2.1</w:t>
        <w:tab/>
      </w:r>
      <w:r>
        <w:rPr>
          <w:rFonts w:ascii="Century Gothic" w:hAnsi="Century Gothic" w:cs="Century Gothic" w:eastAsia="Century Gothic"/>
          <w:b/>
          <w:i w:val="0"/>
          <w:sz w:val="22"/>
        </w:rPr>
        <w:t>Visión</w:t>
      </w:r>
    </w:p>
    <w:p>
      <w:pPr>
        <w:spacing w:before="0" w:after="200" w:line="240" w:lineRule="auto"/>
        <w:jc w:val="both"/>
      </w:pPr>
      <w:r>
        <w:rPr>
          <w:rFonts w:ascii="Century Gothic" w:hAnsi="Century Gothic" w:cs="Century Gothic" w:eastAsia="Century Gothic"/>
          <w:b w:val="0"/>
          <w:i w:val="0"/>
          <w:sz w:val="20"/>
        </w:rPr>
        <w:t>Ser una unidad académica líder a nivel nacional y referente a nivel internacional en la formación integral de Contadores Públicos Autorizados de excelencia académica, altamente competitivos e innovadores, capaces de liderar la transformación digital, la sostenibilidad y la gobernanza organizacional, respondiendo con rigor ético a los desafíos del Estado, la sociedad y el mercado laboral global.</w:t>
      </w:r>
    </w:p>
    <w:p>
      <w:pPr>
        <w:keepNext/>
        <w:tabs>
          <w:tab w:pos="709" w:val="left"/>
        </w:tabs>
        <w:spacing w:before="80" w:after="200" w:line="240" w:lineRule="auto"/>
        <w:ind w:left="709" w:hanging="709"/>
        <w:jc w:val="left"/>
      </w:pPr>
      <w:r>
        <w:rPr>
          <w:rFonts w:ascii="Century Gothic" w:hAnsi="Century Gothic" w:cs="Century Gothic" w:eastAsia="Century Gothic"/>
          <w:b/>
          <w:i w:val="0"/>
          <w:sz w:val="22"/>
        </w:rPr>
        <w:t>2.2.2</w:t>
        <w:tab/>
      </w:r>
      <w:r>
        <w:rPr>
          <w:rFonts w:ascii="Century Gothic" w:hAnsi="Century Gothic" w:cs="Century Gothic" w:eastAsia="Century Gothic"/>
          <w:b/>
          <w:i w:val="0"/>
          <w:sz w:val="22"/>
        </w:rPr>
        <w:t>Misión</w:t>
      </w:r>
    </w:p>
    <w:p>
      <w:pPr>
        <w:spacing w:before="0" w:after="200" w:line="240" w:lineRule="auto"/>
        <w:jc w:val="both"/>
      </w:pPr>
      <w:r>
        <w:rPr>
          <w:rFonts w:ascii="Century Gothic" w:hAnsi="Century Gothic" w:cs="Century Gothic" w:eastAsia="Century Gothic"/>
          <w:b w:val="0"/>
          <w:i w:val="0"/>
          <w:sz w:val="20"/>
        </w:rPr>
        <w:t>Formar Contadores Públicos Autorizados con sólida excelencia científica, técnica, ética y humanística, competentes en el diseño, preparación, aseguramiento y análisis estratégico de información financiera y no financiera. Impulsar el pensamiento crítico, la innovación tecnológica (IA y analítica de datos) y la adaptabilidad para promover el interés público, la transparencia y el desarrollo sostenible de las organizaciones públicas y privadas.</w:t>
      </w:r>
    </w:p>
    <w:p>
      <w:pPr>
        <w:keepNext/>
        <w:tabs>
          <w:tab w:pos="709" w:val="left"/>
        </w:tabs>
        <w:spacing w:before="120" w:after="200" w:line="240" w:lineRule="auto"/>
        <w:ind w:left="709" w:hanging="709"/>
        <w:jc w:val="left"/>
      </w:pPr>
      <w:r>
        <w:rPr>
          <w:rFonts w:ascii="Century Gothic" w:hAnsi="Century Gothic" w:cs="Century Gothic" w:eastAsia="Century Gothic"/>
          <w:b/>
          <w:i w:val="0"/>
          <w:sz w:val="24"/>
        </w:rPr>
        <w:t>2.4</w:t>
        <w:tab/>
      </w:r>
      <w:r>
        <w:rPr>
          <w:rFonts w:ascii="Century Gothic" w:hAnsi="Century Gothic" w:cs="Century Gothic" w:eastAsia="Century Gothic"/>
          <w:b/>
          <w:i w:val="0"/>
          <w:sz w:val="24"/>
        </w:rPr>
        <w:t>Objetivos del programa/carrera</w:t>
      </w:r>
    </w:p>
    <w:p>
      <w:pPr>
        <w:spacing w:before="0" w:after="200" w:line="240" w:lineRule="auto"/>
        <w:jc w:val="both"/>
      </w:pPr>
      <w:r>
        <w:rPr>
          <w:rFonts w:ascii="Century Gothic" w:hAnsi="Century Gothic" w:cs="Century Gothic" w:eastAsia="Century Gothic"/>
          <w:b w:val="0"/>
          <w:i w:val="0"/>
          <w:sz w:val="20"/>
        </w:rPr>
        <w:t>Los objetivos de la Carrera de Contaduría Pública, se estructuran en los siguientes ejes estratégicos:</w:t>
      </w:r>
    </w:p>
    <w:p>
      <w:pPr>
        <w:numPr>
          <w:ilvl w:val="0"/>
          <w:numId w:val="901"/>
        </w:numPr>
        <w:spacing w:before="0" w:after="160" w:line="240" w:lineRule="auto"/>
        <w:jc w:val="both"/>
      </w:pPr>
      <w:r>
        <w:rPr>
          <w:rFonts w:ascii="Century Gothic" w:hAnsi="Century Gothic" w:cs="Century Gothic" w:eastAsia="Century Gothic"/>
          <w:b/>
          <w:i w:val="0"/>
          <w:sz w:val="20"/>
        </w:rPr>
        <w:t>Calidad y Pertinencia Curricular:</w:t>
      </w:r>
      <w:r>
        <w:rPr>
          <w:rFonts w:ascii="Century Gothic" w:hAnsi="Century Gothic" w:cs="Century Gothic" w:eastAsia="Century Gothic"/>
          <w:b w:val="0"/>
          <w:i w:val="0"/>
          <w:sz w:val="20"/>
        </w:rPr>
        <w:t xml:space="preserve"> Garantizar una educación superior de excelencia bajo un enfoque por competencias, integrando teoría y práctica en el diseño, gestión y aseguramiento de información financiera y no financiera para el sector público y privado.</w:t>
      </w:r>
    </w:p>
    <w:p>
      <w:pPr>
        <w:numPr>
          <w:ilvl w:val="0"/>
          <w:numId w:val="901"/>
        </w:numPr>
        <w:spacing w:before="0" w:after="160" w:line="240" w:lineRule="auto"/>
        <w:jc w:val="both"/>
      </w:pPr>
      <w:r>
        <w:rPr>
          <w:rFonts w:ascii="Century Gothic" w:hAnsi="Century Gothic" w:cs="Century Gothic" w:eastAsia="Century Gothic"/>
          <w:b/>
          <w:i w:val="0"/>
          <w:sz w:val="20"/>
        </w:rPr>
        <w:t>Transformación Digital e Innovación:</w:t>
      </w:r>
      <w:r>
        <w:rPr>
          <w:rFonts w:ascii="Century Gothic" w:hAnsi="Century Gothic" w:cs="Century Gothic" w:eastAsia="Century Gothic"/>
          <w:b w:val="0"/>
          <w:i w:val="0"/>
          <w:sz w:val="20"/>
        </w:rPr>
        <w:t xml:space="preserve"> Desarrollar competencias avanzadas en el uso de tecnologías de la información, Inteligencia Artificial aplicada, analítica de datos y los encargos de aseguramiento asistidos por herramientas tecnológicas para optimizar la toma de decisiones en tiempo real.</w:t>
      </w:r>
    </w:p>
    <w:p>
      <w:pPr>
        <w:numPr>
          <w:ilvl w:val="0"/>
          <w:numId w:val="901"/>
        </w:numPr>
        <w:spacing w:before="0" w:after="160" w:line="240" w:lineRule="auto"/>
        <w:jc w:val="both"/>
      </w:pPr>
      <w:r>
        <w:rPr>
          <w:rFonts w:ascii="Century Gothic" w:hAnsi="Century Gothic" w:cs="Century Gothic" w:eastAsia="Century Gothic"/>
          <w:b/>
          <w:i w:val="0"/>
          <w:sz w:val="20"/>
        </w:rPr>
        <w:t>Ética, Responsabilidad Pública y Gobernanza:</w:t>
      </w:r>
      <w:r>
        <w:rPr>
          <w:rFonts w:ascii="Century Gothic" w:hAnsi="Century Gothic" w:cs="Century Gothic" w:eastAsia="Century Gothic"/>
          <w:b w:val="0"/>
          <w:i w:val="0"/>
          <w:sz w:val="20"/>
        </w:rPr>
        <w:t xml:space="preserve"> Inculcar principios éticos rigurosos alineados con el Código de Ética del Consejo de Normas Internacionales de Ética (IESBA), promoviendo la transparencia, la gestión integral de riesgos y el cumplimiento normativo en resguardo del interés público.</w:t>
      </w:r>
    </w:p>
    <w:p>
      <w:pPr>
        <w:numPr>
          <w:ilvl w:val="0"/>
          <w:numId w:val="901"/>
        </w:numPr>
        <w:spacing w:before="0" w:after="160" w:line="240" w:lineRule="auto"/>
        <w:jc w:val="both"/>
      </w:pPr>
      <w:r>
        <w:rPr>
          <w:rFonts w:ascii="Century Gothic" w:hAnsi="Century Gothic" w:cs="Century Gothic" w:eastAsia="Century Gothic"/>
          <w:b/>
          <w:i w:val="0"/>
          <w:sz w:val="20"/>
        </w:rPr>
        <w:t>Investigación y Pensamiento Crítico:</w:t>
      </w:r>
      <w:r>
        <w:rPr>
          <w:rFonts w:ascii="Century Gothic" w:hAnsi="Century Gothic" w:cs="Century Gothic" w:eastAsia="Century Gothic"/>
          <w:b w:val="0"/>
          <w:i w:val="0"/>
          <w:sz w:val="20"/>
        </w:rPr>
        <w:t xml:space="preserve"> Promover la investigación contable, los servicios de aseguramiento y el desarrollo del juicio crítico reflexivo para enfrentar las incertidumbres y resolver problemas organizacionales multidimensionales.</w:t>
      </w:r>
    </w:p>
    <w:p>
      <w:pPr>
        <w:numPr>
          <w:ilvl w:val="0"/>
          <w:numId w:val="901"/>
        </w:numPr>
        <w:spacing w:before="0" w:after="160" w:line="240" w:lineRule="auto"/>
        <w:jc w:val="both"/>
      </w:pPr>
      <w:r>
        <w:rPr>
          <w:rFonts w:ascii="Century Gothic" w:hAnsi="Century Gothic" w:cs="Century Gothic" w:eastAsia="Century Gothic"/>
          <w:b/>
          <w:i w:val="0"/>
          <w:sz w:val="20"/>
        </w:rPr>
        <w:t>Internacionalización y Movilidad Global:</w:t>
      </w:r>
      <w:r>
        <w:rPr>
          <w:rFonts w:ascii="Century Gothic" w:hAnsi="Century Gothic" w:cs="Century Gothic" w:eastAsia="Century Gothic"/>
          <w:b w:val="0"/>
          <w:i w:val="0"/>
          <w:sz w:val="20"/>
        </w:rPr>
        <w:t xml:space="preserve"> Fomentar el dominio del inglés técnico contable y la aplicación de estándares internacionales para potenciar la competitividad global y la transferibilidad académica del profesional.</w:t>
      </w:r>
    </w:p>
    <w:p>
      <w:pPr>
        <w:numPr>
          <w:ilvl w:val="0"/>
          <w:numId w:val="901"/>
        </w:numPr>
        <w:spacing w:before="0" w:after="200" w:line="240" w:lineRule="auto"/>
        <w:jc w:val="both"/>
      </w:pPr>
      <w:r>
        <w:rPr>
          <w:rFonts w:ascii="Century Gothic" w:hAnsi="Century Gothic" w:cs="Century Gothic" w:eastAsia="Century Gothic"/>
          <w:b/>
          <w:i w:val="0"/>
          <w:sz w:val="20"/>
        </w:rPr>
        <w:t>Vinculación Práctica e Interacción Social:</w:t>
      </w:r>
      <w:r>
        <w:rPr>
          <w:rFonts w:ascii="Century Gothic" w:hAnsi="Century Gothic" w:cs="Century Gothic" w:eastAsia="Century Gothic"/>
          <w:b w:val="0"/>
          <w:i w:val="0"/>
          <w:sz w:val="20"/>
        </w:rPr>
        <w:t xml:space="preserve"> Fortalecer la formación mediante el aprendizaje basado en proyectos reales, pasantías pre-profesionales y convenios estratégicos con el sector productivo e institucional.</w:t>
      </w:r>
    </w:p>
    <w:p>
      <w:pPr>
        <w:keepNext/>
        <w:tabs>
          <w:tab w:pos="709" w:val="left"/>
        </w:tabs>
        <w:spacing w:before="80" w:after="200" w:line="240" w:lineRule="auto"/>
        <w:ind w:left="709" w:hanging="709"/>
        <w:jc w:val="left"/>
      </w:pPr>
      <w:r>
        <w:rPr>
          <w:rFonts w:ascii="Century Gothic" w:hAnsi="Century Gothic" w:cs="Century Gothic" w:eastAsia="Century Gothic"/>
          <w:b/>
          <w:i w:val="0"/>
          <w:sz w:val="22"/>
        </w:rPr>
        <w:t>2.4.1</w:t>
        <w:tab/>
      </w:r>
      <w:r>
        <w:rPr>
          <w:rFonts w:ascii="Century Gothic" w:hAnsi="Century Gothic" w:cs="Century Gothic" w:eastAsia="Century Gothic"/>
          <w:b/>
          <w:i w:val="0"/>
          <w:sz w:val="22"/>
        </w:rPr>
        <w:t>Ejes Estratégicos y Objetivos de la Carrera</w:t>
      </w:r>
    </w:p>
    <w:p>
      <w:pPr>
        <w:spacing w:before="0" w:after="200" w:line="240" w:lineRule="auto"/>
        <w:jc w:val="both"/>
      </w:pPr>
      <w:r>
        <w:rPr>
          <w:rFonts w:ascii="Century Gothic" w:hAnsi="Century Gothic" w:cs="Century Gothic" w:eastAsia="Century Gothic"/>
          <w:b w:val="0"/>
          <w:i w:val="0"/>
          <w:sz w:val="20"/>
        </w:rPr>
        <w:t>Los objetivos institucionales de la Carrera de Contaduría Pública se estructuran en seis ejes estratégicos:</w:t>
      </w:r>
    </w:p>
    <w:p>
      <w:pPr>
        <w:numPr>
          <w:ilvl w:val="0"/>
          <w:numId w:val="911"/>
        </w:numPr>
        <w:spacing w:before="0" w:after="160" w:line="240" w:lineRule="auto"/>
        <w:jc w:val="both"/>
      </w:pPr>
      <w:r>
        <w:rPr>
          <w:rFonts w:ascii="Century Gothic" w:hAnsi="Century Gothic" w:cs="Century Gothic" w:eastAsia="Century Gothic"/>
          <w:b/>
          <w:i w:val="0"/>
          <w:sz w:val="20"/>
        </w:rPr>
        <w:t>Calidad y Pertinencia Curricular:</w:t>
      </w:r>
      <w:r>
        <w:rPr>
          <w:rFonts w:ascii="Century Gothic" w:hAnsi="Century Gothic" w:cs="Century Gothic" w:eastAsia="Century Gothic"/>
          <w:b w:val="0"/>
          <w:i w:val="0"/>
          <w:sz w:val="20"/>
        </w:rPr>
        <w:t xml:space="preserve"> Garantizar una educación superior de excelencia bajo un enfoque por competencias, integrando teoría y práctica en el diseño, gestión y aseguramiento de información financiera y no financiera para el sector público y privado.</w:t>
      </w:r>
    </w:p>
    <w:p>
      <w:pPr>
        <w:numPr>
          <w:ilvl w:val="0"/>
          <w:numId w:val="911"/>
        </w:numPr>
        <w:spacing w:before="0" w:after="200" w:line="240" w:lineRule="auto"/>
        <w:jc w:val="both"/>
      </w:pPr>
      <w:r>
        <w:rPr>
          <w:rFonts w:ascii="Century Gothic" w:hAnsi="Century Gothic" w:cs="Century Gothic" w:eastAsia="Century Gothic"/>
          <w:b/>
          <w:i w:val="0"/>
          <w:sz w:val="20"/>
        </w:rPr>
        <w:t>Transformación Digital e Innovación:</w:t>
      </w:r>
      <w:r>
        <w:rPr>
          <w:rFonts w:ascii="Century Gothic" w:hAnsi="Century Gothic" w:cs="Century Gothic" w:eastAsia="Century Gothic"/>
          <w:b w:val="0"/>
          <w:i w:val="0"/>
          <w:sz w:val="20"/>
        </w:rPr>
        <w:t xml:space="preserve"> Desarrollar competencias avanzadas en el uso de tecnologías de la información, Inteligencia Artificial aplicada, analítica de datos (Big Data) y encargos de aseguramiento asistidos por herramientas tecnológicas para optimizar la toma de decisiones en tiempo real.</w:t>
      </w:r>
    </w:p>
    <w:p>
      <w:pPr>
        <w:numPr>
          <w:ilvl w:val="0"/>
          <w:numId w:val="911"/>
        </w:numPr>
        <w:spacing w:before="0" w:after="160" w:line="240" w:lineRule="auto"/>
        <w:jc w:val="both"/>
      </w:pPr>
      <w:r>
        <w:rPr>
          <w:rFonts w:ascii="Century Gothic" w:hAnsi="Century Gothic" w:cs="Century Gothic" w:eastAsia="Century Gothic"/>
          <w:b/>
          <w:i w:val="0"/>
          <w:sz w:val="20"/>
        </w:rPr>
        <w:t>Ética, Responsabilidad Pública y Gobernanza:</w:t>
      </w:r>
      <w:r>
        <w:rPr>
          <w:rFonts w:ascii="Century Gothic" w:hAnsi="Century Gothic" w:cs="Century Gothic" w:eastAsia="Century Gothic"/>
          <w:b w:val="0"/>
          <w:i w:val="0"/>
          <w:sz w:val="20"/>
        </w:rPr>
        <w:t xml:space="preserve"> Inculcar principios éticos rigurosos alineados con el Código Internacional de Ética del Consejo de Normas Internacionales de Ética (IESBA), promoviendo la transparencia, la gestión integral de riesgos y el cumplimiento normativo en resguardo del interés público.</w:t>
      </w:r>
    </w:p>
    <w:p>
      <w:pPr>
        <w:numPr>
          <w:ilvl w:val="0"/>
          <w:numId w:val="911"/>
        </w:numPr>
        <w:spacing w:before="0" w:after="160" w:line="240" w:lineRule="auto"/>
        <w:jc w:val="both"/>
      </w:pPr>
      <w:r>
        <w:rPr>
          <w:rFonts w:ascii="Century Gothic" w:hAnsi="Century Gothic" w:cs="Century Gothic" w:eastAsia="Century Gothic"/>
          <w:b/>
          <w:i w:val="0"/>
          <w:sz w:val="20"/>
        </w:rPr>
        <w:t>Investigación y Pensamiento Crítico:</w:t>
      </w:r>
      <w:r>
        <w:rPr>
          <w:rFonts w:ascii="Century Gothic" w:hAnsi="Century Gothic" w:cs="Century Gothic" w:eastAsia="Century Gothic"/>
          <w:b w:val="0"/>
          <w:i w:val="0"/>
          <w:sz w:val="20"/>
        </w:rPr>
        <w:t xml:space="preserve"> Promover la investigación contable, los servicios de aseguramiento y el desarrollo del juicio crítico reflexivo para enfrentar la incertidumbre y resolver problemas organizacionales multidimensionales.</w:t>
      </w:r>
    </w:p>
    <w:p>
      <w:pPr>
        <w:numPr>
          <w:ilvl w:val="0"/>
          <w:numId w:val="911"/>
        </w:numPr>
        <w:spacing w:before="0" w:after="160" w:line="240" w:lineRule="auto"/>
        <w:jc w:val="both"/>
      </w:pPr>
      <w:r>
        <w:rPr>
          <w:rFonts w:ascii="Century Gothic" w:hAnsi="Century Gothic" w:cs="Century Gothic" w:eastAsia="Century Gothic"/>
          <w:b/>
          <w:i w:val="0"/>
          <w:sz w:val="20"/>
        </w:rPr>
        <w:t>Internacionalización y Movilidad Global:</w:t>
      </w:r>
      <w:r>
        <w:rPr>
          <w:rFonts w:ascii="Century Gothic" w:hAnsi="Century Gothic" w:cs="Century Gothic" w:eastAsia="Century Gothic"/>
          <w:b w:val="0"/>
          <w:i w:val="0"/>
          <w:sz w:val="20"/>
        </w:rPr>
        <w:t xml:space="preserve"> Fomentar el dominio del inglés técnico contable y la aplicación de estándares internacionales para potenciar la competitividad global y la transferibilidad académica del profesional.</w:t>
      </w:r>
    </w:p>
    <w:p>
      <w:pPr>
        <w:numPr>
          <w:ilvl w:val="0"/>
          <w:numId w:val="911"/>
        </w:numPr>
        <w:spacing w:before="0" w:after="200" w:line="240" w:lineRule="auto"/>
        <w:jc w:val="both"/>
      </w:pPr>
      <w:r>
        <w:rPr>
          <w:rFonts w:ascii="Century Gothic" w:hAnsi="Century Gothic" w:cs="Century Gothic" w:eastAsia="Century Gothic"/>
          <w:b/>
          <w:i w:val="0"/>
          <w:sz w:val="20"/>
        </w:rPr>
        <w:t>Vinculación Práctica e Interacción Social:</w:t>
      </w:r>
      <w:r>
        <w:rPr>
          <w:rFonts w:ascii="Century Gothic" w:hAnsi="Century Gothic" w:cs="Century Gothic" w:eastAsia="Century Gothic"/>
          <w:b w:val="0"/>
          <w:i w:val="0"/>
          <w:sz w:val="20"/>
        </w:rPr>
        <w:t xml:space="preserve"> Fortalecer la formación mediante el aprendizaje basado en proyectos reales, pasantías preprofesionales obligatorias y convenios estratégicos con el sector productivo e institucional.</w:t>
      </w:r>
    </w:p>
    <w:p>
      <w:pPr>
        <w:pageBreakBefore/>
        <w:spacing w:before="0" w:after="0" w:line="240" w:lineRule="auto"/>
        <w:jc w:val="center"/>
      </w:pPr>
      <w:r>
        <w:rPr>
          <w:rFonts w:ascii="Century Gothic" w:hAnsi="Century Gothic" w:cs="Century Gothic" w:eastAsia="Century Gothic"/>
          <w:b/>
          <w:i w:val="0"/>
          <w:sz w:val="28"/>
        </w:rPr>
        <w:t>Diseño Curricular</w:t>
      </w:r>
    </w:p>
    <w:p>
      <w:pPr>
        <w:spacing w:before="0" w:after="360" w:line="240" w:lineRule="auto"/>
        <w:jc w:val="center"/>
      </w:pPr>
      <w:r>
        <w:rPr>
          <w:rFonts w:ascii="Century Gothic" w:hAnsi="Century Gothic" w:cs="Century Gothic" w:eastAsia="Century Gothic"/>
          <w:b/>
          <w:i w:val="0"/>
          <w:sz w:val="28"/>
        </w:rPr>
        <w:t>Justificación de la Innovación Curricular</w:t>
      </w:r>
    </w:p>
    <w:p>
      <w:pPr>
        <w:keepNext/>
        <w:tabs>
          <w:tab w:pos="709" w:val="left"/>
        </w:tabs>
        <w:spacing w:before="160" w:after="200" w:line="240" w:lineRule="auto"/>
        <w:ind w:left="709" w:hanging="709"/>
        <w:jc w:val="left"/>
      </w:pPr>
      <w:r>
        <w:rPr>
          <w:rFonts w:ascii="Century Gothic" w:hAnsi="Century Gothic" w:cs="Century Gothic" w:eastAsia="Century Gothic"/>
          <w:b/>
          <w:i w:val="0"/>
          <w:sz w:val="24"/>
        </w:rPr>
        <w:t>3.</w:t>
        <w:tab/>
      </w:r>
      <w:r>
        <w:rPr>
          <w:rFonts w:ascii="Century Gothic" w:hAnsi="Century Gothic" w:cs="Century Gothic" w:eastAsia="Century Gothic"/>
          <w:b/>
          <w:i w:val="0"/>
          <w:sz w:val="24"/>
        </w:rPr>
        <w:t>Justificación de la innovación curricular</w:t>
      </w:r>
    </w:p>
    <w:p>
      <w:pPr>
        <w:keepNext/>
        <w:tabs>
          <w:tab w:pos="709" w:val="left"/>
        </w:tabs>
        <w:spacing w:before="120" w:after="200" w:line="240" w:lineRule="auto"/>
        <w:ind w:left="709" w:hanging="709"/>
        <w:jc w:val="left"/>
      </w:pPr>
      <w:r>
        <w:rPr>
          <w:rFonts w:ascii="Century Gothic" w:hAnsi="Century Gothic" w:cs="Century Gothic" w:eastAsia="Century Gothic"/>
          <w:b/>
          <w:i w:val="0"/>
          <w:sz w:val="24"/>
        </w:rPr>
        <w:t>3.2</w:t>
        <w:tab/>
      </w:r>
      <w:r>
        <w:rPr>
          <w:rFonts w:ascii="Century Gothic" w:hAnsi="Century Gothic" w:cs="Century Gothic" w:eastAsia="Century Gothic"/>
          <w:b/>
          <w:i w:val="0"/>
          <w:sz w:val="24"/>
        </w:rPr>
        <w:t>Análisis de las políticas y normas (internacionales, nacionales y universitarias)</w:t>
      </w:r>
    </w:p>
    <w:p>
      <w:pPr>
        <w:keepNext/>
        <w:tabs>
          <w:tab w:pos="709" w:val="left"/>
        </w:tabs>
        <w:spacing w:before="80" w:after="200" w:line="240" w:lineRule="auto"/>
        <w:ind w:left="709" w:hanging="709"/>
        <w:jc w:val="left"/>
      </w:pPr>
      <w:r>
        <w:rPr>
          <w:rFonts w:ascii="Century Gothic" w:hAnsi="Century Gothic" w:cs="Century Gothic" w:eastAsia="Century Gothic"/>
          <w:b/>
          <w:i w:val="0"/>
          <w:sz w:val="22"/>
        </w:rPr>
        <w:t>3.2.1</w:t>
        <w:tab/>
      </w:r>
      <w:r>
        <w:rPr>
          <w:rFonts w:ascii="Century Gothic" w:hAnsi="Century Gothic" w:cs="Century Gothic" w:eastAsia="Century Gothic"/>
          <w:b/>
          <w:i w:val="0"/>
          <w:sz w:val="22"/>
        </w:rPr>
        <w:t>Antecedentes y Justificación Normativa</w:t>
      </w:r>
    </w:p>
    <w:p>
      <w:pPr>
        <w:spacing w:before="0" w:after="200" w:line="240" w:lineRule="auto"/>
        <w:jc w:val="both"/>
      </w:pPr>
      <w:r>
        <w:rPr>
          <w:rFonts w:ascii="Century Gothic" w:hAnsi="Century Gothic" w:cs="Century Gothic" w:eastAsia="Century Gothic"/>
          <w:b w:val="0"/>
          <w:i w:val="0"/>
          <w:sz w:val="20"/>
        </w:rPr>
        <w:t xml:space="preserve">El proceso de innovación curricular de la Licenciatura en Contaduría Pública de la Universidad Mayor de San Andrés (UMSA) responde al cumplimiento riguroso del marco institucional y normativo universitario vigente. El Plan de Estudios en actual aplicación fue aprobado mediante la </w:t>
      </w:r>
      <w:r>
        <w:rPr>
          <w:rFonts w:ascii="Century Gothic" w:hAnsi="Century Gothic" w:cs="Century Gothic" w:eastAsia="Century Gothic"/>
          <w:b/>
          <w:i w:val="0"/>
          <w:sz w:val="20"/>
        </w:rPr>
        <w:t>Resolución del Honorable Consejo Universitario Nº 025/2013</w:t>
      </w:r>
      <w:r>
        <w:rPr>
          <w:rFonts w:ascii="Century Gothic" w:hAnsi="Century Gothic" w:cs="Century Gothic" w:eastAsia="Century Gothic"/>
          <w:b w:val="0"/>
          <w:i w:val="0"/>
          <w:sz w:val="20"/>
        </w:rPr>
        <w:t xml:space="preserve"> (fundamentada en las Resoluciones HCC Nº 162/2012 y HCF Nº 929/2012), acumulando más de doce años de aplicación continua. Este periodo excede el límite de siete años establecido en el Artículo 5 del </w:t>
      </w:r>
      <w:r>
        <w:rPr>
          <w:rFonts w:ascii="Century Gothic" w:hAnsi="Century Gothic" w:cs="Century Gothic" w:eastAsia="Century Gothic"/>
          <w:b/>
          <w:i w:val="0"/>
          <w:sz w:val="20"/>
        </w:rPr>
        <w:t>Reglamento de Innovación Curricular de la UMSA</w:t>
      </w:r>
      <w:r>
        <w:rPr>
          <w:rFonts w:ascii="Century Gothic" w:hAnsi="Century Gothic" w:cs="Century Gothic" w:eastAsia="Century Gothic"/>
          <w:b w:val="0"/>
          <w:i w:val="0"/>
          <w:sz w:val="20"/>
        </w:rPr>
        <w:t xml:space="preserve">, aprobado mediante la </w:t>
      </w:r>
      <w:r>
        <w:rPr>
          <w:rFonts w:ascii="Century Gothic" w:hAnsi="Century Gothic" w:cs="Century Gothic" w:eastAsia="Century Gothic"/>
          <w:b/>
          <w:i w:val="0"/>
          <w:sz w:val="20"/>
        </w:rPr>
        <w:t>Resolución HCU Nº 032/2025</w:t>
      </w:r>
      <w:r>
        <w:rPr>
          <w:rFonts w:ascii="Century Gothic" w:hAnsi="Century Gothic" w:cs="Century Gothic" w:eastAsia="Century Gothic"/>
          <w:b w:val="0"/>
          <w:i w:val="0"/>
          <w:sz w:val="20"/>
        </w:rPr>
        <w:t xml:space="preserve"> el 12 de febrero de 2025.</w:t>
      </w:r>
    </w:p>
    <w:p>
      <w:pPr>
        <w:spacing w:before="0" w:after="200" w:line="240" w:lineRule="auto"/>
        <w:jc w:val="both"/>
      </w:pPr>
      <w:r>
        <w:rPr>
          <w:rFonts w:ascii="Century Gothic" w:hAnsi="Century Gothic" w:cs="Century Gothic" w:eastAsia="Century Gothic"/>
          <w:b w:val="0"/>
          <w:i w:val="0"/>
          <w:sz w:val="20"/>
        </w:rPr>
        <w:t>El procedimiento normativo de actualización académica fue formalmente activado y ejecutado durante la gestión 2026 mediante las siguientes resoluciones de cogobierno facultativo:</w:t>
      </w:r>
    </w:p>
    <w:p>
      <w:pPr>
        <w:numPr>
          <w:ilvl w:val="0"/>
          <w:numId w:val="921"/>
        </w:numPr>
        <w:spacing w:before="0" w:after="160" w:line="240" w:lineRule="auto"/>
        <w:jc w:val="both"/>
      </w:pPr>
      <w:r>
        <w:rPr>
          <w:rFonts w:ascii="Century Gothic" w:hAnsi="Century Gothic" w:cs="Century Gothic" w:eastAsia="Century Gothic"/>
          <w:b/>
          <w:i w:val="0"/>
          <w:sz w:val="20"/>
        </w:rPr>
        <w:t>Aprobación del Diagnóstico y Declaratoria de Necesidad:</w:t>
      </w:r>
      <w:r>
        <w:rPr>
          <w:rFonts w:ascii="Century Gothic" w:hAnsi="Century Gothic" w:cs="Century Gothic" w:eastAsia="Century Gothic"/>
          <w:b w:val="0"/>
          <w:i w:val="0"/>
          <w:sz w:val="20"/>
        </w:rPr>
        <w:t xml:space="preserve"> Mediante la </w:t>
      </w:r>
      <w:r>
        <w:rPr>
          <w:rFonts w:ascii="Century Gothic" w:hAnsi="Century Gothic" w:cs="Century Gothic" w:eastAsia="Century Gothic"/>
          <w:b/>
          <w:i w:val="0"/>
          <w:sz w:val="20"/>
        </w:rPr>
        <w:t>Resolución HCF Nº 1057/2026</w:t>
      </w:r>
      <w:r>
        <w:rPr>
          <w:rFonts w:ascii="Century Gothic" w:hAnsi="Century Gothic" w:cs="Century Gothic" w:eastAsia="Century Gothic"/>
          <w:b w:val="0"/>
          <w:i w:val="0"/>
          <w:sz w:val="20"/>
        </w:rPr>
        <w:t xml:space="preserve"> del 25 de agosto de 2026, el Honorable Consejo Facultativo aprobó en su Artículo Primero el “Diagnóstico de la Carrera de Contaduría Pública” como documento base de análisis, y en su Artículo Segundo la “Declaratoria de Necesidad de Rediseño Curricular de la Carrera de Contaduría Pública”, en estricta concordancia con los Artículos 5º y 15º del Reglamento de Innovación Curricular (Resolución HCU Nº 032/2025).</w:t>
      </w:r>
    </w:p>
    <w:p>
      <w:pPr>
        <w:numPr>
          <w:ilvl w:val="0"/>
          <w:numId w:val="921"/>
        </w:numPr>
        <w:spacing w:before="0" w:after="160" w:line="240" w:lineRule="auto"/>
        <w:jc w:val="both"/>
      </w:pPr>
      <w:r>
        <w:rPr>
          <w:rFonts w:ascii="Century Gothic" w:hAnsi="Century Gothic" w:cs="Century Gothic" w:eastAsia="Century Gothic"/>
          <w:b/>
          <w:i w:val="0"/>
          <w:sz w:val="20"/>
        </w:rPr>
        <w:t>Convocatoria a Elección Paritaria:</w:t>
      </w:r>
      <w:r>
        <w:rPr>
          <w:rFonts w:ascii="Century Gothic" w:hAnsi="Century Gothic" w:cs="Century Gothic" w:eastAsia="Century Gothic"/>
          <w:b w:val="0"/>
          <w:i w:val="0"/>
          <w:sz w:val="20"/>
        </w:rPr>
        <w:t xml:space="preserve"> La misma Resolución HCF Nº 1057/2026 autorizó en su Artículo Tercero la realización de la Asamblea Docente-Estudiantil, llevada a cabo el 8 de septiembre de 2026, con el objeto de elegir paritariamente a los miembros de la Comisión Académica.</w:t>
      </w:r>
    </w:p>
    <w:p>
      <w:pPr>
        <w:numPr>
          <w:ilvl w:val="0"/>
          <w:numId w:val="921"/>
        </w:numPr>
        <w:spacing w:before="0" w:after="200" w:line="240" w:lineRule="auto"/>
        <w:jc w:val="both"/>
      </w:pPr>
      <w:r>
        <w:rPr>
          <w:rFonts w:ascii="Century Gothic" w:hAnsi="Century Gothic" w:cs="Century Gothic" w:eastAsia="Century Gothic"/>
          <w:b/>
          <w:i w:val="0"/>
          <w:sz w:val="20"/>
        </w:rPr>
        <w:t>Conformación Oficial de la Comisión Académica:</w:t>
      </w:r>
      <w:r>
        <w:rPr>
          <w:rFonts w:ascii="Century Gothic" w:hAnsi="Century Gothic" w:cs="Century Gothic" w:eastAsia="Century Gothic"/>
          <w:b w:val="0"/>
          <w:i w:val="0"/>
          <w:sz w:val="20"/>
        </w:rPr>
        <w:t xml:space="preserve"> Mediante la </w:t>
      </w:r>
      <w:r>
        <w:rPr>
          <w:rFonts w:ascii="Century Gothic" w:hAnsi="Century Gothic" w:cs="Century Gothic" w:eastAsia="Century Gothic"/>
          <w:b/>
          <w:i w:val="0"/>
          <w:sz w:val="20"/>
        </w:rPr>
        <w:t>Resolución HCF Nº 1126/2026</w:t>
      </w:r>
      <w:r>
        <w:rPr>
          <w:rFonts w:ascii="Century Gothic" w:hAnsi="Century Gothic" w:cs="Century Gothic" w:eastAsia="Century Gothic"/>
          <w:b w:val="0"/>
          <w:i w:val="0"/>
          <w:sz w:val="20"/>
        </w:rPr>
        <w:t xml:space="preserve"> del 10 de septiembre de 2026, el Honorable Consejo Facultativo aprobó la conformación de la </w:t>
      </w:r>
      <w:r>
        <w:rPr>
          <w:rFonts w:ascii="Century Gothic" w:hAnsi="Century Gothic" w:cs="Century Gothic" w:eastAsia="Century Gothic"/>
          <w:b/>
          <w:i w:val="0"/>
          <w:sz w:val="20"/>
        </w:rPr>
        <w:t>“Comisión Académica para el Rediseño Curricular de la Carrera de Contaduría Pública”</w:t>
      </w:r>
      <w:r>
        <w:rPr>
          <w:rFonts w:ascii="Century Gothic" w:hAnsi="Century Gothic" w:cs="Century Gothic" w:eastAsia="Century Gothic"/>
          <w:b w:val="0"/>
          <w:i w:val="0"/>
          <w:sz w:val="20"/>
        </w:rPr>
        <w:t>, integrada por el Director de Carrera, cinco representantes docentes y cinco representantes estudiantiles, disponiendo el inicio formal del desarrollo del proyecto curricular.</w:t>
      </w:r>
    </w:p>
    <w:p>
      <w:pPr>
        <w:spacing w:before="0" w:after="200" w:line="240" w:lineRule="auto"/>
        <w:jc w:val="both"/>
      </w:pPr>
      <w:r>
        <w:rPr>
          <w:rFonts w:ascii="Century Gothic" w:hAnsi="Century Gothic" w:cs="Century Gothic" w:eastAsia="Century Gothic"/>
          <w:b w:val="0"/>
          <w:i w:val="0"/>
          <w:sz w:val="20"/>
        </w:rPr>
        <w:t xml:space="preserve">A nivel del Sistema de la Universidad Boliviana (SUB), la propuesta se fundamenta en las determinaciones de la </w:t>
      </w:r>
      <w:r>
        <w:rPr>
          <w:rFonts w:ascii="Century Gothic" w:hAnsi="Century Gothic" w:cs="Century Gothic" w:eastAsia="Century Gothic"/>
          <w:b/>
          <w:i w:val="0"/>
          <w:sz w:val="20"/>
        </w:rPr>
        <w:t>III-XIII Reunión Sectorial de las Carreras de Contaduría Pública</w:t>
      </w:r>
      <w:r>
        <w:rPr>
          <w:rFonts w:ascii="Century Gothic" w:hAnsi="Century Gothic" w:cs="Century Gothic" w:eastAsia="Century Gothic"/>
          <w:b w:val="0"/>
          <w:i w:val="0"/>
          <w:sz w:val="20"/>
        </w:rPr>
        <w:t xml:space="preserve"> (Trinidad, Beni, mayo de 2024), cuyas resoluciones fueron ratificadas con carácter vinculante y de cumplimiento obligatorio para todo el sistema universitario mediante la </w:t>
      </w:r>
      <w:r>
        <w:rPr>
          <w:rFonts w:ascii="Century Gothic" w:hAnsi="Century Gothic" w:cs="Century Gothic" w:eastAsia="Century Gothic"/>
          <w:b/>
          <w:i w:val="0"/>
          <w:sz w:val="20"/>
        </w:rPr>
        <w:t>Resolución Nº 07/2024 de la VI Conferencia Nacional Ordinaria de Universidades</w:t>
      </w:r>
      <w:r>
        <w:rPr>
          <w:rFonts w:ascii="Century Gothic" w:hAnsi="Century Gothic" w:cs="Century Gothic" w:eastAsia="Century Gothic"/>
          <w:b w:val="0"/>
          <w:i w:val="0"/>
          <w:sz w:val="20"/>
        </w:rPr>
        <w:t xml:space="preserve"> (Llallagua, noviembre de 2024).</w:t>
      </w:r>
    </w:p>
    <w:p>
      <w:pPr>
        <w:spacing w:before="0" w:after="200" w:line="240" w:lineRule="auto"/>
        <w:jc w:val="both"/>
      </w:pPr>
      <w:r>
        <w:rPr>
          <w:rFonts w:ascii="Century Gothic" w:hAnsi="Century Gothic" w:cs="Century Gothic" w:eastAsia="Century Gothic"/>
          <w:b w:val="0"/>
          <w:i w:val="0"/>
          <w:sz w:val="20"/>
        </w:rPr>
        <w:t xml:space="preserve">En el plano internacional, el rediseño se alinea con los estándares de formación profesional emitidos por la </w:t>
      </w:r>
      <w:r>
        <w:rPr>
          <w:rFonts w:ascii="Century Gothic" w:hAnsi="Century Gothic" w:cs="Century Gothic" w:eastAsia="Century Gothic"/>
          <w:b/>
          <w:i w:val="0"/>
          <w:sz w:val="20"/>
        </w:rPr>
        <w:t>Federación Internacional de Contadores (IFAC)</w:t>
      </w:r>
      <w:r>
        <w:rPr>
          <w:rFonts w:ascii="Century Gothic" w:hAnsi="Century Gothic" w:cs="Century Gothic" w:eastAsia="Century Gothic"/>
          <w:b w:val="0"/>
          <w:i w:val="0"/>
          <w:sz w:val="20"/>
        </w:rPr>
        <w:t xml:space="preserve"> a través de las </w:t>
      </w:r>
      <w:r>
        <w:rPr>
          <w:rFonts w:ascii="Century Gothic" w:hAnsi="Century Gothic" w:cs="Century Gothic" w:eastAsia="Century Gothic"/>
          <w:b/>
          <w:i w:val="0"/>
          <w:sz w:val="20"/>
        </w:rPr>
        <w:t>Normas Internacionales de Educación Contable (IES 1 a IES 8)</w:t>
      </w:r>
      <w:r>
        <w:rPr>
          <w:rFonts w:ascii="Century Gothic" w:hAnsi="Century Gothic" w:cs="Century Gothic" w:eastAsia="Century Gothic"/>
          <w:b w:val="0"/>
          <w:i w:val="0"/>
          <w:sz w:val="20"/>
        </w:rPr>
        <w:t>, garantizando la calidad técnica, la transferibilidad académica y la comparabilidad internacional del título profesional.</w:t>
      </w:r>
    </w:p>
    <w:p>
      <w:pPr>
        <w:keepNext/>
        <w:tabs>
          <w:tab w:pos="709" w:val="left"/>
        </w:tabs>
        <w:spacing w:before="120" w:after="200" w:line="240" w:lineRule="auto"/>
        <w:ind w:left="709" w:hanging="709"/>
        <w:jc w:val="left"/>
      </w:pPr>
      <w:r>
        <w:rPr>
          <w:rFonts w:ascii="Century Gothic" w:hAnsi="Century Gothic" w:cs="Century Gothic" w:eastAsia="Century Gothic"/>
          <w:b/>
          <w:i w:val="0"/>
          <w:sz w:val="24"/>
        </w:rPr>
        <w:t>3.5</w:t>
        <w:tab/>
      </w:r>
      <w:r>
        <w:rPr>
          <w:rFonts w:ascii="Century Gothic" w:hAnsi="Century Gothic" w:cs="Century Gothic" w:eastAsia="Century Gothic"/>
          <w:b/>
          <w:i w:val="0"/>
          <w:sz w:val="24"/>
        </w:rPr>
        <w:t>Contextualización de la oferta curricular en la realidad nacional e internacional</w:t>
      </w:r>
    </w:p>
    <w:p>
      <w:pPr>
        <w:keepNext/>
        <w:tabs>
          <w:tab w:pos="709" w:val="left"/>
        </w:tabs>
        <w:spacing w:before="80" w:after="200" w:line="240" w:lineRule="auto"/>
        <w:ind w:left="709" w:hanging="709"/>
        <w:jc w:val="left"/>
      </w:pPr>
      <w:r>
        <w:rPr>
          <w:rFonts w:ascii="Century Gothic" w:hAnsi="Century Gothic" w:cs="Century Gothic" w:eastAsia="Century Gothic"/>
          <w:b/>
          <w:i w:val="0"/>
          <w:sz w:val="22"/>
        </w:rPr>
        <w:t>3.5.1</w:t>
        <w:tab/>
      </w:r>
      <w:r>
        <w:rPr>
          <w:rFonts w:ascii="Century Gothic" w:hAnsi="Century Gothic" w:cs="Century Gothic" w:eastAsia="Century Gothic"/>
          <w:b/>
          <w:i w:val="0"/>
          <w:sz w:val="22"/>
        </w:rPr>
        <w:t>Alineación con las Normas Internacionales de Educación Contable (IES 1 a IES 8 de la IFAC)</w:t>
      </w:r>
    </w:p>
    <w:p>
      <w:pPr>
        <w:spacing w:before="0" w:after="200" w:line="240" w:lineRule="auto"/>
        <w:jc w:val="both"/>
      </w:pPr>
      <w:r>
        <w:rPr>
          <w:rFonts w:ascii="Century Gothic" w:hAnsi="Century Gothic" w:cs="Century Gothic" w:eastAsia="Century Gothic"/>
          <w:b w:val="0"/>
          <w:i w:val="0"/>
          <w:sz w:val="20"/>
        </w:rPr>
        <w:t>Para garantizar la comparabilidad internacional, el reconocimiento profesional global y la calidad académica, el Plan de Estudios 2027 adopta plenamente los estándares emitidos por el International Accounting Education Standards Board (IAESB) de la Federación Internacional de Contadores (IFAC):</w:t>
      </w:r>
    </w:p>
    <w:tbl>
      <w:tblPr>
        <w:tblW w:type="auto" w:w="0"/>
        <w:jc w:val="center"/>
        <w:tblLayout w:type="fixed"/>
        <w:tblLook w:firstColumn="1" w:firstRow="1" w:lastColumn="0" w:lastRow="0" w:noHBand="0" w:noVBand="1" w:val="04A0"/>
      </w:tblPr>
      <w:tblGrid>
        <w:gridCol w:w="1097"/>
        <w:gridCol w:w="3592"/>
        <w:gridCol w:w="4382"/>
      </w:tblGrid>
      <w:tr>
        <w:trPr>
          <w:tblHeader/>
        </w:trPr>
        <w:tc>
          <w:tcPr>
            <w:tcW w:type="dxa" w:w="1097"/>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Norma</w:t>
            </w:r>
          </w:p>
        </w:tc>
        <w:tc>
          <w:tcPr>
            <w:tcW w:type="dxa" w:w="3592"/>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Denominación Técnica</w:t>
            </w:r>
          </w:p>
        </w:tc>
        <w:tc>
          <w:tcPr>
            <w:tcW w:type="dxa" w:w="4382"/>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Mecanismo de Implementación en el Plan 2027</w:t>
            </w:r>
          </w:p>
        </w:tc>
      </w:tr>
      <w:tr>
        <w:tc>
          <w:tcPr>
            <w:tcW w:type="dxa" w:w="109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i w:val="0"/>
                <w:sz w:val="20"/>
              </w:rPr>
              <w:t>IES 1</w:t>
            </w:r>
          </w:p>
        </w:tc>
        <w:tc>
          <w:tcPr>
            <w:tcW w:type="dxa" w:w="359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Requisitos de Ingreso al Programa</w:t>
            </w:r>
          </w:p>
        </w:tc>
        <w:tc>
          <w:tcPr>
            <w:tcW w:type="dxa" w:w="438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Admisión transparente e inclusiva mediante:</w:t>
            </w:r>
          </w:p>
          <w:p>
            <w:pPr>
              <w:tabs>
                <w:tab w:pos="255" w:val="left"/>
              </w:tabs>
              <w:spacing w:before="0" w:after="0" w:line="240" w:lineRule="auto"/>
              <w:ind w:left="255" w:hanging="255"/>
              <w:jc w:val="left"/>
            </w:pPr>
            <w:r>
              <w:rPr>
                <w:rFonts w:ascii="Century Gothic" w:hAnsi="Century Gothic" w:cs="Century Gothic" w:eastAsia="Century Gothic"/>
                <w:sz w:val="20"/>
              </w:rPr>
              <w:t>▪</w:t>
              <w:tab/>
            </w:r>
            <w:r>
              <w:rPr>
                <w:rFonts w:ascii="Century Gothic" w:hAnsi="Century Gothic" w:cs="Century Gothic" w:eastAsia="Century Gothic"/>
                <w:b w:val="0"/>
                <w:i w:val="0"/>
                <w:sz w:val="20"/>
              </w:rPr>
              <w:t>Cursos Pre-Facultativos</w:t>
            </w:r>
          </w:p>
          <w:p>
            <w:pPr>
              <w:tabs>
                <w:tab w:pos="255" w:val="left"/>
              </w:tabs>
              <w:spacing w:before="0" w:after="0" w:line="240" w:lineRule="auto"/>
              <w:ind w:left="255" w:hanging="255"/>
              <w:jc w:val="left"/>
            </w:pPr>
            <w:r>
              <w:rPr>
                <w:rFonts w:ascii="Century Gothic" w:hAnsi="Century Gothic" w:cs="Century Gothic" w:eastAsia="Century Gothic"/>
                <w:sz w:val="20"/>
              </w:rPr>
              <w:t>▪</w:t>
              <w:tab/>
            </w:r>
            <w:r>
              <w:rPr>
                <w:rFonts w:ascii="Century Gothic" w:hAnsi="Century Gothic" w:cs="Century Gothic" w:eastAsia="Century Gothic"/>
                <w:b w:val="0"/>
                <w:i w:val="0"/>
                <w:sz w:val="20"/>
              </w:rPr>
              <w:t>Exámenes de Suficiencia Académica</w:t>
            </w:r>
          </w:p>
        </w:tc>
      </w:tr>
      <w:tr>
        <w:tc>
          <w:tcPr>
            <w:tcW w:type="dxa" w:w="109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i w:val="0"/>
                <w:sz w:val="20"/>
              </w:rPr>
              <w:t>IES 2</w:t>
            </w:r>
          </w:p>
        </w:tc>
        <w:tc>
          <w:tcPr>
            <w:tcW w:type="dxa" w:w="359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Contenido de los Programas de Educación Profesional (Desarrollo Profesional Inicial)</w:t>
            </w:r>
          </w:p>
        </w:tc>
        <w:tc>
          <w:tcPr>
            <w:tcW w:type="dxa" w:w="438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Estructura curricular equilibrada en:</w:t>
            </w:r>
          </w:p>
          <w:p>
            <w:pPr>
              <w:tabs>
                <w:tab w:pos="255" w:val="left"/>
              </w:tabs>
              <w:spacing w:before="0" w:after="0" w:line="240" w:lineRule="auto"/>
              <w:ind w:left="255" w:hanging="255"/>
              <w:jc w:val="left"/>
            </w:pPr>
            <w:r>
              <w:rPr>
                <w:rFonts w:ascii="Century Gothic" w:hAnsi="Century Gothic" w:cs="Century Gothic" w:eastAsia="Century Gothic"/>
                <w:sz w:val="20"/>
              </w:rPr>
              <w:t>▪</w:t>
              <w:tab/>
            </w:r>
            <w:r>
              <w:rPr>
                <w:rFonts w:ascii="Century Gothic" w:hAnsi="Century Gothic" w:cs="Century Gothic" w:eastAsia="Century Gothic"/>
                <w:b w:val="0"/>
                <w:i w:val="0"/>
                <w:sz w:val="20"/>
              </w:rPr>
              <w:t>Información financiera</w:t>
            </w:r>
          </w:p>
          <w:p>
            <w:pPr>
              <w:tabs>
                <w:tab w:pos="255" w:val="left"/>
              </w:tabs>
              <w:spacing w:before="0" w:after="0" w:line="240" w:lineRule="auto"/>
              <w:ind w:left="255" w:hanging="255"/>
              <w:jc w:val="left"/>
            </w:pPr>
            <w:r>
              <w:rPr>
                <w:rFonts w:ascii="Century Gothic" w:hAnsi="Century Gothic" w:cs="Century Gothic" w:eastAsia="Century Gothic"/>
                <w:sz w:val="20"/>
              </w:rPr>
              <w:t>▪</w:t>
              <w:tab/>
            </w:r>
            <w:r>
              <w:rPr>
                <w:rFonts w:ascii="Century Gothic" w:hAnsi="Century Gothic" w:cs="Century Gothic" w:eastAsia="Century Gothic"/>
                <w:b w:val="0"/>
                <w:i w:val="0"/>
                <w:sz w:val="20"/>
              </w:rPr>
              <w:t>Información no financiera</w:t>
            </w:r>
          </w:p>
          <w:p>
            <w:pPr>
              <w:tabs>
                <w:tab w:pos="255" w:val="left"/>
              </w:tabs>
              <w:spacing w:before="0" w:after="0" w:line="240" w:lineRule="auto"/>
              <w:ind w:left="255" w:hanging="255"/>
              <w:jc w:val="left"/>
            </w:pPr>
            <w:r>
              <w:rPr>
                <w:rFonts w:ascii="Century Gothic" w:hAnsi="Century Gothic" w:cs="Century Gothic" w:eastAsia="Century Gothic"/>
                <w:sz w:val="20"/>
              </w:rPr>
              <w:t>▪</w:t>
              <w:tab/>
            </w:r>
            <w:r>
              <w:rPr>
                <w:rFonts w:ascii="Century Gothic" w:hAnsi="Century Gothic" w:cs="Century Gothic" w:eastAsia="Century Gothic"/>
                <w:b w:val="0"/>
                <w:i w:val="0"/>
                <w:sz w:val="20"/>
              </w:rPr>
              <w:t>Aseguramiento</w:t>
            </w:r>
          </w:p>
          <w:p>
            <w:pPr>
              <w:tabs>
                <w:tab w:pos="255" w:val="left"/>
              </w:tabs>
              <w:spacing w:before="0" w:after="0" w:line="240" w:lineRule="auto"/>
              <w:ind w:left="255" w:hanging="255"/>
              <w:jc w:val="left"/>
            </w:pPr>
            <w:r>
              <w:rPr>
                <w:rFonts w:ascii="Century Gothic" w:hAnsi="Century Gothic" w:cs="Century Gothic" w:eastAsia="Century Gothic"/>
                <w:sz w:val="20"/>
              </w:rPr>
              <w:t>▪</w:t>
              <w:tab/>
            </w:r>
            <w:r>
              <w:rPr>
                <w:rFonts w:ascii="Century Gothic" w:hAnsi="Century Gothic" w:cs="Century Gothic" w:eastAsia="Century Gothic"/>
                <w:b w:val="0"/>
                <w:i w:val="0"/>
                <w:sz w:val="20"/>
              </w:rPr>
              <w:t>Finanzas</w:t>
            </w:r>
          </w:p>
          <w:p>
            <w:pPr>
              <w:tabs>
                <w:tab w:pos="255" w:val="left"/>
              </w:tabs>
              <w:spacing w:before="0" w:after="0" w:line="240" w:lineRule="auto"/>
              <w:ind w:left="255" w:hanging="255"/>
              <w:jc w:val="left"/>
            </w:pPr>
            <w:r>
              <w:rPr>
                <w:rFonts w:ascii="Century Gothic" w:hAnsi="Century Gothic" w:cs="Century Gothic" w:eastAsia="Century Gothic"/>
                <w:sz w:val="20"/>
              </w:rPr>
              <w:t>▪</w:t>
              <w:tab/>
            </w:r>
            <w:r>
              <w:rPr>
                <w:rFonts w:ascii="Century Gothic" w:hAnsi="Century Gothic" w:cs="Century Gothic" w:eastAsia="Century Gothic"/>
                <w:b w:val="0"/>
                <w:i w:val="0"/>
                <w:sz w:val="20"/>
              </w:rPr>
              <w:t>Gobierno Corporativo</w:t>
            </w:r>
          </w:p>
          <w:p>
            <w:pPr>
              <w:tabs>
                <w:tab w:pos="255" w:val="left"/>
              </w:tabs>
              <w:spacing w:before="0" w:after="0" w:line="240" w:lineRule="auto"/>
              <w:ind w:left="255" w:hanging="255"/>
              <w:jc w:val="left"/>
            </w:pPr>
            <w:r>
              <w:rPr>
                <w:rFonts w:ascii="Century Gothic" w:hAnsi="Century Gothic" w:cs="Century Gothic" w:eastAsia="Century Gothic"/>
                <w:sz w:val="20"/>
              </w:rPr>
              <w:t>▪</w:t>
              <w:tab/>
            </w:r>
            <w:r>
              <w:rPr>
                <w:rFonts w:ascii="Century Gothic" w:hAnsi="Century Gothic" w:cs="Century Gothic" w:eastAsia="Century Gothic"/>
                <w:b w:val="0"/>
                <w:i w:val="0"/>
                <w:sz w:val="20"/>
              </w:rPr>
              <w:t>Tecnología de Información</w:t>
            </w:r>
          </w:p>
          <w:p>
            <w:pPr>
              <w:tabs>
                <w:tab w:pos="255" w:val="left"/>
              </w:tabs>
              <w:spacing w:before="0" w:after="0" w:line="240" w:lineRule="auto"/>
              <w:ind w:left="255" w:hanging="255"/>
              <w:jc w:val="left"/>
            </w:pPr>
            <w:r>
              <w:rPr>
                <w:rFonts w:ascii="Century Gothic" w:hAnsi="Century Gothic" w:cs="Century Gothic" w:eastAsia="Century Gothic"/>
                <w:sz w:val="20"/>
              </w:rPr>
              <w:t>▪</w:t>
              <w:tab/>
            </w:r>
            <w:r>
              <w:rPr>
                <w:rFonts w:ascii="Century Gothic" w:hAnsi="Century Gothic" w:cs="Century Gothic" w:eastAsia="Century Gothic"/>
                <w:b w:val="0"/>
                <w:i w:val="0"/>
                <w:sz w:val="20"/>
              </w:rPr>
              <w:t>Administración</w:t>
            </w:r>
          </w:p>
          <w:p>
            <w:pPr>
              <w:tabs>
                <w:tab w:pos="255" w:val="left"/>
              </w:tabs>
              <w:spacing w:before="0" w:after="0" w:line="240" w:lineRule="auto"/>
              <w:ind w:left="255" w:hanging="255"/>
              <w:jc w:val="left"/>
            </w:pPr>
            <w:r>
              <w:rPr>
                <w:rFonts w:ascii="Century Gothic" w:hAnsi="Century Gothic" w:cs="Century Gothic" w:eastAsia="Century Gothic"/>
                <w:sz w:val="20"/>
              </w:rPr>
              <w:t>▪</w:t>
              <w:tab/>
            </w:r>
            <w:r>
              <w:rPr>
                <w:rFonts w:ascii="Century Gothic" w:hAnsi="Century Gothic" w:cs="Century Gothic" w:eastAsia="Century Gothic"/>
                <w:b w:val="0"/>
                <w:i w:val="0"/>
                <w:sz w:val="20"/>
              </w:rPr>
              <w:t>Derecho</w:t>
            </w:r>
          </w:p>
          <w:p>
            <w:pPr>
              <w:tabs>
                <w:tab w:pos="255" w:val="left"/>
              </w:tabs>
              <w:spacing w:before="0" w:after="0" w:line="240" w:lineRule="auto"/>
              <w:ind w:left="255" w:hanging="255"/>
              <w:jc w:val="left"/>
            </w:pPr>
            <w:r>
              <w:rPr>
                <w:rFonts w:ascii="Century Gothic" w:hAnsi="Century Gothic" w:cs="Century Gothic" w:eastAsia="Century Gothic"/>
                <w:sz w:val="20"/>
              </w:rPr>
              <w:t>▪</w:t>
              <w:tab/>
            </w:r>
            <w:r>
              <w:rPr>
                <w:rFonts w:ascii="Century Gothic" w:hAnsi="Century Gothic" w:cs="Century Gothic" w:eastAsia="Century Gothic"/>
                <w:b w:val="0"/>
                <w:i w:val="0"/>
                <w:sz w:val="20"/>
              </w:rPr>
              <w:t>Economía</w:t>
            </w:r>
          </w:p>
          <w:p>
            <w:pPr>
              <w:tabs>
                <w:tab w:pos="255" w:val="left"/>
              </w:tabs>
              <w:spacing w:before="0" w:after="0" w:line="240" w:lineRule="auto"/>
              <w:ind w:left="255" w:hanging="255"/>
              <w:jc w:val="left"/>
            </w:pPr>
            <w:r>
              <w:rPr>
                <w:rFonts w:ascii="Century Gothic" w:hAnsi="Century Gothic" w:cs="Century Gothic" w:eastAsia="Century Gothic"/>
                <w:sz w:val="20"/>
              </w:rPr>
              <w:t>▪</w:t>
              <w:tab/>
            </w:r>
            <w:r>
              <w:rPr>
                <w:rFonts w:ascii="Century Gothic" w:hAnsi="Century Gothic" w:cs="Century Gothic" w:eastAsia="Century Gothic"/>
                <w:b w:val="0"/>
                <w:i w:val="0"/>
                <w:sz w:val="20"/>
              </w:rPr>
              <w:t>Matemáticas</w:t>
            </w:r>
          </w:p>
          <w:p>
            <w:pPr>
              <w:tabs>
                <w:tab w:pos="255" w:val="left"/>
              </w:tabs>
              <w:spacing w:before="0" w:after="0" w:line="240" w:lineRule="auto"/>
              <w:ind w:left="255" w:hanging="255"/>
              <w:jc w:val="left"/>
            </w:pPr>
            <w:r>
              <w:rPr>
                <w:rFonts w:ascii="Century Gothic" w:hAnsi="Century Gothic" w:cs="Century Gothic" w:eastAsia="Century Gothic"/>
                <w:sz w:val="20"/>
              </w:rPr>
              <w:t>▪</w:t>
              <w:tab/>
            </w:r>
            <w:r>
              <w:rPr>
                <w:rFonts w:ascii="Century Gothic" w:hAnsi="Century Gothic" w:cs="Century Gothic" w:eastAsia="Century Gothic"/>
                <w:b w:val="0"/>
                <w:i w:val="0"/>
                <w:sz w:val="20"/>
              </w:rPr>
              <w:t>Sostenibilidad</w:t>
            </w:r>
          </w:p>
        </w:tc>
      </w:tr>
      <w:tr>
        <w:tc>
          <w:tcPr>
            <w:tcW w:type="dxa" w:w="109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i w:val="0"/>
                <w:sz w:val="20"/>
              </w:rPr>
              <w:t>IES 3</w:t>
            </w:r>
          </w:p>
        </w:tc>
        <w:tc>
          <w:tcPr>
            <w:tcW w:type="dxa" w:w="359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Habilidades Profesionales (Desarrollo Profesional Inicial)</w:t>
            </w:r>
          </w:p>
        </w:tc>
        <w:tc>
          <w:tcPr>
            <w:tcW w:type="dxa" w:w="438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Formación integral en habilidades intelectuales, analíticas, tecnológicas, de comunicación y gerenciales.</w:t>
            </w:r>
          </w:p>
        </w:tc>
      </w:tr>
      <w:tr>
        <w:tc>
          <w:tcPr>
            <w:tcW w:type="dxa" w:w="109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i w:val="0"/>
                <w:sz w:val="20"/>
              </w:rPr>
              <w:t>IES 4</w:t>
            </w:r>
          </w:p>
        </w:tc>
        <w:tc>
          <w:tcPr>
            <w:tcW w:type="dxa" w:w="359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Valores, Ética y Actitudes Profesionales</w:t>
            </w:r>
          </w:p>
          <w:p>
            <w:pPr>
              <w:spacing w:before="0" w:after="0" w:line="240" w:lineRule="auto"/>
              <w:jc w:val="left"/>
            </w:pPr>
            <w:r>
              <w:rPr>
                <w:rFonts w:ascii="Century Gothic" w:hAnsi="Century Gothic" w:cs="Century Gothic" w:eastAsia="Century Gothic"/>
                <w:b w:val="0"/>
                <w:i w:val="0"/>
                <w:sz w:val="20"/>
              </w:rPr>
              <w:t>(Desarrollo Profesional Inicial)</w:t>
            </w:r>
          </w:p>
        </w:tc>
        <w:tc>
          <w:tcPr>
            <w:tcW w:type="dxa" w:w="438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Inclusión transversal y obligatoria de la Ética</w:t>
            </w:r>
          </w:p>
          <w:p>
            <w:pPr>
              <w:spacing w:before="0" w:after="0" w:line="240" w:lineRule="auto"/>
              <w:jc w:val="left"/>
            </w:pPr>
            <w:r>
              <w:rPr>
                <w:rFonts w:ascii="Century Gothic" w:hAnsi="Century Gothic" w:cs="Century Gothic" w:eastAsia="Century Gothic"/>
                <w:b w:val="0"/>
                <w:i w:val="0"/>
                <w:sz w:val="20"/>
              </w:rPr>
              <w:t>Profesional, bajo el Código Internacional de Ética del IESBA</w:t>
            </w:r>
          </w:p>
        </w:tc>
      </w:tr>
      <w:tr>
        <w:tc>
          <w:tcPr>
            <w:tcW w:type="dxa" w:w="109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i w:val="0"/>
                <w:sz w:val="20"/>
              </w:rPr>
              <w:t>IES 5</w:t>
            </w:r>
          </w:p>
        </w:tc>
        <w:tc>
          <w:tcPr>
            <w:tcW w:type="dxa" w:w="359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Requisitos de Experiencia Práctica</w:t>
            </w:r>
          </w:p>
          <w:p>
            <w:pPr>
              <w:spacing w:before="0" w:after="0" w:line="240" w:lineRule="auto"/>
              <w:jc w:val="left"/>
            </w:pPr>
            <w:r>
              <w:rPr>
                <w:rFonts w:ascii="Century Gothic" w:hAnsi="Century Gothic" w:cs="Century Gothic" w:eastAsia="Century Gothic"/>
                <w:b w:val="0"/>
                <w:i w:val="0"/>
                <w:sz w:val="20"/>
              </w:rPr>
              <w:t>(Desarrollo Profesional Inicial)</w:t>
            </w:r>
          </w:p>
        </w:tc>
        <w:tc>
          <w:tcPr>
            <w:tcW w:type="dxa" w:w="438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Incorporación de pasantías preprofesionales y laboratorios con datos reales.</w:t>
            </w:r>
          </w:p>
        </w:tc>
      </w:tr>
      <w:tr>
        <w:tc>
          <w:tcPr>
            <w:tcW w:type="dxa" w:w="109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i w:val="0"/>
                <w:sz w:val="20"/>
              </w:rPr>
              <w:t>IES 6</w:t>
            </w:r>
          </w:p>
        </w:tc>
        <w:tc>
          <w:tcPr>
            <w:tcW w:type="dxa" w:w="359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Evaluación de Capacidades y Competencias Profesionales</w:t>
            </w:r>
          </w:p>
        </w:tc>
        <w:tc>
          <w:tcPr>
            <w:tcW w:type="dxa" w:w="438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Sistema de evaluación auténtica mediante portafolios, simuladores y rúbricas.</w:t>
            </w:r>
          </w:p>
        </w:tc>
      </w:tr>
      <w:tr>
        <w:tc>
          <w:tcPr>
            <w:tcW w:type="dxa" w:w="109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i w:val="0"/>
                <w:sz w:val="20"/>
              </w:rPr>
              <w:t>IES 7</w:t>
            </w:r>
          </w:p>
        </w:tc>
        <w:tc>
          <w:tcPr>
            <w:tcW w:type="dxa" w:w="359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Desarrollo Profesional Continuo</w:t>
            </w:r>
          </w:p>
        </w:tc>
        <w:tc>
          <w:tcPr>
            <w:tcW w:type="dxa" w:w="438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Articulación directa de la formación de Grado con el Postgrado (Diplomados y Maestrías); y las</w:t>
            </w:r>
          </w:p>
          <w:p>
            <w:pPr>
              <w:spacing w:before="0" w:after="0" w:line="240" w:lineRule="auto"/>
              <w:jc w:val="left"/>
            </w:pPr>
            <w:r>
              <w:rPr>
                <w:rFonts w:ascii="Century Gothic" w:hAnsi="Century Gothic" w:cs="Century Gothic" w:eastAsia="Century Gothic"/>
                <w:b w:val="0"/>
                <w:i w:val="0"/>
                <w:sz w:val="20"/>
              </w:rPr>
              <w:t>certificaciones profesionales.</w:t>
            </w:r>
          </w:p>
        </w:tc>
      </w:tr>
      <w:tr>
        <w:tc>
          <w:tcPr>
            <w:tcW w:type="dxa" w:w="109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i w:val="0"/>
                <w:sz w:val="20"/>
              </w:rPr>
              <w:t>IES 8</w:t>
            </w:r>
          </w:p>
        </w:tc>
        <w:tc>
          <w:tcPr>
            <w:tcW w:type="dxa" w:w="359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Requisitos de competencia para Contadores Profesionales</w:t>
            </w:r>
          </w:p>
        </w:tc>
        <w:tc>
          <w:tcPr>
            <w:tcW w:type="dxa" w:w="438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Formación especialidades en servicios de aseguramiento mediante los pronunciamientos profesionales locales e internacionales.</w:t>
            </w:r>
          </w:p>
        </w:tc>
      </w:tr>
    </w:tbl>
    <w:p>
      <w:pPr>
        <w:spacing w:before="0" w:after="120" w:line="240" w:lineRule="auto"/>
        <w:jc w:val="left"/>
      </w:pPr>
    </w:p>
    <w:p>
      <w:pPr>
        <w:numPr>
          <w:ilvl w:val="0"/>
          <w:numId w:val="922"/>
        </w:numPr>
        <w:spacing w:before="0" w:after="160" w:line="240" w:lineRule="auto"/>
        <w:jc w:val="both"/>
      </w:pPr>
      <w:r>
        <w:rPr>
          <w:rFonts w:ascii="Century Gothic" w:hAnsi="Century Gothic" w:cs="Century Gothic" w:eastAsia="Century Gothic"/>
          <w:b/>
          <w:i w:val="0"/>
          <w:sz w:val="20"/>
        </w:rPr>
        <w:t>IES 1 Requisitos de Ingreso al Programa:</w:t>
      </w:r>
      <w:r>
        <w:rPr>
          <w:rFonts w:ascii="Century Gothic" w:hAnsi="Century Gothic" w:cs="Century Gothic" w:eastAsia="Century Gothic"/>
          <w:b w:val="0"/>
          <w:i w:val="0"/>
          <w:sz w:val="20"/>
        </w:rPr>
        <w:t xml:space="preserve"> Garantiza la equidad, transparencia y meritocracia en los procesos de selección mediante el Pre-Facultativo y el Examen de Suficiencia Académica.</w:t>
      </w:r>
    </w:p>
    <w:p>
      <w:pPr>
        <w:numPr>
          <w:ilvl w:val="0"/>
          <w:numId w:val="922"/>
        </w:numPr>
        <w:spacing w:before="0" w:after="160" w:line="240" w:lineRule="auto"/>
        <w:jc w:val="both"/>
      </w:pPr>
      <w:r>
        <w:rPr>
          <w:rFonts w:ascii="Century Gothic" w:hAnsi="Century Gothic" w:cs="Century Gothic" w:eastAsia="Century Gothic"/>
          <w:b/>
          <w:i w:val="0"/>
          <w:sz w:val="20"/>
        </w:rPr>
        <w:t>IES 2 Contenido de los Programas de Educación Profesional:</w:t>
      </w:r>
      <w:r>
        <w:rPr>
          <w:rFonts w:ascii="Century Gothic" w:hAnsi="Century Gothic" w:cs="Century Gothic" w:eastAsia="Century Gothic"/>
          <w:b w:val="0"/>
          <w:i w:val="0"/>
          <w:sz w:val="20"/>
        </w:rPr>
        <w:t xml:space="preserve"> Estructura el plan en áreas de conocimiento técnico (Información financiera, información no financiera, Aseguramiento, Finanzas, Gobierno Corporativo, Tecnología de la información, Sostenibilidad y Matemáticas) y áreas organizacionales o de negocios (Economía, Administración, Derecho).</w:t>
      </w:r>
    </w:p>
    <w:p>
      <w:pPr>
        <w:numPr>
          <w:ilvl w:val="0"/>
          <w:numId w:val="922"/>
        </w:numPr>
        <w:spacing w:before="0" w:after="160" w:line="240" w:lineRule="auto"/>
        <w:jc w:val="both"/>
      </w:pPr>
      <w:r>
        <w:rPr>
          <w:rFonts w:ascii="Century Gothic" w:hAnsi="Century Gothic" w:cs="Century Gothic" w:eastAsia="Century Gothic"/>
          <w:b/>
          <w:i w:val="0"/>
          <w:sz w:val="20"/>
        </w:rPr>
        <w:t>IES 3 Habilidades Profesionales:</w:t>
      </w:r>
      <w:r>
        <w:rPr>
          <w:rFonts w:ascii="Century Gothic" w:hAnsi="Century Gothic" w:cs="Century Gothic" w:eastAsia="Century Gothic"/>
          <w:b w:val="0"/>
          <w:i w:val="0"/>
          <w:sz w:val="20"/>
        </w:rPr>
        <w:t xml:space="preserve"> Desarrolla competencias intelectuales (resolución de problemas, juicio crítico), técnicas (IA, analítica de datos), interpersonales (trabajo en equipo) y de comunicación (español e inglés técnico).</w:t>
      </w:r>
    </w:p>
    <w:p>
      <w:pPr>
        <w:numPr>
          <w:ilvl w:val="0"/>
          <w:numId w:val="922"/>
        </w:numPr>
        <w:spacing w:before="0" w:after="160" w:line="240" w:lineRule="auto"/>
        <w:jc w:val="both"/>
      </w:pPr>
      <w:r>
        <w:rPr>
          <w:rFonts w:ascii="Century Gothic" w:hAnsi="Century Gothic" w:cs="Century Gothic" w:eastAsia="Century Gothic"/>
          <w:b/>
          <w:i w:val="0"/>
          <w:sz w:val="20"/>
        </w:rPr>
        <w:t>IES 4 Valores, Ética y Actitudes Profesionales:</w:t>
      </w:r>
      <w:r>
        <w:rPr>
          <w:rFonts w:ascii="Century Gothic" w:hAnsi="Century Gothic" w:cs="Century Gothic" w:eastAsia="Century Gothic"/>
          <w:b w:val="0"/>
          <w:i w:val="0"/>
          <w:sz w:val="20"/>
        </w:rPr>
        <w:t xml:space="preserve"> Internaliza los cinco principios fundamentales del Código Internacional de Ética del IESBA: Integridad, Objetividad, Competencia y Diligencia Profesional, Confidencialidad y Comportamiento Profesional.</w:t>
      </w:r>
    </w:p>
    <w:p>
      <w:pPr>
        <w:numPr>
          <w:ilvl w:val="0"/>
          <w:numId w:val="922"/>
        </w:numPr>
        <w:spacing w:before="0" w:after="160" w:line="240" w:lineRule="auto"/>
        <w:jc w:val="both"/>
      </w:pPr>
      <w:r>
        <w:rPr>
          <w:rFonts w:ascii="Century Gothic" w:hAnsi="Century Gothic" w:cs="Century Gothic" w:eastAsia="Century Gothic"/>
          <w:b/>
          <w:i w:val="0"/>
          <w:sz w:val="20"/>
        </w:rPr>
        <w:t>IES 5 Requisitos de Experiencia Práctica:</w:t>
      </w:r>
      <w:r>
        <w:rPr>
          <w:rFonts w:ascii="Century Gothic" w:hAnsi="Century Gothic" w:cs="Century Gothic" w:eastAsia="Century Gothic"/>
          <w:b w:val="0"/>
          <w:i w:val="0"/>
          <w:sz w:val="20"/>
        </w:rPr>
        <w:t xml:space="preserve"> Integra el aprendizaje situado a través de pasantías curriculares, talleres de práctica profesional y resolución de casos reales del sector público y empresarial.</w:t>
      </w:r>
    </w:p>
    <w:p>
      <w:pPr>
        <w:numPr>
          <w:ilvl w:val="0"/>
          <w:numId w:val="922"/>
        </w:numPr>
        <w:spacing w:before="0" w:after="160" w:line="240" w:lineRule="auto"/>
        <w:jc w:val="both"/>
      </w:pPr>
      <w:r>
        <w:rPr>
          <w:rFonts w:ascii="Century Gothic" w:hAnsi="Century Gothic" w:cs="Century Gothic" w:eastAsia="Century Gothic"/>
          <w:b/>
          <w:i w:val="0"/>
          <w:sz w:val="20"/>
        </w:rPr>
        <w:t>IES 6 Evaluación de Capacidades y Competencias Profesionales:</w:t>
      </w:r>
      <w:r>
        <w:rPr>
          <w:rFonts w:ascii="Century Gothic" w:hAnsi="Century Gothic" w:cs="Century Gothic" w:eastAsia="Century Gothic"/>
          <w:b w:val="0"/>
          <w:i w:val="0"/>
          <w:sz w:val="20"/>
        </w:rPr>
        <w:t xml:space="preserve"> Exige la demostración verificable del logro de los resultados de aprendizaje mediante instrumentos de evaluación auténtica ex-ante y de egreso.</w:t>
      </w:r>
    </w:p>
    <w:p>
      <w:pPr>
        <w:numPr>
          <w:ilvl w:val="0"/>
          <w:numId w:val="922"/>
        </w:numPr>
        <w:spacing w:before="0" w:after="160" w:line="240" w:lineRule="auto"/>
        <w:jc w:val="both"/>
      </w:pPr>
      <w:r>
        <w:rPr>
          <w:rFonts w:ascii="Century Gothic" w:hAnsi="Century Gothic" w:cs="Century Gothic" w:eastAsia="Century Gothic"/>
          <w:b/>
          <w:i w:val="0"/>
          <w:sz w:val="20"/>
        </w:rPr>
        <w:t>IES 7 Desarrollo Profesional Continuo:</w:t>
      </w:r>
      <w:r>
        <w:rPr>
          <w:rFonts w:ascii="Century Gothic" w:hAnsi="Century Gothic" w:cs="Century Gothic" w:eastAsia="Century Gothic"/>
          <w:b w:val="0"/>
          <w:i w:val="0"/>
          <w:sz w:val="20"/>
        </w:rPr>
        <w:t xml:space="preserve"> Prepara al egresado para el autoaprendizaje y facilita el acceso articulado a programas de diplomado, maestría y certificaciones profesionales.</w:t>
      </w:r>
    </w:p>
    <w:p>
      <w:pPr>
        <w:numPr>
          <w:ilvl w:val="0"/>
          <w:numId w:val="922"/>
        </w:numPr>
        <w:spacing w:before="0" w:after="200" w:line="240" w:lineRule="auto"/>
        <w:jc w:val="both"/>
      </w:pPr>
      <w:r>
        <w:rPr>
          <w:rFonts w:ascii="Century Gothic" w:hAnsi="Century Gothic" w:cs="Century Gothic" w:eastAsia="Century Gothic"/>
          <w:b/>
          <w:i w:val="0"/>
          <w:sz w:val="20"/>
        </w:rPr>
        <w:t>IES 8 (Competencias de Auditores Profesionales):</w:t>
      </w:r>
      <w:r>
        <w:rPr>
          <w:rFonts w:ascii="Century Gothic" w:hAnsi="Century Gothic" w:cs="Century Gothic" w:eastAsia="Century Gothic"/>
          <w:b w:val="0"/>
          <w:i w:val="0"/>
          <w:sz w:val="20"/>
        </w:rPr>
        <w:t xml:space="preserve"> Define el nivel avanzado requerido para la emisión de opiniones e informes de aseguramiento financiero, gubernamental, ambiental y de sistemas.</w:t>
      </w:r>
    </w:p>
    <w:p>
      <w:pPr>
        <w:pageBreakBefore/>
        <w:spacing w:before="0" w:after="0" w:line="240" w:lineRule="auto"/>
        <w:jc w:val="center"/>
      </w:pPr>
      <w:r>
        <w:rPr>
          <w:rFonts w:ascii="Century Gothic" w:hAnsi="Century Gothic" w:cs="Century Gothic" w:eastAsia="Century Gothic"/>
          <w:b/>
          <w:i w:val="0"/>
          <w:sz w:val="28"/>
        </w:rPr>
        <w:t>Diseño Curricular</w:t>
      </w:r>
    </w:p>
    <w:p>
      <w:pPr>
        <w:spacing w:before="0" w:after="360" w:line="240" w:lineRule="auto"/>
        <w:jc w:val="center"/>
      </w:pPr>
      <w:r>
        <w:rPr>
          <w:rFonts w:ascii="Century Gothic" w:hAnsi="Century Gothic" w:cs="Century Gothic" w:eastAsia="Century Gothic"/>
          <w:b/>
          <w:i w:val="0"/>
          <w:sz w:val="28"/>
        </w:rPr>
        <w:t>Aspectos Académicos</w:t>
      </w:r>
    </w:p>
    <w:p>
      <w:pPr>
        <w:keepNext/>
        <w:tabs>
          <w:tab w:pos="709" w:val="left"/>
        </w:tabs>
        <w:spacing w:before="160" w:after="200" w:line="240" w:lineRule="auto"/>
        <w:ind w:left="709" w:hanging="709"/>
        <w:jc w:val="left"/>
      </w:pPr>
      <w:r>
        <w:rPr>
          <w:rFonts w:ascii="Century Gothic" w:hAnsi="Century Gothic" w:cs="Century Gothic" w:eastAsia="Century Gothic"/>
          <w:b/>
          <w:i w:val="0"/>
          <w:sz w:val="24"/>
        </w:rPr>
        <w:t>4.1</w:t>
        <w:tab/>
      </w:r>
      <w:r>
        <w:rPr>
          <w:rFonts w:ascii="Century Gothic" w:hAnsi="Century Gothic" w:cs="Century Gothic" w:eastAsia="Century Gothic"/>
          <w:b/>
          <w:i w:val="0"/>
          <w:sz w:val="24"/>
        </w:rPr>
        <w:t>Fundamentos curriculares</w:t>
      </w:r>
    </w:p>
    <w:p>
      <w:pPr>
        <w:keepNext/>
        <w:tabs>
          <w:tab w:pos="709" w:val="left"/>
        </w:tabs>
        <w:spacing w:before="120" w:after="200" w:line="240" w:lineRule="auto"/>
        <w:ind w:left="709" w:hanging="709"/>
        <w:jc w:val="left"/>
      </w:pPr>
      <w:r>
        <w:rPr>
          <w:rFonts w:ascii="Century Gothic" w:hAnsi="Century Gothic" w:cs="Century Gothic" w:eastAsia="Century Gothic"/>
          <w:b/>
          <w:i w:val="0"/>
          <w:sz w:val="24"/>
        </w:rPr>
        <w:t>4.1.1</w:t>
        <w:tab/>
      </w:r>
      <w:r>
        <w:rPr>
          <w:rFonts w:ascii="Century Gothic" w:hAnsi="Century Gothic" w:cs="Century Gothic" w:eastAsia="Century Gothic"/>
          <w:b/>
          <w:i w:val="0"/>
          <w:sz w:val="24"/>
        </w:rPr>
        <w:t>Fundamentos epistemológicos</w:t>
      </w:r>
    </w:p>
    <w:p>
      <w:pPr>
        <w:keepNext/>
        <w:tabs>
          <w:tab w:pos="992" w:val="left"/>
        </w:tabs>
        <w:spacing w:before="80" w:after="200" w:line="240" w:lineRule="auto"/>
        <w:ind w:left="992" w:hanging="992"/>
        <w:jc w:val="left"/>
      </w:pPr>
      <w:r>
        <w:rPr>
          <w:rFonts w:ascii="Century Gothic" w:hAnsi="Century Gothic" w:cs="Century Gothic" w:eastAsia="Century Gothic"/>
          <w:b/>
          <w:i w:val="0"/>
          <w:sz w:val="22"/>
        </w:rPr>
        <w:t>4.1.1.1</w:t>
        <w:tab/>
      </w:r>
      <w:r>
        <w:rPr>
          <w:rFonts w:ascii="Century Gothic" w:hAnsi="Century Gothic" w:cs="Century Gothic" w:eastAsia="Century Gothic"/>
          <w:b/>
          <w:i w:val="0"/>
          <w:sz w:val="22"/>
        </w:rPr>
        <w:t>Fundamentación Epistemológica: El Enfoque del Pensamiento Complejo</w:t>
      </w:r>
    </w:p>
    <w:p>
      <w:pPr>
        <w:spacing w:before="0" w:after="200" w:line="240" w:lineRule="auto"/>
        <w:jc w:val="both"/>
      </w:pPr>
      <w:r>
        <w:rPr>
          <w:rFonts w:ascii="Century Gothic" w:hAnsi="Century Gothic" w:cs="Century Gothic" w:eastAsia="Century Gothic"/>
          <w:b w:val="0"/>
          <w:i w:val="0"/>
          <w:sz w:val="20"/>
        </w:rPr>
        <w:t>Para responder a las demandas de la economía digital (IA generativa, analítica predictiva, ciberseguridad) y a los requerimientos de reportes de sostenibilidad (normas NIIF S1 y S2 del ISSB), la contabilidad abandona la visión reduccionista del registro cuantitativo aislado e incorpora la teoría del pensamiento complejo propuesta por Edgar Morin.</w:t>
      </w:r>
    </w:p>
    <w:p>
      <w:pPr>
        <w:spacing w:before="0" w:after="200" w:line="240" w:lineRule="auto"/>
        <w:jc w:val="both"/>
      </w:pPr>
      <w:r>
        <w:rPr>
          <w:rFonts w:ascii="Century Gothic" w:hAnsi="Century Gothic" w:cs="Century Gothic" w:eastAsia="Century Gothic"/>
          <w:b w:val="0"/>
          <w:i w:val="0"/>
          <w:sz w:val="20"/>
        </w:rPr>
        <w:t>Conforme a este enfoque epistemológico, el conocimiento contable moderno articula cuatro dimensiones interrelacionadas:</w:t>
      </w:r>
    </w:p>
    <w:p>
      <w:pPr>
        <w:numPr>
          <w:ilvl w:val="0"/>
          <w:numId w:val="932"/>
        </w:numPr>
        <w:spacing w:before="0" w:after="160" w:line="240" w:lineRule="auto"/>
        <w:jc w:val="both"/>
      </w:pPr>
      <w:r>
        <w:rPr>
          <w:rFonts w:ascii="Century Gothic" w:hAnsi="Century Gothic" w:cs="Century Gothic" w:eastAsia="Century Gothic"/>
          <w:b/>
          <w:i w:val="0"/>
          <w:sz w:val="20"/>
        </w:rPr>
        <w:t>El Contexto:</w:t>
      </w:r>
      <w:r>
        <w:rPr>
          <w:rFonts w:ascii="Century Gothic" w:hAnsi="Century Gothic" w:cs="Century Gothic" w:eastAsia="Century Gothic"/>
          <w:b w:val="0"/>
          <w:i w:val="0"/>
          <w:sz w:val="20"/>
        </w:rPr>
        <w:t xml:space="preserve"> La información económica y financiera carece de valor si no se analiza dentro de su entorno socioeconómico, normativo e institucional específico.</w:t>
      </w:r>
    </w:p>
    <w:p>
      <w:pPr>
        <w:numPr>
          <w:ilvl w:val="0"/>
          <w:numId w:val="932"/>
        </w:numPr>
        <w:spacing w:before="0" w:after="160" w:line="240" w:lineRule="auto"/>
        <w:jc w:val="both"/>
      </w:pPr>
      <w:r>
        <w:rPr>
          <w:rFonts w:ascii="Century Gothic" w:hAnsi="Century Gothic" w:cs="Century Gothic" w:eastAsia="Century Gothic"/>
          <w:b/>
          <w:i w:val="0"/>
          <w:sz w:val="20"/>
        </w:rPr>
        <w:t>Lo Global:</w:t>
      </w:r>
      <w:r>
        <w:rPr>
          <w:rFonts w:ascii="Century Gothic" w:hAnsi="Century Gothic" w:cs="Century Gothic" w:eastAsia="Century Gothic"/>
          <w:b w:val="0"/>
          <w:i w:val="0"/>
          <w:sz w:val="20"/>
        </w:rPr>
        <w:t xml:space="preserve"> La organización constituye un sistema complejo donde las transacciones individuales no pueden evaluarse aisladas del todo organizacional y su interconexión con mercados globales.</w:t>
      </w:r>
    </w:p>
    <w:p>
      <w:pPr>
        <w:numPr>
          <w:ilvl w:val="0"/>
          <w:numId w:val="932"/>
        </w:numPr>
        <w:spacing w:before="0" w:after="160" w:line="240" w:lineRule="auto"/>
        <w:jc w:val="both"/>
      </w:pPr>
      <w:r>
        <w:rPr>
          <w:rFonts w:ascii="Century Gothic" w:hAnsi="Century Gothic" w:cs="Century Gothic" w:eastAsia="Century Gothic"/>
          <w:b/>
          <w:i w:val="0"/>
          <w:sz w:val="20"/>
        </w:rPr>
        <w:t>Lo Multidimensional:</w:t>
      </w:r>
      <w:r>
        <w:rPr>
          <w:rFonts w:ascii="Century Gothic" w:hAnsi="Century Gothic" w:cs="Century Gothic" w:eastAsia="Century Gothic"/>
          <w:b w:val="0"/>
          <w:i w:val="0"/>
          <w:sz w:val="20"/>
        </w:rPr>
        <w:t xml:space="preserve"> La realidad empresarial integra dimensiones éticas, ambientales, financieras, jurídicas, tecnológicas y sociológicas.</w:t>
      </w:r>
    </w:p>
    <w:p>
      <w:pPr>
        <w:numPr>
          <w:ilvl w:val="0"/>
          <w:numId w:val="932"/>
        </w:numPr>
        <w:spacing w:before="0" w:after="200" w:line="240" w:lineRule="auto"/>
        <w:jc w:val="both"/>
      </w:pPr>
      <w:r>
        <w:rPr>
          <w:rFonts w:ascii="Century Gothic" w:hAnsi="Century Gothic" w:cs="Century Gothic" w:eastAsia="Century Gothic"/>
          <w:b/>
          <w:i w:val="0"/>
          <w:sz w:val="20"/>
        </w:rPr>
        <w:t>Lo Complejo:</w:t>
      </w:r>
      <w:r>
        <w:rPr>
          <w:rFonts w:ascii="Century Gothic" w:hAnsi="Century Gothic" w:cs="Century Gothic" w:eastAsia="Century Gothic"/>
          <w:b w:val="0"/>
          <w:i w:val="0"/>
          <w:sz w:val="20"/>
        </w:rPr>
        <w:t xml:space="preserve"> Frente a la incertidumbre y el cambio constante, el Contador Público Autorizado aplica el juicio profesional para unir la diversidad de datos en diagnósticos coherentes para la toma de decisiones.</w:t>
      </w:r>
    </w:p>
    <w:p>
      <w:pPr>
        <w:keepNext/>
        <w:tabs>
          <w:tab w:pos="709" w:val="left"/>
        </w:tabs>
        <w:spacing w:before="120" w:after="200" w:line="240" w:lineRule="auto"/>
        <w:ind w:left="709" w:hanging="709"/>
        <w:jc w:val="left"/>
      </w:pPr>
      <w:r>
        <w:rPr>
          <w:rFonts w:ascii="Century Gothic" w:hAnsi="Century Gothic" w:cs="Century Gothic" w:eastAsia="Century Gothic"/>
          <w:b/>
          <w:i w:val="0"/>
          <w:sz w:val="24"/>
        </w:rPr>
        <w:t>4.1.2</w:t>
        <w:tab/>
      </w:r>
      <w:r>
        <w:rPr>
          <w:rFonts w:ascii="Century Gothic" w:hAnsi="Century Gothic" w:cs="Century Gothic" w:eastAsia="Century Gothic"/>
          <w:b/>
          <w:i w:val="0"/>
          <w:sz w:val="24"/>
        </w:rPr>
        <w:t>Fundamentos sociológicos antropológicos</w:t>
      </w:r>
    </w:p>
    <w:p>
      <w:pPr>
        <w:keepNext/>
        <w:tabs>
          <w:tab w:pos="992" w:val="left"/>
        </w:tabs>
        <w:spacing w:before="80" w:after="200" w:line="240" w:lineRule="auto"/>
        <w:ind w:left="992" w:hanging="992"/>
        <w:jc w:val="left"/>
      </w:pPr>
      <w:r>
        <w:rPr>
          <w:rFonts w:ascii="Century Gothic" w:hAnsi="Century Gothic" w:cs="Century Gothic" w:eastAsia="Century Gothic"/>
          <w:b/>
          <w:i w:val="0"/>
          <w:sz w:val="22"/>
        </w:rPr>
        <w:t>4.1.2.1</w:t>
        <w:tab/>
      </w:r>
      <w:r>
        <w:rPr>
          <w:rFonts w:ascii="Century Gothic" w:hAnsi="Century Gothic" w:cs="Century Gothic" w:eastAsia="Century Gothic"/>
          <w:b/>
          <w:i w:val="0"/>
          <w:sz w:val="22"/>
        </w:rPr>
        <w:t>Fundamentación Sociocultural y Pertinencia de Entorno</w:t>
      </w:r>
    </w:p>
    <w:p>
      <w:pPr>
        <w:spacing w:before="0" w:after="200" w:line="240" w:lineRule="auto"/>
        <w:jc w:val="both"/>
      </w:pPr>
      <w:r>
        <w:rPr>
          <w:rFonts w:ascii="Century Gothic" w:hAnsi="Century Gothic" w:cs="Century Gothic" w:eastAsia="Century Gothic"/>
          <w:b w:val="0"/>
          <w:i w:val="0"/>
          <w:sz w:val="20"/>
        </w:rPr>
        <w:t>El rediseño curricular responde de manera directa a la brecha existente entre la formación universitaria tradicional y las demandas reales del mercado laboral boliviano e internacional:</w:t>
      </w:r>
    </w:p>
    <w:p>
      <w:pPr>
        <w:numPr>
          <w:ilvl w:val="0"/>
          <w:numId w:val="932"/>
        </w:numPr>
        <w:spacing w:before="0" w:after="160" w:line="240" w:lineRule="auto"/>
        <w:jc w:val="both"/>
      </w:pPr>
      <w:r>
        <w:rPr>
          <w:rFonts w:ascii="Century Gothic" w:hAnsi="Century Gothic" w:cs="Century Gothic" w:eastAsia="Century Gothic"/>
          <w:b/>
          <w:i w:val="0"/>
          <w:sz w:val="20"/>
        </w:rPr>
        <w:t>Transformación Digital:</w:t>
      </w:r>
      <w:r>
        <w:rPr>
          <w:rFonts w:ascii="Century Gothic" w:hAnsi="Century Gothic" w:cs="Century Gothic" w:eastAsia="Century Gothic"/>
          <w:b w:val="0"/>
          <w:i w:val="0"/>
          <w:sz w:val="20"/>
        </w:rPr>
        <w:t xml:space="preserve"> El estudio Ipsos CIESMORI (2025) identifica una brecha de competencia tecnológica del 93% en egresados contables. El World Economic Forum (WEF 2025) ubica a la IA y el Big Data como la habilidad de mayor crecimiento profesional.</w:t>
      </w:r>
    </w:p>
    <w:p>
      <w:pPr>
        <w:numPr>
          <w:ilvl w:val="0"/>
          <w:numId w:val="932"/>
        </w:numPr>
        <w:spacing w:before="0" w:after="160" w:line="240" w:lineRule="auto"/>
        <w:jc w:val="both"/>
      </w:pPr>
      <w:r>
        <w:rPr>
          <w:rFonts w:ascii="Century Gothic" w:hAnsi="Century Gothic" w:cs="Century Gothic" w:eastAsia="Century Gothic"/>
          <w:b/>
          <w:i w:val="0"/>
          <w:sz w:val="20"/>
        </w:rPr>
        <w:t>Diversificación del Mercado:</w:t>
      </w:r>
      <w:r>
        <w:rPr>
          <w:rFonts w:ascii="Century Gothic" w:hAnsi="Century Gothic" w:cs="Century Gothic" w:eastAsia="Century Gothic"/>
          <w:b w:val="0"/>
          <w:i w:val="0"/>
          <w:sz w:val="20"/>
        </w:rPr>
        <w:t xml:space="preserve"> El 46% de los egresados percibe saturación en el perfil tradicional limitado a la auditoría financiera clásica. En contraste, las firmas líderes generan más del 80% de sus ingresos en consultoría de gestión, gestión integral de riesgos, asesoría tributaria y aseguramiento de sostenibilidad.</w:t>
      </w:r>
    </w:p>
    <w:p>
      <w:pPr>
        <w:numPr>
          <w:ilvl w:val="0"/>
          <w:numId w:val="932"/>
        </w:numPr>
        <w:spacing w:before="0" w:after="160" w:line="240" w:lineRule="auto"/>
        <w:jc w:val="both"/>
      </w:pPr>
      <w:r>
        <w:rPr>
          <w:rFonts w:ascii="Century Gothic" w:hAnsi="Century Gothic" w:cs="Century Gothic" w:eastAsia="Century Gothic"/>
          <w:b/>
          <w:i w:val="0"/>
          <w:sz w:val="20"/>
        </w:rPr>
        <w:t>Cultura Ética:</w:t>
      </w:r>
      <w:r>
        <w:rPr>
          <w:rFonts w:ascii="Century Gothic" w:hAnsi="Century Gothic" w:cs="Century Gothic" w:eastAsia="Century Gothic"/>
          <w:b w:val="0"/>
          <w:i w:val="0"/>
          <w:sz w:val="20"/>
        </w:rPr>
        <w:t xml:space="preserve"> El diagnóstico FODA (IICCFA 2025) revela que el 83% de los estudiantes identifica la crisis de integridad como una debilidad del entorno y un 82% demanda la enseñanza obligatoria de la Ética Contable Aplicada.</w:t>
      </w:r>
    </w:p>
    <w:p>
      <w:pPr>
        <w:numPr>
          <w:ilvl w:val="0"/>
          <w:numId w:val="932"/>
        </w:numPr>
        <w:spacing w:before="0" w:after="200" w:line="240" w:lineRule="auto"/>
        <w:jc w:val="both"/>
      </w:pPr>
      <w:r>
        <w:rPr>
          <w:rFonts w:ascii="Century Gothic" w:hAnsi="Century Gothic" w:cs="Century Gothic" w:eastAsia="Century Gothic"/>
          <w:b/>
          <w:i w:val="0"/>
          <w:sz w:val="20"/>
        </w:rPr>
        <w:t>Práctica Aplicada e Internacionalización:</w:t>
      </w:r>
      <w:r>
        <w:rPr>
          <w:rFonts w:ascii="Century Gothic" w:hAnsi="Century Gothic" w:cs="Century Gothic" w:eastAsia="Century Gothic"/>
          <w:b w:val="0"/>
          <w:i w:val="0"/>
          <w:sz w:val="20"/>
        </w:rPr>
        <w:t xml:space="preserve"> La encuesta del Banco Interamericano de Desarrollo (BID 2022) señala la falta de experiencia práctica como la principal barrera de contratación (25%), mientras que el 88% de los estudiantes de la UMSA exige pasantías preprofesionales e inglés técnico contable.</w:t>
      </w:r>
    </w:p>
    <w:p>
      <w:pPr>
        <w:keepNext/>
        <w:tabs>
          <w:tab w:pos="709" w:val="left"/>
        </w:tabs>
        <w:spacing w:before="120" w:after="200" w:line="240" w:lineRule="auto"/>
        <w:ind w:left="709" w:hanging="709"/>
        <w:jc w:val="left"/>
      </w:pPr>
      <w:r>
        <w:rPr>
          <w:rFonts w:ascii="Century Gothic" w:hAnsi="Century Gothic" w:cs="Century Gothic" w:eastAsia="Century Gothic"/>
          <w:b/>
          <w:i w:val="0"/>
          <w:sz w:val="24"/>
        </w:rPr>
        <w:t>4.1.4</w:t>
        <w:tab/>
      </w:r>
      <w:r>
        <w:rPr>
          <w:rFonts w:ascii="Century Gothic" w:hAnsi="Century Gothic" w:cs="Century Gothic" w:eastAsia="Century Gothic"/>
          <w:b/>
          <w:i w:val="0"/>
          <w:sz w:val="24"/>
        </w:rPr>
        <w:t>Fundamentos educativos</w:t>
      </w:r>
    </w:p>
    <w:p>
      <w:pPr>
        <w:keepNext/>
        <w:tabs>
          <w:tab w:pos="992" w:val="left"/>
        </w:tabs>
        <w:spacing w:before="80" w:after="200" w:line="240" w:lineRule="auto"/>
        <w:ind w:left="992" w:hanging="992"/>
        <w:jc w:val="left"/>
      </w:pPr>
      <w:r>
        <w:rPr>
          <w:rFonts w:ascii="Century Gothic" w:hAnsi="Century Gothic" w:cs="Century Gothic" w:eastAsia="Century Gothic"/>
          <w:b/>
          <w:i w:val="0"/>
          <w:sz w:val="22"/>
        </w:rPr>
        <w:t>4.1.4.1</w:t>
        <w:tab/>
      </w:r>
      <w:r>
        <w:rPr>
          <w:rFonts w:ascii="Century Gothic" w:hAnsi="Century Gothic" w:cs="Century Gothic" w:eastAsia="Century Gothic"/>
          <w:b/>
          <w:i w:val="0"/>
          <w:sz w:val="22"/>
        </w:rPr>
        <w:t>Fundamentación Pedagógica (Modelo Educativo por Competencias)</w:t>
      </w:r>
    </w:p>
    <w:p>
      <w:pPr>
        <w:keepNext/>
        <w:spacing w:before="40" w:after="200" w:line="240" w:lineRule="auto"/>
        <w:jc w:val="left"/>
      </w:pPr>
      <w:r>
        <w:rPr>
          <w:rFonts w:ascii="Century Gothic" w:hAnsi="Century Gothic" w:cs="Century Gothic" w:eastAsia="Century Gothic"/>
          <w:b/>
          <w:i w:val="0"/>
          <w:sz w:val="22"/>
        </w:rPr>
        <w:t>Marco Normativo Pedagógico</w:t>
      </w:r>
    </w:p>
    <w:p>
      <w:pPr>
        <w:spacing w:before="0" w:after="200" w:line="240" w:lineRule="auto"/>
        <w:jc w:val="both"/>
      </w:pPr>
      <w:r>
        <w:rPr>
          <w:rFonts w:ascii="Century Gothic" w:hAnsi="Century Gothic" w:cs="Century Gothic" w:eastAsia="Century Gothic"/>
          <w:b w:val="0"/>
          <w:i w:val="0"/>
          <w:sz w:val="20"/>
        </w:rPr>
        <w:t xml:space="preserve">En cumplimiento del Artículo 8 del Reglamento de Innovación Curricular de la UMSA (Resolución HCU Nº 032/2025) y las resoluciones de la III-XIII Reunión Sectorial de Carreras de Contaduría Pública del SUB (Resolución Nº 07/2024 de la VI Conferencia Nacional de Universidades), el Plan de Estudios adopta un </w:t>
      </w:r>
      <w:r>
        <w:rPr>
          <w:rFonts w:ascii="Century Gothic" w:hAnsi="Century Gothic" w:cs="Century Gothic" w:eastAsia="Century Gothic"/>
          <w:b/>
          <w:i w:val="0"/>
          <w:sz w:val="20"/>
        </w:rPr>
        <w:t>modelo pedagógico centrado en competencias y aprendizaje situado</w:t>
      </w:r>
      <w:r>
        <w:rPr>
          <w:rFonts w:ascii="Century Gothic" w:hAnsi="Century Gothic" w:cs="Century Gothic" w:eastAsia="Century Gothic"/>
          <w:b w:val="0"/>
          <w:i w:val="0"/>
          <w:sz w:val="20"/>
        </w:rPr>
        <w:t>.</w:t>
      </w:r>
    </w:p>
    <w:p>
      <w:pPr>
        <w:keepNext/>
        <w:spacing w:before="40" w:after="200" w:line="240" w:lineRule="auto"/>
        <w:jc w:val="left"/>
      </w:pPr>
      <w:r>
        <w:rPr>
          <w:rFonts w:ascii="Century Gothic" w:hAnsi="Century Gothic" w:cs="Century Gothic" w:eastAsia="Century Gothic"/>
          <w:b/>
          <w:i w:val="0"/>
          <w:sz w:val="22"/>
        </w:rPr>
        <w:t>Roles Educativos Renovados</w:t>
      </w:r>
    </w:p>
    <w:p>
      <w:pPr>
        <w:spacing w:before="0" w:after="200" w:line="240" w:lineRule="auto"/>
        <w:jc w:val="both"/>
      </w:pPr>
      <w:r>
        <w:rPr>
          <w:rFonts w:ascii="Century Gothic" w:hAnsi="Century Gothic" w:cs="Century Gothic" w:eastAsia="Century Gothic"/>
          <w:b w:val="0"/>
          <w:i w:val="0"/>
          <w:sz w:val="20"/>
        </w:rPr>
        <w:t>El proceso de enseñanza-aprendizaje migra de la transmisión memorística hacia la construcción activa del conocimiento:</w:t>
      </w:r>
    </w:p>
    <w:p>
      <w:pPr>
        <w:numPr>
          <w:ilvl w:val="0"/>
          <w:numId w:val="933"/>
        </w:numPr>
        <w:spacing w:before="0" w:after="160" w:line="240" w:lineRule="auto"/>
        <w:jc w:val="both"/>
      </w:pPr>
      <w:r>
        <w:rPr>
          <w:rFonts w:ascii="Century Gothic" w:hAnsi="Century Gothic" w:cs="Century Gothic" w:eastAsia="Century Gothic"/>
          <w:b/>
          <w:i w:val="0"/>
          <w:sz w:val="20"/>
        </w:rPr>
        <w:t>Rol del Docente:</w:t>
      </w:r>
      <w:r>
        <w:rPr>
          <w:rFonts w:ascii="Century Gothic" w:hAnsi="Century Gothic" w:cs="Century Gothic" w:eastAsia="Century Gothic"/>
          <w:b w:val="0"/>
          <w:i w:val="0"/>
          <w:sz w:val="20"/>
        </w:rPr>
        <w:t xml:space="preserve"> Se transforma de un expositor magistral a un facilitador del aprendizaje, investigador, orientador y diseñador de proyectos y casos reales.</w:t>
      </w:r>
    </w:p>
    <w:p>
      <w:pPr>
        <w:numPr>
          <w:ilvl w:val="0"/>
          <w:numId w:val="933"/>
        </w:numPr>
        <w:spacing w:before="0" w:after="200" w:line="240" w:lineRule="auto"/>
        <w:jc w:val="both"/>
      </w:pPr>
      <w:r>
        <w:rPr>
          <w:rFonts w:ascii="Century Gothic" w:hAnsi="Century Gothic" w:cs="Century Gothic" w:eastAsia="Century Gothic"/>
          <w:b/>
          <w:i w:val="0"/>
          <w:sz w:val="20"/>
        </w:rPr>
        <w:t>Rol del Estudiante:</w:t>
      </w:r>
      <w:r>
        <w:rPr>
          <w:rFonts w:ascii="Century Gothic" w:hAnsi="Century Gothic" w:cs="Century Gothic" w:eastAsia="Century Gothic"/>
          <w:b w:val="0"/>
          <w:i w:val="0"/>
          <w:sz w:val="20"/>
        </w:rPr>
        <w:t xml:space="preserve"> Asume el protagonismo activo en su formación, desarrollando autonomía, capacidad crítica, reflexiva y compromiso ético con la solución de problemas del sector productivo y social.</w:t>
      </w:r>
    </w:p>
    <w:p>
      <w:pPr>
        <w:keepNext/>
        <w:spacing w:before="40" w:after="200" w:line="240" w:lineRule="auto"/>
        <w:jc w:val="left"/>
      </w:pPr>
      <w:r>
        <w:rPr>
          <w:rFonts w:ascii="Century Gothic" w:hAnsi="Century Gothic" w:cs="Century Gothic" w:eastAsia="Century Gothic"/>
          <w:b/>
          <w:i w:val="0"/>
          <w:sz w:val="22"/>
        </w:rPr>
        <w:t>Estructura Tridimensional de Competencias</w:t>
      </w:r>
    </w:p>
    <w:p>
      <w:pPr>
        <w:spacing w:before="0" w:after="200" w:line="240" w:lineRule="auto"/>
        <w:jc w:val="both"/>
      </w:pPr>
      <w:r>
        <w:rPr>
          <w:rFonts w:ascii="Century Gothic" w:hAnsi="Century Gothic" w:cs="Century Gothic" w:eastAsia="Century Gothic"/>
          <w:b w:val="0"/>
          <w:i w:val="0"/>
          <w:sz w:val="20"/>
        </w:rPr>
        <w:t>El perfil de egreso se organiza bajo las tres dimensiones de la formación integral:</w:t>
      </w:r>
    </w:p>
    <w:p>
      <w:pPr>
        <w:numPr>
          <w:ilvl w:val="0"/>
          <w:numId w:val="933"/>
        </w:numPr>
        <w:spacing w:before="0" w:after="160" w:line="240" w:lineRule="auto"/>
        <w:jc w:val="both"/>
      </w:pPr>
      <w:r>
        <w:rPr>
          <w:rFonts w:ascii="Century Gothic" w:hAnsi="Century Gothic" w:cs="Century Gothic" w:eastAsia="Century Gothic"/>
          <w:b/>
          <w:i w:val="0"/>
          <w:sz w:val="20"/>
        </w:rPr>
        <w:t>Saber Conocer (Competencias Cognitivas y Disciplinares):</w:t>
      </w:r>
      <w:r>
        <w:rPr>
          <w:rFonts w:ascii="Century Gothic" w:hAnsi="Century Gothic" w:cs="Century Gothic" w:eastAsia="Century Gothic"/>
          <w:b w:val="0"/>
          <w:i w:val="0"/>
          <w:sz w:val="20"/>
        </w:rPr>
        <w:t xml:space="preserve"> Dominio profundo de teorías, principios contables, marcos normativos nacionales e internacionales (NCGA, Normas NIIF de Contabilidad, NIIF para las PYMES, Normas Básicas del Sistema de Contabilidad Gubernamental, NICSP, NAGA en Bolivia, Normas de Auditoría Gubernamental, CGE NIA, NIER, NIEA, NIAS, NIIF S, marcos de control interno y gestión de riesgos, legislación tributaria, comercial y laboral.</w:t>
      </w:r>
    </w:p>
    <w:p>
      <w:pPr>
        <w:numPr>
          <w:ilvl w:val="0"/>
          <w:numId w:val="933"/>
        </w:numPr>
        <w:spacing w:before="0" w:after="200" w:line="240" w:lineRule="auto"/>
        <w:jc w:val="both"/>
      </w:pPr>
      <w:r>
        <w:rPr>
          <w:rFonts w:ascii="Century Gothic" w:hAnsi="Century Gothic" w:cs="Century Gothic" w:eastAsia="Century Gothic"/>
          <w:b/>
          <w:i w:val="0"/>
          <w:sz w:val="20"/>
        </w:rPr>
        <w:t>Saber Hacer (Competencias Procedimentales y Tecnológicas):</w:t>
      </w:r>
      <w:r>
        <w:rPr>
          <w:rFonts w:ascii="Century Gothic" w:hAnsi="Century Gothic" w:cs="Century Gothic" w:eastAsia="Century Gothic"/>
          <w:b w:val="0"/>
          <w:i w:val="0"/>
          <w:sz w:val="20"/>
        </w:rPr>
        <w:t xml:space="preserve"> Manejo de software contable y sistemas ERP (SAP/Odoo), analítica de datos (Power BI, Python/R), auditoría basada en riesgos, pruebas asistidas por computadora (CAATTs), minería de procesos y elaboración de informes de aseguramiento.</w:t>
      </w:r>
    </w:p>
    <w:p>
      <w:pPr>
        <w:numPr>
          <w:ilvl w:val="0"/>
          <w:numId w:val="933"/>
        </w:numPr>
        <w:spacing w:before="0" w:after="200" w:line="240" w:lineRule="auto"/>
        <w:jc w:val="both"/>
      </w:pPr>
      <w:r>
        <w:rPr>
          <w:rFonts w:ascii="Century Gothic" w:hAnsi="Century Gothic" w:cs="Century Gothic" w:eastAsia="Century Gothic"/>
          <w:b/>
          <w:i w:val="0"/>
          <w:sz w:val="20"/>
        </w:rPr>
        <w:t>Saber Ser y Convivir (Competencias Actitudinales y Éticas):</w:t>
      </w:r>
      <w:r>
        <w:rPr>
          <w:rFonts w:ascii="Century Gothic" w:hAnsi="Century Gothic" w:cs="Century Gothic" w:eastAsia="Century Gothic"/>
          <w:b w:val="0"/>
          <w:i w:val="0"/>
          <w:sz w:val="20"/>
        </w:rPr>
        <w:t xml:space="preserve"> Integridad, escepticismo profesional, independencia de criterio bajo el Código de Ética del IESBA, liderazgo adaptativo, trabajo en equipo multidisciplinario y comunicación asertiva en español e inglés técnico.</w:t>
      </w:r>
    </w:p>
    <w:tbl>
      <w:tblPr>
        <w:tblW w:type="auto" w:w="0"/>
        <w:jc w:val="center"/>
        <w:tblLayout w:type="fixed"/>
        <w:tblLook w:firstColumn="1" w:firstRow="1" w:lastColumn="0" w:lastRow="0" w:noHBand="0" w:noVBand="1" w:val="04A0"/>
      </w:tblPr>
      <w:tblGrid>
        <w:gridCol w:w="3633"/>
        <w:gridCol w:w="2656"/>
        <w:gridCol w:w="2782"/>
      </w:tblGrid>
      <w:tr>
        <w:trPr>
          <w:tblHeader/>
        </w:trPr>
        <w:tc>
          <w:tcPr>
            <w:tcW w:type="dxa" w:w="9071"/>
            <w:gridSpan w:val="3"/>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Contador Público Autorizado (CPA)</w:t>
            </w:r>
          </w:p>
        </w:tc>
      </w:tr>
      <w:tr>
        <w:tc>
          <w:tcPr>
            <w:tcW w:type="dxa" w:w="363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i w:val="0"/>
                <w:sz w:val="20"/>
              </w:rPr>
              <w:t>Saber Conocer (Cognitivo)</w:t>
            </w:r>
          </w:p>
        </w:tc>
        <w:tc>
          <w:tcPr>
            <w:tcW w:type="dxa" w:w="265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i w:val="0"/>
                <w:sz w:val="20"/>
              </w:rPr>
              <w:t>Saber Hacer (Procedimental)</w:t>
            </w:r>
          </w:p>
        </w:tc>
        <w:tc>
          <w:tcPr>
            <w:tcW w:type="dxa" w:w="278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i w:val="0"/>
                <w:sz w:val="20"/>
              </w:rPr>
              <w:t>Saber Ser – Convivir (Actitudinal)</w:t>
            </w:r>
          </w:p>
        </w:tc>
      </w:tr>
      <w:tr>
        <w:tc>
          <w:tcPr>
            <w:tcW w:type="dxa" w:w="3633"/>
            <w:tcBorders>
              <w:top w:val="single" w:sz="4" w:space="0" w:color="8EAADB"/>
              <w:left w:val="single" w:sz="4" w:space="0" w:color="8EAADB"/>
              <w:bottom w:val="single" w:sz="4" w:space="0" w:color="8EAADB"/>
              <w:right w:val="single" w:sz="4" w:space="0" w:color="8EAADB"/>
            </w:tcBorders>
            <w:shd w:val="clear" w:color="auto" w:fill="D9E2F3"/>
            <w:vAlign w:val="top"/>
          </w:tcPr>
          <w:p>
            <w:pPr>
              <w:tabs>
                <w:tab w:pos="255" w:val="left"/>
              </w:tabs>
              <w:spacing w:before="0" w:after="0" w:line="240" w:lineRule="auto"/>
              <w:ind w:left="255" w:hanging="255"/>
              <w:jc w:val="left"/>
            </w:pPr>
            <w:r>
              <w:rPr>
                <w:rFonts w:ascii="Century Gothic" w:hAnsi="Century Gothic" w:cs="Century Gothic" w:eastAsia="Century Gothic"/>
                <w:sz w:val="20"/>
              </w:rPr>
              <w:t>▪</w:t>
              <w:tab/>
            </w:r>
            <w:r>
              <w:rPr>
                <w:rFonts w:ascii="Century Gothic" w:hAnsi="Century Gothic" w:cs="Century Gothic" w:eastAsia="Century Gothic"/>
                <w:b w:val="0"/>
                <w:i w:val="0"/>
                <w:sz w:val="20"/>
              </w:rPr>
              <w:t>NCGA en Bolivia</w:t>
            </w:r>
          </w:p>
          <w:p>
            <w:pPr>
              <w:tabs>
                <w:tab w:pos="255" w:val="left"/>
              </w:tabs>
              <w:spacing w:before="0" w:after="0" w:line="240" w:lineRule="auto"/>
              <w:ind w:left="255" w:hanging="255"/>
              <w:jc w:val="left"/>
            </w:pPr>
            <w:r>
              <w:rPr>
                <w:rFonts w:ascii="Century Gothic" w:hAnsi="Century Gothic" w:cs="Century Gothic" w:eastAsia="Century Gothic"/>
                <w:sz w:val="20"/>
              </w:rPr>
              <w:t>▪</w:t>
              <w:tab/>
            </w:r>
            <w:r>
              <w:rPr>
                <w:rFonts w:ascii="Century Gothic" w:hAnsi="Century Gothic" w:cs="Century Gothic" w:eastAsia="Century Gothic"/>
                <w:b w:val="0"/>
                <w:i w:val="0"/>
                <w:sz w:val="20"/>
              </w:rPr>
              <w:t>Normas NIIF de Contabilidad y NIIF para las PYMES</w:t>
            </w:r>
          </w:p>
          <w:p>
            <w:pPr>
              <w:tabs>
                <w:tab w:pos="255" w:val="left"/>
              </w:tabs>
              <w:spacing w:before="0" w:after="0" w:line="240" w:lineRule="auto"/>
              <w:ind w:left="255" w:hanging="255"/>
              <w:jc w:val="left"/>
            </w:pPr>
            <w:r>
              <w:rPr>
                <w:rFonts w:ascii="Century Gothic" w:hAnsi="Century Gothic" w:cs="Century Gothic" w:eastAsia="Century Gothic"/>
                <w:sz w:val="20"/>
              </w:rPr>
              <w:t>▪</w:t>
              <w:tab/>
            </w:r>
            <w:r>
              <w:rPr>
                <w:rFonts w:ascii="Century Gothic" w:hAnsi="Century Gothic" w:cs="Century Gothic" w:eastAsia="Century Gothic"/>
                <w:b w:val="0"/>
                <w:i w:val="0"/>
                <w:sz w:val="20"/>
              </w:rPr>
              <w:t>Normas Básicas del Sistema de Contabilidad Gubernamental</w:t>
            </w:r>
          </w:p>
          <w:p>
            <w:pPr>
              <w:tabs>
                <w:tab w:pos="255" w:val="left"/>
              </w:tabs>
              <w:spacing w:before="0" w:after="0" w:line="240" w:lineRule="auto"/>
              <w:ind w:left="255" w:hanging="255"/>
              <w:jc w:val="left"/>
            </w:pPr>
            <w:r>
              <w:rPr>
                <w:rFonts w:ascii="Century Gothic" w:hAnsi="Century Gothic" w:cs="Century Gothic" w:eastAsia="Century Gothic"/>
                <w:sz w:val="20"/>
              </w:rPr>
              <w:t>▪</w:t>
              <w:tab/>
            </w:r>
            <w:r>
              <w:rPr>
                <w:rFonts w:ascii="Century Gothic" w:hAnsi="Century Gothic" w:cs="Century Gothic" w:eastAsia="Century Gothic"/>
                <w:b w:val="0"/>
                <w:i w:val="0"/>
                <w:sz w:val="20"/>
              </w:rPr>
              <w:t>NICSP</w:t>
            </w:r>
          </w:p>
          <w:p>
            <w:pPr>
              <w:tabs>
                <w:tab w:pos="255" w:val="left"/>
              </w:tabs>
              <w:spacing w:before="0" w:after="0" w:line="240" w:lineRule="auto"/>
              <w:ind w:left="255" w:hanging="255"/>
              <w:jc w:val="left"/>
            </w:pPr>
            <w:r>
              <w:rPr>
                <w:rFonts w:ascii="Century Gothic" w:hAnsi="Century Gothic" w:cs="Century Gothic" w:eastAsia="Century Gothic"/>
                <w:sz w:val="20"/>
              </w:rPr>
              <w:t>▪</w:t>
              <w:tab/>
            </w:r>
            <w:r>
              <w:rPr>
                <w:rFonts w:ascii="Century Gothic" w:hAnsi="Century Gothic" w:cs="Century Gothic" w:eastAsia="Century Gothic"/>
                <w:b w:val="0"/>
                <w:i w:val="0"/>
                <w:sz w:val="20"/>
              </w:rPr>
              <w:t>NAGA en Bolivia</w:t>
            </w:r>
          </w:p>
          <w:p>
            <w:pPr>
              <w:tabs>
                <w:tab w:pos="255" w:val="left"/>
              </w:tabs>
              <w:spacing w:before="0" w:after="0" w:line="240" w:lineRule="auto"/>
              <w:ind w:left="255" w:hanging="255"/>
              <w:jc w:val="left"/>
            </w:pPr>
            <w:r>
              <w:rPr>
                <w:rFonts w:ascii="Century Gothic" w:hAnsi="Century Gothic" w:cs="Century Gothic" w:eastAsia="Century Gothic"/>
                <w:sz w:val="20"/>
              </w:rPr>
              <w:t>▪</w:t>
              <w:tab/>
            </w:r>
            <w:r>
              <w:rPr>
                <w:rFonts w:ascii="Century Gothic" w:hAnsi="Century Gothic" w:cs="Century Gothic" w:eastAsia="Century Gothic"/>
                <w:b w:val="0"/>
                <w:i w:val="0"/>
                <w:sz w:val="20"/>
              </w:rPr>
              <w:t>Integrado</w:t>
            </w:r>
          </w:p>
          <w:p>
            <w:pPr>
              <w:tabs>
                <w:tab w:pos="255" w:val="left"/>
              </w:tabs>
              <w:spacing w:before="0" w:after="0" w:line="240" w:lineRule="auto"/>
              <w:ind w:left="255" w:hanging="255"/>
              <w:jc w:val="left"/>
            </w:pPr>
            <w:r>
              <w:rPr>
                <w:rFonts w:ascii="Century Gothic" w:hAnsi="Century Gothic" w:cs="Century Gothic" w:eastAsia="Century Gothic"/>
                <w:sz w:val="20"/>
              </w:rPr>
              <w:t>▪</w:t>
              <w:tab/>
            </w:r>
            <w:r>
              <w:rPr>
                <w:rFonts w:ascii="Century Gothic" w:hAnsi="Century Gothic" w:cs="Century Gothic" w:eastAsia="Century Gothic"/>
                <w:b w:val="0"/>
                <w:i w:val="0"/>
                <w:sz w:val="20"/>
              </w:rPr>
              <w:t>Normas de Auditoría Gubernamental</w:t>
            </w:r>
          </w:p>
          <w:p>
            <w:pPr>
              <w:tabs>
                <w:tab w:pos="255" w:val="left"/>
              </w:tabs>
              <w:spacing w:before="0" w:after="0" w:line="240" w:lineRule="auto"/>
              <w:ind w:left="255" w:hanging="255"/>
              <w:jc w:val="left"/>
            </w:pPr>
            <w:r>
              <w:rPr>
                <w:rFonts w:ascii="Century Gothic" w:hAnsi="Century Gothic" w:cs="Century Gothic" w:eastAsia="Century Gothic"/>
                <w:sz w:val="20"/>
              </w:rPr>
              <w:t>▪</w:t>
              <w:tab/>
            </w:r>
            <w:r>
              <w:rPr>
                <w:rFonts w:ascii="Century Gothic" w:hAnsi="Century Gothic" w:cs="Century Gothic" w:eastAsia="Century Gothic"/>
                <w:b w:val="0"/>
                <w:i w:val="0"/>
                <w:sz w:val="20"/>
              </w:rPr>
              <w:t>Normas NIIF de Sostenibilidad</w:t>
            </w:r>
          </w:p>
          <w:p>
            <w:pPr>
              <w:tabs>
                <w:tab w:pos="255" w:val="left"/>
              </w:tabs>
              <w:spacing w:before="0" w:after="0" w:line="240" w:lineRule="auto"/>
              <w:ind w:left="255" w:hanging="255"/>
              <w:jc w:val="left"/>
            </w:pPr>
            <w:r>
              <w:rPr>
                <w:rFonts w:ascii="Century Gothic" w:hAnsi="Century Gothic" w:cs="Century Gothic" w:eastAsia="Century Gothic"/>
                <w:sz w:val="20"/>
              </w:rPr>
              <w:t>▪</w:t>
              <w:tab/>
            </w:r>
            <w:r>
              <w:rPr>
                <w:rFonts w:ascii="Century Gothic" w:hAnsi="Century Gothic" w:cs="Century Gothic" w:eastAsia="Century Gothic"/>
                <w:b w:val="0"/>
                <w:i w:val="0"/>
                <w:sz w:val="20"/>
              </w:rPr>
              <w:t>Pronunciamientos Internacionales del IAASB</w:t>
            </w:r>
          </w:p>
          <w:p>
            <w:pPr>
              <w:tabs>
                <w:tab w:pos="255" w:val="left"/>
              </w:tabs>
              <w:spacing w:before="0" w:after="0" w:line="240" w:lineRule="auto"/>
              <w:ind w:left="255" w:hanging="255"/>
              <w:jc w:val="left"/>
            </w:pPr>
            <w:r>
              <w:rPr>
                <w:rFonts w:ascii="Century Gothic" w:hAnsi="Century Gothic" w:cs="Century Gothic" w:eastAsia="Century Gothic"/>
                <w:sz w:val="20"/>
              </w:rPr>
              <w:t>▪</w:t>
              <w:tab/>
            </w:r>
            <w:r>
              <w:rPr>
                <w:rFonts w:ascii="Century Gothic" w:hAnsi="Century Gothic" w:cs="Century Gothic" w:eastAsia="Century Gothic"/>
                <w:b w:val="0"/>
                <w:i w:val="0"/>
                <w:sz w:val="20"/>
              </w:rPr>
              <w:t>Tributación</w:t>
            </w:r>
          </w:p>
          <w:p>
            <w:pPr>
              <w:tabs>
                <w:tab w:pos="255" w:val="left"/>
              </w:tabs>
              <w:spacing w:before="0" w:after="0" w:line="240" w:lineRule="auto"/>
              <w:ind w:left="255" w:hanging="255"/>
              <w:jc w:val="left"/>
            </w:pPr>
            <w:r>
              <w:rPr>
                <w:rFonts w:ascii="Century Gothic" w:hAnsi="Century Gothic" w:cs="Century Gothic" w:eastAsia="Century Gothic"/>
                <w:sz w:val="20"/>
              </w:rPr>
              <w:t>▪</w:t>
              <w:tab/>
            </w:r>
            <w:r>
              <w:rPr>
                <w:rFonts w:ascii="Century Gothic" w:hAnsi="Century Gothic" w:cs="Century Gothic" w:eastAsia="Century Gothic"/>
                <w:b w:val="0"/>
                <w:i w:val="0"/>
                <w:sz w:val="20"/>
              </w:rPr>
              <w:t>Control interno</w:t>
            </w:r>
          </w:p>
          <w:p>
            <w:pPr>
              <w:tabs>
                <w:tab w:pos="255" w:val="left"/>
              </w:tabs>
              <w:spacing w:before="0" w:after="0" w:line="240" w:lineRule="auto"/>
              <w:ind w:left="255" w:hanging="255"/>
              <w:jc w:val="left"/>
            </w:pPr>
            <w:r>
              <w:rPr>
                <w:rFonts w:ascii="Century Gothic" w:hAnsi="Century Gothic" w:cs="Century Gothic" w:eastAsia="Century Gothic"/>
                <w:sz w:val="20"/>
              </w:rPr>
              <w:t>▪</w:t>
              <w:tab/>
            </w:r>
            <w:r>
              <w:rPr>
                <w:rFonts w:ascii="Century Gothic" w:hAnsi="Century Gothic" w:cs="Century Gothic" w:eastAsia="Century Gothic"/>
                <w:b w:val="0"/>
                <w:i w:val="0"/>
                <w:sz w:val="20"/>
              </w:rPr>
              <w:t>Gestión de riesgos</w:t>
            </w:r>
          </w:p>
          <w:p>
            <w:pPr>
              <w:tabs>
                <w:tab w:pos="255" w:val="left"/>
              </w:tabs>
              <w:spacing w:before="0" w:after="0" w:line="240" w:lineRule="auto"/>
              <w:ind w:left="255" w:hanging="255"/>
              <w:jc w:val="left"/>
            </w:pPr>
            <w:r>
              <w:rPr>
                <w:rFonts w:ascii="Century Gothic" w:hAnsi="Century Gothic" w:cs="Century Gothic" w:eastAsia="Century Gothic"/>
                <w:sz w:val="20"/>
              </w:rPr>
              <w:t>▪</w:t>
              <w:tab/>
            </w:r>
            <w:r>
              <w:rPr>
                <w:rFonts w:ascii="Century Gothic" w:hAnsi="Century Gothic" w:cs="Century Gothic" w:eastAsia="Century Gothic"/>
                <w:b w:val="0"/>
                <w:i w:val="0"/>
                <w:sz w:val="20"/>
              </w:rPr>
              <w:t>Ciberseguridad</w:t>
            </w:r>
          </w:p>
        </w:tc>
        <w:tc>
          <w:tcPr>
            <w:tcW w:type="dxa" w:w="2656"/>
            <w:tcBorders>
              <w:top w:val="single" w:sz="4" w:space="0" w:color="8EAADB"/>
              <w:left w:val="single" w:sz="4" w:space="0" w:color="8EAADB"/>
              <w:bottom w:val="single" w:sz="4" w:space="0" w:color="8EAADB"/>
              <w:right w:val="single" w:sz="4" w:space="0" w:color="8EAADB"/>
            </w:tcBorders>
            <w:shd w:val="clear" w:color="auto" w:fill="D9E2F3"/>
            <w:vAlign w:val="top"/>
          </w:tcPr>
          <w:p>
            <w:pPr>
              <w:tabs>
                <w:tab w:pos="255" w:val="left"/>
              </w:tabs>
              <w:spacing w:before="0" w:after="0" w:line="240" w:lineRule="auto"/>
              <w:ind w:left="255" w:hanging="255"/>
              <w:jc w:val="left"/>
            </w:pPr>
            <w:r>
              <w:rPr>
                <w:rFonts w:ascii="Century Gothic" w:hAnsi="Century Gothic" w:cs="Century Gothic" w:eastAsia="Century Gothic"/>
                <w:sz w:val="20"/>
              </w:rPr>
              <w:t>▪</w:t>
              <w:tab/>
            </w:r>
            <w:r>
              <w:rPr>
                <w:rFonts w:ascii="Century Gothic" w:hAnsi="Century Gothic" w:cs="Century Gothic" w:eastAsia="Century Gothic"/>
                <w:b w:val="0"/>
                <w:i w:val="0"/>
                <w:sz w:val="20"/>
              </w:rPr>
              <w:t>Software contable</w:t>
            </w:r>
          </w:p>
          <w:p>
            <w:pPr>
              <w:tabs>
                <w:tab w:pos="255" w:val="left"/>
              </w:tabs>
              <w:spacing w:before="0" w:after="0" w:line="240" w:lineRule="auto"/>
              <w:ind w:left="255" w:hanging="255"/>
              <w:jc w:val="left"/>
            </w:pPr>
            <w:r>
              <w:rPr>
                <w:rFonts w:ascii="Century Gothic" w:hAnsi="Century Gothic" w:cs="Century Gothic" w:eastAsia="Century Gothic"/>
                <w:sz w:val="20"/>
              </w:rPr>
              <w:t>▪</w:t>
              <w:tab/>
            </w:r>
            <w:r>
              <w:rPr>
                <w:rFonts w:ascii="Century Gothic" w:hAnsi="Century Gothic" w:cs="Century Gothic" w:eastAsia="Century Gothic"/>
                <w:b w:val="0"/>
                <w:i w:val="0"/>
                <w:sz w:val="20"/>
              </w:rPr>
              <w:t>Sistemas ERPs</w:t>
            </w:r>
          </w:p>
          <w:p>
            <w:pPr>
              <w:tabs>
                <w:tab w:pos="255" w:val="left"/>
              </w:tabs>
              <w:spacing w:before="0" w:after="0" w:line="240" w:lineRule="auto"/>
              <w:ind w:left="255" w:hanging="255"/>
              <w:jc w:val="left"/>
            </w:pPr>
            <w:r>
              <w:rPr>
                <w:rFonts w:ascii="Century Gothic" w:hAnsi="Century Gothic" w:cs="Century Gothic" w:eastAsia="Century Gothic"/>
                <w:sz w:val="20"/>
              </w:rPr>
              <w:t>▪</w:t>
              <w:tab/>
            </w:r>
            <w:r>
              <w:rPr>
                <w:rFonts w:ascii="Century Gothic" w:hAnsi="Century Gothic" w:cs="Century Gothic" w:eastAsia="Century Gothic"/>
                <w:b w:val="0"/>
                <w:i w:val="0"/>
                <w:sz w:val="20"/>
              </w:rPr>
              <w:t>Plataformas digitales del SIN</w:t>
            </w:r>
          </w:p>
          <w:p>
            <w:pPr>
              <w:tabs>
                <w:tab w:pos="255" w:val="left"/>
              </w:tabs>
              <w:spacing w:before="0" w:after="0" w:line="240" w:lineRule="auto"/>
              <w:ind w:left="255" w:hanging="255"/>
              <w:jc w:val="left"/>
            </w:pPr>
            <w:r>
              <w:rPr>
                <w:rFonts w:ascii="Century Gothic" w:hAnsi="Century Gothic" w:cs="Century Gothic" w:eastAsia="Century Gothic"/>
                <w:sz w:val="20"/>
              </w:rPr>
              <w:t>▪</w:t>
              <w:tab/>
            </w:r>
            <w:r>
              <w:rPr>
                <w:rFonts w:ascii="Century Gothic" w:hAnsi="Century Gothic" w:cs="Century Gothic" w:eastAsia="Century Gothic"/>
                <w:b w:val="0"/>
                <w:i w:val="0"/>
                <w:sz w:val="20"/>
              </w:rPr>
              <w:t>Power BI – IA</w:t>
            </w:r>
          </w:p>
          <w:p>
            <w:pPr>
              <w:tabs>
                <w:tab w:pos="255" w:val="left"/>
              </w:tabs>
              <w:spacing w:before="0" w:after="0" w:line="240" w:lineRule="auto"/>
              <w:ind w:left="255" w:hanging="255"/>
              <w:jc w:val="left"/>
            </w:pPr>
            <w:r>
              <w:rPr>
                <w:rFonts w:ascii="Century Gothic" w:hAnsi="Century Gothic" w:cs="Century Gothic" w:eastAsia="Century Gothic"/>
                <w:sz w:val="20"/>
              </w:rPr>
              <w:t>▪</w:t>
              <w:tab/>
            </w:r>
            <w:r>
              <w:rPr>
                <w:rFonts w:ascii="Century Gothic" w:hAnsi="Century Gothic" w:cs="Century Gothic" w:eastAsia="Century Gothic"/>
                <w:b w:val="0"/>
                <w:i w:val="0"/>
                <w:sz w:val="20"/>
              </w:rPr>
              <w:t>Papeles de trabajo digital</w:t>
            </w:r>
          </w:p>
          <w:p>
            <w:pPr>
              <w:tabs>
                <w:tab w:pos="255" w:val="left"/>
              </w:tabs>
              <w:spacing w:before="0" w:after="0" w:line="240" w:lineRule="auto"/>
              <w:ind w:left="255" w:hanging="255"/>
              <w:jc w:val="left"/>
            </w:pPr>
            <w:r>
              <w:rPr>
                <w:rFonts w:ascii="Century Gothic" w:hAnsi="Century Gothic" w:cs="Century Gothic" w:eastAsia="Century Gothic"/>
                <w:sz w:val="20"/>
              </w:rPr>
              <w:t>▪</w:t>
              <w:tab/>
            </w:r>
            <w:r>
              <w:rPr>
                <w:rFonts w:ascii="Century Gothic" w:hAnsi="Century Gothic" w:cs="Century Gothic" w:eastAsia="Century Gothic"/>
                <w:b w:val="0"/>
                <w:i w:val="0"/>
                <w:sz w:val="20"/>
              </w:rPr>
              <w:t>Auditoría forense</w:t>
            </w:r>
          </w:p>
        </w:tc>
        <w:tc>
          <w:tcPr>
            <w:tcW w:type="dxa" w:w="2782"/>
            <w:tcBorders>
              <w:top w:val="single" w:sz="4" w:space="0" w:color="8EAADB"/>
              <w:left w:val="single" w:sz="4" w:space="0" w:color="8EAADB"/>
              <w:bottom w:val="single" w:sz="4" w:space="0" w:color="8EAADB"/>
              <w:right w:val="single" w:sz="4" w:space="0" w:color="8EAADB"/>
            </w:tcBorders>
            <w:shd w:val="clear" w:color="auto" w:fill="D9E2F3"/>
            <w:vAlign w:val="top"/>
          </w:tcPr>
          <w:p>
            <w:pPr>
              <w:tabs>
                <w:tab w:pos="255" w:val="left"/>
              </w:tabs>
              <w:spacing w:before="0" w:after="0" w:line="240" w:lineRule="auto"/>
              <w:ind w:left="255" w:hanging="255"/>
              <w:jc w:val="left"/>
            </w:pPr>
            <w:r>
              <w:rPr>
                <w:rFonts w:ascii="Century Gothic" w:hAnsi="Century Gothic" w:cs="Century Gothic" w:eastAsia="Century Gothic"/>
                <w:sz w:val="20"/>
              </w:rPr>
              <w:t>▪</w:t>
              <w:tab/>
            </w:r>
            <w:r>
              <w:rPr>
                <w:rFonts w:ascii="Century Gothic" w:hAnsi="Century Gothic" w:cs="Century Gothic" w:eastAsia="Century Gothic"/>
                <w:b w:val="0"/>
                <w:i w:val="0"/>
                <w:sz w:val="20"/>
              </w:rPr>
              <w:t>Código de Ética del IESBA</w:t>
            </w:r>
          </w:p>
          <w:p>
            <w:pPr>
              <w:tabs>
                <w:tab w:pos="255" w:val="left"/>
              </w:tabs>
              <w:spacing w:before="0" w:after="0" w:line="240" w:lineRule="auto"/>
              <w:ind w:left="255" w:hanging="255"/>
              <w:jc w:val="left"/>
            </w:pPr>
            <w:r>
              <w:rPr>
                <w:rFonts w:ascii="Century Gothic" w:hAnsi="Century Gothic" w:cs="Century Gothic" w:eastAsia="Century Gothic"/>
                <w:sz w:val="20"/>
              </w:rPr>
              <w:t>▪</w:t>
              <w:tab/>
            </w:r>
            <w:r>
              <w:rPr>
                <w:rFonts w:ascii="Century Gothic" w:hAnsi="Century Gothic" w:cs="Century Gothic" w:eastAsia="Century Gothic"/>
                <w:b w:val="0"/>
                <w:i w:val="0"/>
                <w:sz w:val="20"/>
              </w:rPr>
              <w:t>Independencia</w:t>
            </w:r>
          </w:p>
          <w:p>
            <w:pPr>
              <w:tabs>
                <w:tab w:pos="255" w:val="left"/>
              </w:tabs>
              <w:spacing w:before="0" w:after="0" w:line="240" w:lineRule="auto"/>
              <w:ind w:left="255" w:hanging="255"/>
              <w:jc w:val="left"/>
            </w:pPr>
            <w:r>
              <w:rPr>
                <w:rFonts w:ascii="Century Gothic" w:hAnsi="Century Gothic" w:cs="Century Gothic" w:eastAsia="Century Gothic"/>
                <w:sz w:val="20"/>
              </w:rPr>
              <w:t>▪</w:t>
              <w:tab/>
            </w:r>
            <w:r>
              <w:rPr>
                <w:rFonts w:ascii="Century Gothic" w:hAnsi="Century Gothic" w:cs="Century Gothic" w:eastAsia="Century Gothic"/>
                <w:b w:val="0"/>
                <w:i w:val="0"/>
                <w:sz w:val="20"/>
              </w:rPr>
              <w:t>Pensamiento Crítico</w:t>
            </w:r>
          </w:p>
          <w:p>
            <w:pPr>
              <w:tabs>
                <w:tab w:pos="255" w:val="left"/>
              </w:tabs>
              <w:spacing w:before="0" w:after="0" w:line="240" w:lineRule="auto"/>
              <w:ind w:left="255" w:hanging="255"/>
              <w:jc w:val="left"/>
            </w:pPr>
            <w:r>
              <w:rPr>
                <w:rFonts w:ascii="Century Gothic" w:hAnsi="Century Gothic" w:cs="Century Gothic" w:eastAsia="Century Gothic"/>
                <w:sz w:val="20"/>
              </w:rPr>
              <w:t>▪</w:t>
              <w:tab/>
            </w:r>
            <w:r>
              <w:rPr>
                <w:rFonts w:ascii="Century Gothic" w:hAnsi="Century Gothic" w:cs="Century Gothic" w:eastAsia="Century Gothic"/>
                <w:b w:val="0"/>
                <w:i w:val="0"/>
                <w:sz w:val="20"/>
              </w:rPr>
              <w:t>Adaptabilidad</w:t>
            </w:r>
          </w:p>
          <w:p>
            <w:pPr>
              <w:tabs>
                <w:tab w:pos="255" w:val="left"/>
              </w:tabs>
              <w:spacing w:before="0" w:after="0" w:line="240" w:lineRule="auto"/>
              <w:ind w:left="255" w:hanging="255"/>
              <w:jc w:val="left"/>
            </w:pPr>
            <w:r>
              <w:rPr>
                <w:rFonts w:ascii="Century Gothic" w:hAnsi="Century Gothic" w:cs="Century Gothic" w:eastAsia="Century Gothic"/>
                <w:sz w:val="20"/>
              </w:rPr>
              <w:t>▪</w:t>
              <w:tab/>
            </w:r>
            <w:r>
              <w:rPr>
                <w:rFonts w:ascii="Century Gothic" w:hAnsi="Century Gothic" w:cs="Century Gothic" w:eastAsia="Century Gothic"/>
                <w:b w:val="0"/>
                <w:i w:val="0"/>
                <w:sz w:val="20"/>
              </w:rPr>
              <w:t>Inglés técnico</w:t>
            </w:r>
          </w:p>
        </w:tc>
      </w:tr>
    </w:tbl>
    <w:p>
      <w:pPr>
        <w:spacing w:before="0" w:after="120" w:line="240" w:lineRule="auto"/>
        <w:jc w:val="left"/>
      </w:pPr>
    </w:p>
    <w:p>
      <w:pPr>
        <w:keepNext/>
        <w:spacing w:before="40" w:after="200" w:line="240" w:lineRule="auto"/>
        <w:jc w:val="left"/>
      </w:pPr>
      <w:r>
        <w:rPr>
          <w:rFonts w:ascii="Century Gothic" w:hAnsi="Century Gothic" w:cs="Century Gothic" w:eastAsia="Century Gothic"/>
          <w:b/>
          <w:i w:val="0"/>
          <w:sz w:val="22"/>
        </w:rPr>
        <w:t>Sistema de Evaluación Auténtica del Desempeño</w:t>
      </w:r>
    </w:p>
    <w:p>
      <w:pPr>
        <w:spacing w:before="0" w:after="200" w:line="240" w:lineRule="auto"/>
        <w:jc w:val="both"/>
      </w:pPr>
      <w:r>
        <w:rPr>
          <w:rFonts w:ascii="Century Gothic" w:hAnsi="Century Gothic" w:cs="Century Gothic" w:eastAsia="Century Gothic"/>
          <w:b w:val="0"/>
          <w:i w:val="0"/>
          <w:sz w:val="20"/>
        </w:rPr>
        <w:t xml:space="preserve">Superando la evaluación memorística por exámenes escritos tradicionales, el logro de las competencias se verifica mediante </w:t>
      </w:r>
      <w:r>
        <w:rPr>
          <w:rFonts w:ascii="Century Gothic" w:hAnsi="Century Gothic" w:cs="Century Gothic" w:eastAsia="Century Gothic"/>
          <w:b/>
          <w:i w:val="0"/>
          <w:sz w:val="20"/>
        </w:rPr>
        <w:t>evaluación auténtica</w:t>
      </w:r>
      <w:r>
        <w:rPr>
          <w:rFonts w:ascii="Century Gothic" w:hAnsi="Century Gothic" w:cs="Century Gothic" w:eastAsia="Century Gothic"/>
          <w:b w:val="0"/>
          <w:i w:val="0"/>
          <w:sz w:val="20"/>
        </w:rPr>
        <w:t>:</w:t>
      </w:r>
    </w:p>
    <w:p>
      <w:pPr>
        <w:numPr>
          <w:ilvl w:val="0"/>
          <w:numId w:val="933"/>
        </w:numPr>
        <w:spacing w:before="0" w:after="160" w:line="240" w:lineRule="auto"/>
        <w:jc w:val="both"/>
      </w:pPr>
      <w:r>
        <w:rPr>
          <w:rFonts w:ascii="Century Gothic" w:hAnsi="Century Gothic" w:cs="Century Gothic" w:eastAsia="Century Gothic"/>
          <w:b/>
          <w:i w:val="0"/>
          <w:sz w:val="20"/>
        </w:rPr>
        <w:t>Portafolios de Evidencias:</w:t>
      </w:r>
      <w:r>
        <w:rPr>
          <w:rFonts w:ascii="Century Gothic" w:hAnsi="Century Gothic" w:cs="Century Gothic" w:eastAsia="Century Gothic"/>
          <w:b w:val="0"/>
          <w:i w:val="0"/>
          <w:sz w:val="20"/>
        </w:rPr>
        <w:t xml:space="preserve"> Compilación digital de papeles de trabajo, proyectos e informes desarrollados por el estudiante.</w:t>
      </w:r>
    </w:p>
    <w:p>
      <w:pPr>
        <w:numPr>
          <w:ilvl w:val="0"/>
          <w:numId w:val="933"/>
        </w:numPr>
        <w:spacing w:before="0" w:after="160" w:line="240" w:lineRule="auto"/>
        <w:jc w:val="both"/>
      </w:pPr>
      <w:r>
        <w:rPr>
          <w:rFonts w:ascii="Century Gothic" w:hAnsi="Century Gothic" w:cs="Century Gothic" w:eastAsia="Century Gothic"/>
          <w:b/>
          <w:i w:val="0"/>
          <w:sz w:val="20"/>
        </w:rPr>
        <w:t>Demostraciones en Simuladores:</w:t>
      </w:r>
      <w:r>
        <w:rPr>
          <w:rFonts w:ascii="Century Gothic" w:hAnsi="Century Gothic" w:cs="Century Gothic" w:eastAsia="Century Gothic"/>
          <w:b w:val="0"/>
          <w:i w:val="0"/>
          <w:sz w:val="20"/>
        </w:rPr>
        <w:t xml:space="preserve"> Prácticas operativas en laboratorios de simulación con ERPs, plataformas del SIN y software de auditoría.</w:t>
      </w:r>
    </w:p>
    <w:p>
      <w:pPr>
        <w:numPr>
          <w:ilvl w:val="0"/>
          <w:numId w:val="933"/>
        </w:numPr>
        <w:spacing w:before="0" w:after="160" w:line="240" w:lineRule="auto"/>
        <w:jc w:val="both"/>
      </w:pPr>
      <w:r>
        <w:rPr>
          <w:rFonts w:ascii="Century Gothic" w:hAnsi="Century Gothic" w:cs="Century Gothic" w:eastAsia="Century Gothic"/>
          <w:b/>
          <w:i w:val="0"/>
          <w:sz w:val="20"/>
        </w:rPr>
        <w:t>Proyectos Integradores Reales:</w:t>
      </w:r>
      <w:r>
        <w:rPr>
          <w:rFonts w:ascii="Century Gothic" w:hAnsi="Century Gothic" w:cs="Century Gothic" w:eastAsia="Century Gothic"/>
          <w:b w:val="0"/>
          <w:i w:val="0"/>
          <w:sz w:val="20"/>
        </w:rPr>
        <w:t xml:space="preserve"> Resolución de problemas complejos mediante el Aprendizaje Basado en Proyectos (ABP) en empresas de nuestro país.</w:t>
      </w:r>
    </w:p>
    <w:p>
      <w:pPr>
        <w:numPr>
          <w:ilvl w:val="0"/>
          <w:numId w:val="933"/>
        </w:numPr>
        <w:spacing w:before="0" w:after="200" w:line="240" w:lineRule="auto"/>
        <w:jc w:val="both"/>
      </w:pPr>
      <w:r>
        <w:rPr>
          <w:rFonts w:ascii="Century Gothic" w:hAnsi="Century Gothic" w:cs="Century Gothic" w:eastAsia="Century Gothic"/>
          <w:b/>
          <w:i w:val="0"/>
          <w:sz w:val="20"/>
        </w:rPr>
        <w:t>Rúbricas Analíticas:</w:t>
      </w:r>
      <w:r>
        <w:rPr>
          <w:rFonts w:ascii="Century Gothic" w:hAnsi="Century Gothic" w:cs="Century Gothic" w:eastAsia="Century Gothic"/>
          <w:b w:val="0"/>
          <w:i w:val="0"/>
          <w:sz w:val="20"/>
        </w:rPr>
        <w:t xml:space="preserve"> Evaluación objetiva de desempeños observables en defensas orales y estudios de caso.</w:t>
      </w:r>
    </w:p>
    <w:p>
      <w:pPr>
        <w:keepNext/>
        <w:tabs>
          <w:tab w:pos="709" w:val="left"/>
        </w:tabs>
        <w:spacing w:before="120" w:after="200" w:line="240" w:lineRule="auto"/>
        <w:ind w:left="709" w:hanging="709"/>
        <w:jc w:val="left"/>
      </w:pPr>
      <w:r>
        <w:rPr>
          <w:rFonts w:ascii="Century Gothic" w:hAnsi="Century Gothic" w:cs="Century Gothic" w:eastAsia="Century Gothic"/>
          <w:b/>
          <w:i w:val="0"/>
          <w:sz w:val="24"/>
        </w:rPr>
        <w:t>4.1.5</w:t>
        <w:tab/>
      </w:r>
      <w:r>
        <w:rPr>
          <w:rFonts w:ascii="Century Gothic" w:hAnsi="Century Gothic" w:cs="Century Gothic" w:eastAsia="Century Gothic"/>
          <w:b/>
          <w:i w:val="0"/>
          <w:sz w:val="24"/>
        </w:rPr>
        <w:t>Fundamentos axiológicos</w:t>
      </w:r>
    </w:p>
    <w:p>
      <w:pPr>
        <w:keepNext/>
        <w:tabs>
          <w:tab w:pos="992" w:val="left"/>
        </w:tabs>
        <w:spacing w:before="80" w:after="200" w:line="240" w:lineRule="auto"/>
        <w:ind w:left="992" w:hanging="992"/>
        <w:jc w:val="left"/>
      </w:pPr>
      <w:r>
        <w:rPr>
          <w:rFonts w:ascii="Century Gothic" w:hAnsi="Century Gothic" w:cs="Century Gothic" w:eastAsia="Century Gothic"/>
          <w:b/>
          <w:i w:val="0"/>
          <w:sz w:val="22"/>
        </w:rPr>
        <w:t>4.1.5.1</w:t>
        <w:tab/>
      </w:r>
      <w:r>
        <w:rPr>
          <w:rFonts w:ascii="Century Gothic" w:hAnsi="Century Gothic" w:cs="Century Gothic" w:eastAsia="Century Gothic"/>
          <w:b/>
          <w:i w:val="0"/>
          <w:sz w:val="22"/>
        </w:rPr>
        <w:t>Fundamentación Filosófica y Ético-Humanista</w:t>
      </w:r>
    </w:p>
    <w:p>
      <w:pPr>
        <w:spacing w:before="0" w:after="200" w:line="240" w:lineRule="auto"/>
        <w:jc w:val="both"/>
      </w:pPr>
      <w:r>
        <w:rPr>
          <w:rFonts w:ascii="Century Gothic" w:hAnsi="Century Gothic" w:cs="Century Gothic" w:eastAsia="Century Gothic"/>
          <w:b w:val="0"/>
          <w:i w:val="0"/>
          <w:sz w:val="20"/>
        </w:rPr>
        <w:t xml:space="preserve">El Plan de Estudios 2027 de la Carrera de Contaduría Pública se sustenta en los principios históricos de la </w:t>
      </w:r>
      <w:r>
        <w:rPr>
          <w:rFonts w:ascii="Century Gothic" w:hAnsi="Century Gothic" w:cs="Century Gothic" w:eastAsia="Century Gothic"/>
          <w:b/>
          <w:i w:val="0"/>
          <w:sz w:val="20"/>
        </w:rPr>
        <w:t>autonomía universitaria y el cogobierno paritario docente-estudiantil</w:t>
      </w:r>
      <w:r>
        <w:rPr>
          <w:rFonts w:ascii="Century Gothic" w:hAnsi="Century Gothic" w:cs="Century Gothic" w:eastAsia="Century Gothic"/>
          <w:b w:val="0"/>
          <w:i w:val="0"/>
          <w:sz w:val="20"/>
        </w:rPr>
        <w:t>, consagrados en el Estatuto Orgánico de la Universidad Mayor de San Andrés (UMSA) y el Modelo Académico del Sistema de la Universidad Boliviana (SUB).</w:t>
      </w:r>
    </w:p>
    <w:p>
      <w:pPr>
        <w:spacing w:before="0" w:after="200" w:line="240" w:lineRule="auto"/>
        <w:jc w:val="both"/>
      </w:pPr>
      <w:r>
        <w:rPr>
          <w:rFonts w:ascii="Century Gothic" w:hAnsi="Century Gothic" w:cs="Century Gothic" w:eastAsia="Century Gothic"/>
          <w:b w:val="0"/>
          <w:i w:val="0"/>
          <w:sz w:val="20"/>
        </w:rPr>
        <w:t xml:space="preserve">Desde una perspectiva ético-humanista, el ejercicio de la Contaduría Pública trasciende la ejecución mecánica de tareas técnicas o teneduría de libros. La profesión constituye un </w:t>
      </w:r>
      <w:r>
        <w:rPr>
          <w:rFonts w:ascii="Century Gothic" w:hAnsi="Century Gothic" w:cs="Century Gothic" w:eastAsia="Century Gothic"/>
          <w:b/>
          <w:i w:val="0"/>
          <w:sz w:val="20"/>
        </w:rPr>
        <w:t>compromiso inquebrantable con el interés público, la responsabilidad social y la transparencia institucional</w:t>
      </w:r>
      <w:r>
        <w:rPr>
          <w:rFonts w:ascii="Century Gothic" w:hAnsi="Century Gothic" w:cs="Century Gothic" w:eastAsia="Century Gothic"/>
          <w:b w:val="0"/>
          <w:i w:val="0"/>
          <w:sz w:val="20"/>
        </w:rPr>
        <w:t>. En este marco, la formación profesional articula seis valores estratégicos:</w:t>
      </w:r>
    </w:p>
    <w:p>
      <w:pPr>
        <w:numPr>
          <w:ilvl w:val="0"/>
          <w:numId w:val="932"/>
        </w:numPr>
        <w:spacing w:before="0" w:after="160" w:line="240" w:lineRule="auto"/>
        <w:jc w:val="both"/>
      </w:pPr>
      <w:r>
        <w:rPr>
          <w:rFonts w:ascii="Century Gothic" w:hAnsi="Century Gothic" w:cs="Century Gothic" w:eastAsia="Century Gothic"/>
          <w:b/>
          <w:i w:val="0"/>
          <w:sz w:val="20"/>
        </w:rPr>
        <w:t>Excelencia Profesional:</w:t>
      </w:r>
      <w:r>
        <w:rPr>
          <w:rFonts w:ascii="Century Gothic" w:hAnsi="Century Gothic" w:cs="Century Gothic" w:eastAsia="Century Gothic"/>
          <w:b w:val="0"/>
          <w:i w:val="0"/>
          <w:sz w:val="20"/>
        </w:rPr>
        <w:t xml:space="preserve"> Calidad técnica rigurosa, búsqueda constante del aprendizaje a lo largo de la vida y apego a los estándares internacionales de la profesión.</w:t>
      </w:r>
    </w:p>
    <w:p>
      <w:pPr>
        <w:numPr>
          <w:ilvl w:val="0"/>
          <w:numId w:val="932"/>
        </w:numPr>
        <w:spacing w:before="0" w:after="160" w:line="240" w:lineRule="auto"/>
        <w:jc w:val="both"/>
      </w:pPr>
      <w:r>
        <w:rPr>
          <w:rFonts w:ascii="Century Gothic" w:hAnsi="Century Gothic" w:cs="Century Gothic" w:eastAsia="Century Gothic"/>
          <w:b/>
          <w:i w:val="0"/>
          <w:sz w:val="20"/>
        </w:rPr>
        <w:t>Integridad</w:t>
      </w:r>
      <w:r>
        <w:rPr>
          <w:rFonts w:ascii="Century Gothic" w:hAnsi="Century Gothic" w:cs="Century Gothic" w:eastAsia="Century Gothic"/>
          <w:b w:val="0"/>
          <w:i w:val="0"/>
          <w:sz w:val="20"/>
        </w:rPr>
        <w:t>: Actuación transparente, honesta e independiente, defendiendo los principios éticos del Código de Ética del IESBA frente a cualquier presión o conflicto de intereses.</w:t>
      </w:r>
    </w:p>
    <w:p>
      <w:pPr>
        <w:numPr>
          <w:ilvl w:val="0"/>
          <w:numId w:val="932"/>
        </w:numPr>
        <w:spacing w:before="0" w:after="160" w:line="240" w:lineRule="auto"/>
        <w:jc w:val="both"/>
      </w:pPr>
      <w:r>
        <w:rPr>
          <w:rFonts w:ascii="Century Gothic" w:hAnsi="Century Gothic" w:cs="Century Gothic" w:eastAsia="Century Gothic"/>
          <w:b/>
          <w:i w:val="0"/>
          <w:sz w:val="20"/>
        </w:rPr>
        <w:t>Innovación</w:t>
      </w:r>
      <w:r>
        <w:rPr>
          <w:rFonts w:ascii="Century Gothic" w:hAnsi="Century Gothic" w:cs="Century Gothic" w:eastAsia="Century Gothic"/>
          <w:b w:val="0"/>
          <w:i w:val="0"/>
          <w:sz w:val="20"/>
        </w:rPr>
        <w:t>: Liderazgo en la transformación digital mediante la integración activa de Inteligencia Artificial (IA), análisis de datos (Big Data) y automatización de procesos contables y de auditoría.</w:t>
      </w:r>
    </w:p>
    <w:p>
      <w:pPr>
        <w:numPr>
          <w:ilvl w:val="0"/>
          <w:numId w:val="932"/>
        </w:numPr>
        <w:spacing w:before="0" w:after="160" w:line="240" w:lineRule="auto"/>
        <w:jc w:val="both"/>
      </w:pPr>
      <w:r>
        <w:rPr>
          <w:rFonts w:ascii="Century Gothic" w:hAnsi="Century Gothic" w:cs="Century Gothic" w:eastAsia="Century Gothic"/>
          <w:b/>
          <w:i w:val="0"/>
          <w:sz w:val="20"/>
        </w:rPr>
        <w:t>Adaptabilidad:</w:t>
      </w:r>
      <w:r>
        <w:rPr>
          <w:rFonts w:ascii="Century Gothic" w:hAnsi="Century Gothic" w:cs="Century Gothic" w:eastAsia="Century Gothic"/>
          <w:b w:val="0"/>
          <w:i w:val="0"/>
          <w:sz w:val="20"/>
        </w:rPr>
        <w:t xml:space="preserve"> Flexibilidad, agilidad y visión anticipatoria frente a transformaciones normativas, tecnológicas y económicas del entorno.</w:t>
      </w:r>
    </w:p>
    <w:p>
      <w:pPr>
        <w:numPr>
          <w:ilvl w:val="0"/>
          <w:numId w:val="932"/>
        </w:numPr>
        <w:spacing w:before="0" w:after="160" w:line="240" w:lineRule="auto"/>
        <w:jc w:val="both"/>
      </w:pPr>
      <w:r>
        <w:rPr>
          <w:rFonts w:ascii="Century Gothic" w:hAnsi="Century Gothic" w:cs="Century Gothic" w:eastAsia="Century Gothic"/>
          <w:b/>
          <w:i w:val="0"/>
          <w:sz w:val="20"/>
        </w:rPr>
        <w:t>Pensamiento Crítico:</w:t>
      </w:r>
      <w:r>
        <w:rPr>
          <w:rFonts w:ascii="Century Gothic" w:hAnsi="Century Gothic" w:cs="Century Gothic" w:eastAsia="Century Gothic"/>
          <w:b w:val="0"/>
          <w:i w:val="0"/>
          <w:sz w:val="20"/>
        </w:rPr>
        <w:t xml:space="preserve"> Evaluación rigurosa de evidencia, cuestionamiento sistemático de supuestos y fundamentación del juicio profesional en escenarios complejos.</w:t>
      </w:r>
    </w:p>
    <w:p>
      <w:pPr>
        <w:numPr>
          <w:ilvl w:val="0"/>
          <w:numId w:val="932"/>
        </w:numPr>
        <w:spacing w:before="0" w:after="200" w:line="240" w:lineRule="auto"/>
        <w:jc w:val="both"/>
      </w:pPr>
      <w:r>
        <w:rPr>
          <w:rFonts w:ascii="Century Gothic" w:hAnsi="Century Gothic" w:cs="Century Gothic" w:eastAsia="Century Gothic"/>
          <w:b/>
          <w:i w:val="0"/>
          <w:sz w:val="20"/>
        </w:rPr>
        <w:t>Responsabilidad Social:</w:t>
      </w:r>
      <w:r>
        <w:rPr>
          <w:rFonts w:ascii="Century Gothic" w:hAnsi="Century Gothic" w:cs="Century Gothic" w:eastAsia="Century Gothic"/>
          <w:b w:val="0"/>
          <w:i w:val="0"/>
          <w:sz w:val="20"/>
        </w:rPr>
        <w:t xml:space="preserve"> Compromiso con la equidad, la lucha contra la corrupción y la sostenibilidad ambiental, social y de gobernanza.</w:t>
      </w:r>
    </w:p>
    <w:p>
      <w:pPr>
        <w:keepNext/>
        <w:tabs>
          <w:tab w:pos="709" w:val="left"/>
        </w:tabs>
        <w:spacing w:before="160" w:after="200" w:line="240" w:lineRule="auto"/>
        <w:ind w:left="709" w:hanging="709"/>
        <w:jc w:val="left"/>
      </w:pPr>
      <w:r>
        <w:rPr>
          <w:rFonts w:ascii="Century Gothic" w:hAnsi="Century Gothic" w:cs="Century Gothic" w:eastAsia="Century Gothic"/>
          <w:b/>
          <w:i w:val="0"/>
          <w:sz w:val="24"/>
        </w:rPr>
        <w:t>4.2</w:t>
        <w:tab/>
      </w:r>
      <w:r>
        <w:rPr>
          <w:rFonts w:ascii="Century Gothic" w:hAnsi="Century Gothic" w:cs="Century Gothic" w:eastAsia="Century Gothic"/>
          <w:b/>
          <w:i w:val="0"/>
          <w:sz w:val="24"/>
        </w:rPr>
        <w:t>Referentes disciplinares</w:t>
      </w:r>
    </w:p>
    <w:p>
      <w:pPr>
        <w:keepNext/>
        <w:spacing w:before="40" w:after="200" w:line="240" w:lineRule="auto"/>
        <w:jc w:val="left"/>
      </w:pPr>
      <w:r>
        <w:rPr>
          <w:rFonts w:ascii="Century Gothic" w:hAnsi="Century Gothic" w:cs="Century Gothic" w:eastAsia="Century Gothic"/>
          <w:b/>
          <w:i w:val="0"/>
          <w:sz w:val="22"/>
        </w:rPr>
        <w:t>Perfil Profesional del Contador Público Autorizado</w:t>
      </w:r>
    </w:p>
    <w:p>
      <w:pPr>
        <w:spacing w:before="0" w:after="200" w:line="240" w:lineRule="auto"/>
        <w:jc w:val="both"/>
      </w:pPr>
      <w:r>
        <w:rPr>
          <w:rFonts w:ascii="Century Gothic" w:hAnsi="Century Gothic" w:cs="Century Gothic" w:eastAsia="Century Gothic"/>
          <w:b w:val="0"/>
          <w:i w:val="0"/>
          <w:sz w:val="20"/>
        </w:rPr>
        <w:t>Para fundamentar la estructura de la formación profesional en la Carrera de Contaduría Pública de la UMSA, es necesario argumentar académica, científica y profesionalmente el Perfil Profesional desde seis componentes fundamentales:</w:t>
      </w:r>
    </w:p>
    <w:p>
      <w:pPr>
        <w:numPr>
          <w:ilvl w:val="0"/>
          <w:numId w:val="943"/>
        </w:numPr>
        <w:spacing w:before="0" w:after="160" w:line="240" w:lineRule="auto"/>
        <w:jc w:val="both"/>
      </w:pPr>
      <w:r>
        <w:rPr>
          <w:rFonts w:ascii="Century Gothic" w:hAnsi="Century Gothic" w:cs="Century Gothic" w:eastAsia="Century Gothic"/>
          <w:b w:val="0"/>
          <w:i w:val="0"/>
          <w:sz w:val="20"/>
        </w:rPr>
        <w:t>Consideraciones sobre la profesión;</w:t>
      </w:r>
    </w:p>
    <w:p>
      <w:pPr>
        <w:numPr>
          <w:ilvl w:val="0"/>
          <w:numId w:val="943"/>
        </w:numPr>
        <w:spacing w:before="0" w:after="160" w:line="240" w:lineRule="auto"/>
        <w:jc w:val="both"/>
      </w:pPr>
      <w:r>
        <w:rPr>
          <w:rFonts w:ascii="Century Gothic" w:hAnsi="Century Gothic" w:cs="Century Gothic" w:eastAsia="Century Gothic"/>
          <w:b w:val="0"/>
          <w:i w:val="0"/>
          <w:sz w:val="20"/>
        </w:rPr>
        <w:t>Objeto de la profesión;</w:t>
      </w:r>
    </w:p>
    <w:p>
      <w:pPr>
        <w:numPr>
          <w:ilvl w:val="0"/>
          <w:numId w:val="943"/>
        </w:numPr>
        <w:spacing w:before="0" w:after="160" w:line="240" w:lineRule="auto"/>
        <w:jc w:val="both"/>
      </w:pPr>
      <w:r>
        <w:rPr>
          <w:rFonts w:ascii="Century Gothic" w:hAnsi="Century Gothic" w:cs="Century Gothic" w:eastAsia="Century Gothic"/>
          <w:b w:val="0"/>
          <w:i w:val="0"/>
          <w:sz w:val="20"/>
        </w:rPr>
        <w:t>Objetivos de la profesión;</w:t>
      </w:r>
    </w:p>
    <w:p>
      <w:pPr>
        <w:numPr>
          <w:ilvl w:val="0"/>
          <w:numId w:val="943"/>
        </w:numPr>
        <w:spacing w:before="0" w:after="160" w:line="240" w:lineRule="auto"/>
        <w:jc w:val="both"/>
      </w:pPr>
      <w:r>
        <w:rPr>
          <w:rFonts w:ascii="Century Gothic" w:hAnsi="Century Gothic" w:cs="Century Gothic" w:eastAsia="Century Gothic"/>
          <w:b w:val="0"/>
          <w:i w:val="0"/>
          <w:sz w:val="20"/>
        </w:rPr>
        <w:t>Entorno de la profesión;</w:t>
      </w:r>
    </w:p>
    <w:p>
      <w:pPr>
        <w:numPr>
          <w:ilvl w:val="0"/>
          <w:numId w:val="943"/>
        </w:numPr>
        <w:spacing w:before="0" w:after="160" w:line="240" w:lineRule="auto"/>
        <w:jc w:val="both"/>
      </w:pPr>
      <w:r>
        <w:rPr>
          <w:rFonts w:ascii="Century Gothic" w:hAnsi="Century Gothic" w:cs="Century Gothic" w:eastAsia="Century Gothic"/>
          <w:b w:val="0"/>
          <w:i w:val="0"/>
          <w:sz w:val="20"/>
        </w:rPr>
        <w:t>Sistemas de acciones y herramientas; y</w:t>
      </w:r>
    </w:p>
    <w:p>
      <w:pPr>
        <w:numPr>
          <w:ilvl w:val="0"/>
          <w:numId w:val="943"/>
        </w:numPr>
        <w:spacing w:before="0" w:after="200" w:line="240" w:lineRule="auto"/>
        <w:jc w:val="both"/>
      </w:pPr>
      <w:r>
        <w:rPr>
          <w:rFonts w:ascii="Century Gothic" w:hAnsi="Century Gothic" w:cs="Century Gothic" w:eastAsia="Century Gothic"/>
          <w:b w:val="0"/>
          <w:i w:val="0"/>
          <w:sz w:val="20"/>
        </w:rPr>
        <w:t>Competencias de la profesión.</w:t>
      </w:r>
    </w:p>
    <w:p>
      <w:pPr>
        <w:keepNext/>
        <w:tabs>
          <w:tab w:pos="709" w:val="left"/>
        </w:tabs>
        <w:spacing w:before="120" w:after="200" w:line="240" w:lineRule="auto"/>
        <w:ind w:left="709" w:hanging="709"/>
        <w:jc w:val="left"/>
      </w:pPr>
      <w:r>
        <w:rPr>
          <w:rFonts w:ascii="Century Gothic" w:hAnsi="Century Gothic" w:cs="Century Gothic" w:eastAsia="Century Gothic"/>
          <w:b/>
          <w:i w:val="0"/>
          <w:sz w:val="24"/>
        </w:rPr>
        <w:t>4.2.3</w:t>
        <w:tab/>
      </w:r>
      <w:r>
        <w:rPr>
          <w:rFonts w:ascii="Century Gothic" w:hAnsi="Century Gothic" w:cs="Century Gothic" w:eastAsia="Century Gothic"/>
          <w:b/>
          <w:i w:val="0"/>
          <w:sz w:val="24"/>
        </w:rPr>
        <w:t>Caracterización de la práctica de la profesión (áreas de acción y funciones)</w:t>
      </w:r>
    </w:p>
    <w:p>
      <w:pPr>
        <w:keepNext/>
        <w:tabs>
          <w:tab w:pos="992" w:val="left"/>
        </w:tabs>
        <w:spacing w:before="80" w:after="200" w:line="240" w:lineRule="auto"/>
        <w:ind w:left="992" w:hanging="992"/>
        <w:jc w:val="left"/>
      </w:pPr>
      <w:r>
        <w:rPr>
          <w:rFonts w:ascii="Century Gothic" w:hAnsi="Century Gothic" w:cs="Century Gothic" w:eastAsia="Century Gothic"/>
          <w:b/>
          <w:i w:val="0"/>
          <w:sz w:val="22"/>
        </w:rPr>
        <w:t>4.2.3.1</w:t>
        <w:tab/>
      </w:r>
      <w:r>
        <w:rPr>
          <w:rFonts w:ascii="Century Gothic" w:hAnsi="Century Gothic" w:cs="Century Gothic" w:eastAsia="Century Gothic"/>
          <w:b/>
          <w:i w:val="0"/>
          <w:sz w:val="22"/>
        </w:rPr>
        <w:t>Entorno de la Profesión</w:t>
      </w:r>
    </w:p>
    <w:p>
      <w:pPr>
        <w:spacing w:before="0" w:after="200" w:line="240" w:lineRule="auto"/>
        <w:jc w:val="both"/>
      </w:pPr>
      <w:r>
        <w:rPr>
          <w:rFonts w:ascii="Century Gothic" w:hAnsi="Century Gothic" w:cs="Century Gothic" w:eastAsia="Century Gothic"/>
          <w:b w:val="0"/>
          <w:i w:val="0"/>
          <w:sz w:val="20"/>
        </w:rPr>
        <w:t>El entorno de la profesión representa el medio socioeconómico, institucional, regulatorio y tecnológico en el cual el Contador Público Autorizado despliega su ejercicio profesional. Este medio abarca el sector público, el sector privado, entidades mixtas, organizaciones sin fines de lucro e instituciones multilaterales. Para garantizar una formación pertinente e integral, el entorno profesional se articula y evalúa desde tres dimensiones estratégicas de actuación:</w:t>
      </w:r>
    </w:p>
    <w:p>
      <w:pPr>
        <w:numPr>
          <w:ilvl w:val="0"/>
          <w:numId w:val="944"/>
        </w:numPr>
        <w:spacing w:before="0" w:after="160" w:line="240" w:lineRule="auto"/>
        <w:jc w:val="both"/>
      </w:pPr>
      <w:r>
        <w:rPr>
          <w:rFonts w:ascii="Century Gothic" w:hAnsi="Century Gothic" w:cs="Century Gothic" w:eastAsia="Century Gothic"/>
          <w:b w:val="0"/>
          <w:i w:val="0"/>
          <w:sz w:val="20"/>
        </w:rPr>
        <w:t>Rol profesional (Responsabilidad ante la sociedad e interés público);</w:t>
      </w:r>
    </w:p>
    <w:p>
      <w:pPr>
        <w:numPr>
          <w:ilvl w:val="0"/>
          <w:numId w:val="944"/>
        </w:numPr>
        <w:spacing w:before="0" w:after="160" w:line="240" w:lineRule="auto"/>
        <w:jc w:val="both"/>
      </w:pPr>
      <w:r>
        <w:rPr>
          <w:rFonts w:ascii="Century Gothic" w:hAnsi="Century Gothic" w:cs="Century Gothic" w:eastAsia="Century Gothic"/>
          <w:b w:val="0"/>
          <w:i w:val="0"/>
          <w:sz w:val="20"/>
        </w:rPr>
        <w:t>Rol organizacional (Desempeño estratégico dentro de las entidades); y</w:t>
      </w:r>
    </w:p>
    <w:p>
      <w:pPr>
        <w:numPr>
          <w:ilvl w:val="0"/>
          <w:numId w:val="944"/>
        </w:numPr>
        <w:spacing w:before="0" w:after="200" w:line="240" w:lineRule="auto"/>
        <w:jc w:val="both"/>
      </w:pPr>
      <w:r>
        <w:rPr>
          <w:rFonts w:ascii="Century Gothic" w:hAnsi="Century Gothic" w:cs="Century Gothic" w:eastAsia="Century Gothic"/>
          <w:b w:val="0"/>
          <w:i w:val="0"/>
          <w:sz w:val="20"/>
        </w:rPr>
        <w:t>Rol individual (Ejercicio libre, consultoría e innovación emprendedora).</w:t>
      </w:r>
    </w:p>
    <w:p>
      <w:pPr>
        <w:keepNext/>
        <w:spacing w:before="40" w:after="200" w:line="240" w:lineRule="auto"/>
        <w:jc w:val="left"/>
      </w:pPr>
      <w:r>
        <w:rPr>
          <w:rFonts w:ascii="Century Gothic" w:hAnsi="Century Gothic" w:cs="Century Gothic" w:eastAsia="Century Gothic"/>
          <w:b/>
          <w:i w:val="0"/>
          <w:sz w:val="22"/>
        </w:rPr>
        <w:t>Rol Profesional</w:t>
      </w:r>
    </w:p>
    <w:p>
      <w:pPr>
        <w:spacing w:before="0" w:after="200" w:line="240" w:lineRule="auto"/>
        <w:jc w:val="both"/>
      </w:pPr>
      <w:r>
        <w:rPr>
          <w:rFonts w:ascii="Century Gothic" w:hAnsi="Century Gothic" w:cs="Century Gothic" w:eastAsia="Century Gothic"/>
          <w:b w:val="0"/>
          <w:i w:val="0"/>
          <w:sz w:val="20"/>
        </w:rPr>
        <w:t>Corresponde a la responsabilidad, compromiso ético y responsabilidad pública que asume el Contador Público Autorizado ante la sociedad en su conjunto. Este rol exige actuar con estricta independencia de criterio, objetividad, confidencialidad y alta calidad técnica, suministrando servicios esenciales para la toma de decisiones y el control social en los diversos sectores de la comunidad (estatal, empresarial, financiero, laboral y civil).</w:t>
      </w:r>
    </w:p>
    <w:p>
      <w:pPr>
        <w:spacing w:before="0" w:after="200" w:line="240" w:lineRule="auto"/>
        <w:jc w:val="both"/>
      </w:pPr>
      <w:r>
        <w:rPr>
          <w:rFonts w:ascii="Century Gothic" w:hAnsi="Century Gothic" w:cs="Century Gothic" w:eastAsia="Century Gothic"/>
          <w:b w:val="0"/>
          <w:i w:val="0"/>
          <w:sz w:val="20"/>
        </w:rPr>
        <w:t>En el entorno contemporáneo, el Rol Profesional del Contador Público autorizado se desagrega en tres campos de actuación normados a nivel nacional e internacional:</w:t>
      </w:r>
    </w:p>
    <w:p>
      <w:pPr>
        <w:numPr>
          <w:ilvl w:val="0"/>
          <w:numId w:val="945"/>
        </w:numPr>
        <w:spacing w:before="0" w:after="160" w:line="240" w:lineRule="auto"/>
        <w:jc w:val="both"/>
      </w:pPr>
      <w:r>
        <w:rPr>
          <w:rFonts w:ascii="Century Gothic" w:hAnsi="Century Gothic" w:cs="Century Gothic" w:eastAsia="Century Gothic"/>
          <w:b/>
          <w:i w:val="0"/>
          <w:sz w:val="20"/>
        </w:rPr>
        <w:t>Preparación y Presentación de Información Financiera y de Sostenibilidad.</w:t>
      </w:r>
      <w:r>
        <w:rPr>
          <w:rFonts w:ascii="Century Gothic" w:hAnsi="Century Gothic" w:cs="Century Gothic" w:eastAsia="Century Gothic"/>
          <w:b w:val="0"/>
          <w:i w:val="0"/>
          <w:sz w:val="20"/>
        </w:rPr>
        <w:t xml:space="preserve"> Servicio orientado a preparar, presentar y revelar información financiera estructurada de acuerdo con normas de información financiera y disposiciones legales y regulatorias en vigencia correspondientes a las actividades de entidades del sector público y privado, y reportes no financieros alineados a los estándares de sostenibilidad.</w:t>
      </w:r>
    </w:p>
    <w:p>
      <w:pPr>
        <w:numPr>
          <w:ilvl w:val="0"/>
          <w:numId w:val="945"/>
        </w:numPr>
        <w:spacing w:before="0" w:after="160" w:line="240" w:lineRule="auto"/>
        <w:jc w:val="both"/>
      </w:pPr>
      <w:r>
        <w:rPr>
          <w:rFonts w:ascii="Century Gothic" w:hAnsi="Century Gothic" w:cs="Century Gothic" w:eastAsia="Century Gothic"/>
          <w:b/>
          <w:i w:val="0"/>
          <w:sz w:val="20"/>
        </w:rPr>
        <w:t>Servicios de Aseguramiento.</w:t>
      </w:r>
      <w:r>
        <w:rPr>
          <w:rFonts w:ascii="Century Gothic" w:hAnsi="Century Gothic" w:cs="Century Gothic" w:eastAsia="Century Gothic"/>
          <w:b w:val="0"/>
          <w:i w:val="0"/>
          <w:sz w:val="20"/>
        </w:rPr>
        <w:t xml:space="preserve"> Servicios que tienen el propósito de expresar una opinión profesional e independiente, orientada a incrementar el grado de confianza de los usuarios respecto a la materia examinada, acorde a normas de auditoría, normas de revisión, normas de aseguramiento y otros servicios relacionados en vigencia que sean aplicables, de acuerdo a la naturaleza específica de cada servicio, en entidades del sector público y privado.</w:t>
      </w:r>
    </w:p>
    <w:p>
      <w:pPr>
        <w:numPr>
          <w:ilvl w:val="0"/>
          <w:numId w:val="945"/>
        </w:numPr>
        <w:spacing w:before="0" w:after="200" w:line="240" w:lineRule="auto"/>
        <w:jc w:val="both"/>
      </w:pPr>
      <w:r>
        <w:rPr>
          <w:rFonts w:ascii="Century Gothic" w:hAnsi="Century Gothic" w:cs="Century Gothic" w:eastAsia="Century Gothic"/>
          <w:b/>
          <w:i w:val="0"/>
          <w:sz w:val="20"/>
        </w:rPr>
        <w:t>Servicios Distintos del Aseguramiento (Servicios de No Aseguramiento).</w:t>
      </w:r>
      <w:r>
        <w:rPr>
          <w:rFonts w:ascii="Century Gothic" w:hAnsi="Century Gothic" w:cs="Century Gothic" w:eastAsia="Century Gothic"/>
          <w:b w:val="0"/>
          <w:i w:val="0"/>
          <w:sz w:val="20"/>
        </w:rPr>
        <w:t xml:space="preserve"> Comprenden la ejecución de encargos sistemáticos de alta especialización, que no tienen el propósito de incrementar los niveles de confianza y consecuentemente no requieren de la emisión de una opinión pero que aportan valor crítico en consultoría estratégica, planificación fiscal, finanzas corporativas, control interno, gestión integral de riesgos y compilación de información.</w:t>
      </w:r>
    </w:p>
    <w:p>
      <w:pPr>
        <w:keepNext/>
        <w:spacing w:before="40" w:after="200" w:line="240" w:lineRule="auto"/>
        <w:jc w:val="left"/>
      </w:pPr>
      <w:r>
        <w:rPr>
          <w:rFonts w:ascii="Century Gothic" w:hAnsi="Century Gothic" w:cs="Century Gothic" w:eastAsia="Century Gothic"/>
          <w:b/>
          <w:i w:val="0"/>
          <w:sz w:val="22"/>
        </w:rPr>
        <w:t>Rol Organizacional</w:t>
      </w:r>
    </w:p>
    <w:p>
      <w:pPr>
        <w:spacing w:before="0" w:after="200" w:line="240" w:lineRule="auto"/>
        <w:jc w:val="both"/>
      </w:pPr>
      <w:r>
        <w:rPr>
          <w:rFonts w:ascii="Century Gothic" w:hAnsi="Century Gothic" w:cs="Century Gothic" w:eastAsia="Century Gothic"/>
          <w:b w:val="0"/>
          <w:i w:val="0"/>
          <w:sz w:val="20"/>
        </w:rPr>
        <w:t>Representa el compromiso del Contador Público Autorizado con el desarrollo, resiliencia, eficiencia y gobernanza de las organizaciones (personas jurídicas públicas o privadas) donde presta sus servicios. El diagnóstico del mercado laboral (Ipsos CIESMORI) demuestra que el 52% de los egresados de la carrera se desempeña como trabajador dependiente. Sin embargo, el 77% se concentra en niveles técnico-operativos y solo un 23% alcanza mandos medios o gerenciales. Por ello, el nuevo perfil curricular busca elevar el rol organizacional del Contador Público, fortaleciendo sus competencias directivas para posicionarlo como un verdadero socio estratégico de negocios (Business Partner) y Controller.</w:t>
      </w:r>
    </w:p>
    <w:p>
      <w:pPr>
        <w:spacing w:before="0" w:after="200" w:line="240" w:lineRule="auto"/>
        <w:jc w:val="both"/>
      </w:pPr>
      <w:r>
        <w:rPr>
          <w:rFonts w:ascii="Century Gothic" w:hAnsi="Century Gothic" w:cs="Century Gothic" w:eastAsia="Century Gothic"/>
          <w:b w:val="0"/>
          <w:i w:val="0"/>
          <w:sz w:val="20"/>
        </w:rPr>
        <w:t>En el ámbito organizacional, las funciones del Contador Público Autorizado incluyen:</w:t>
      </w:r>
    </w:p>
    <w:p>
      <w:pPr>
        <w:numPr>
          <w:ilvl w:val="0"/>
          <w:numId w:val="946"/>
        </w:numPr>
        <w:spacing w:before="0" w:after="160" w:line="240" w:lineRule="auto"/>
        <w:jc w:val="both"/>
      </w:pPr>
      <w:r>
        <w:rPr>
          <w:rFonts w:ascii="Century Gothic" w:hAnsi="Century Gothic" w:cs="Century Gothic" w:eastAsia="Century Gothic"/>
          <w:b/>
          <w:i w:val="0"/>
          <w:sz w:val="20"/>
        </w:rPr>
        <w:t>Diseño e Implantación de Sistemas de Información:</w:t>
      </w:r>
      <w:r>
        <w:rPr>
          <w:rFonts w:ascii="Century Gothic" w:hAnsi="Century Gothic" w:cs="Century Gothic" w:eastAsia="Century Gothic"/>
          <w:b w:val="0"/>
          <w:i w:val="0"/>
          <w:sz w:val="20"/>
        </w:rPr>
        <w:t xml:space="preserve"> Diseñar, implementar, operar y monitorear sistemas integrados de información financiera, de gestión y de sostenibilidad adaptados a la naturaleza, tamaño y tecnología de cada entidad.</w:t>
      </w:r>
    </w:p>
    <w:p>
      <w:pPr>
        <w:numPr>
          <w:ilvl w:val="0"/>
          <w:numId w:val="946"/>
        </w:numPr>
        <w:spacing w:before="0" w:after="160" w:line="240" w:lineRule="auto"/>
        <w:jc w:val="both"/>
      </w:pPr>
      <w:r>
        <w:rPr>
          <w:rFonts w:ascii="Century Gothic" w:hAnsi="Century Gothic" w:cs="Century Gothic" w:eastAsia="Century Gothic"/>
          <w:b/>
          <w:i w:val="0"/>
          <w:sz w:val="20"/>
        </w:rPr>
        <w:t>Preparación y Análisis Estratégico:</w:t>
      </w:r>
      <w:r>
        <w:rPr>
          <w:rFonts w:ascii="Century Gothic" w:hAnsi="Century Gothic" w:cs="Century Gothic" w:eastAsia="Century Gothic"/>
          <w:b w:val="0"/>
          <w:i w:val="0"/>
          <w:sz w:val="20"/>
        </w:rPr>
        <w:t xml:space="preserve"> Formular estados financieros, presupuestos y cuadros de mando, ejecutando análisis prospectivo de flujos y proyecciones financieras para respaldar decisiones ejecutivas.</w:t>
      </w:r>
    </w:p>
    <w:p>
      <w:pPr>
        <w:numPr>
          <w:ilvl w:val="0"/>
          <w:numId w:val="946"/>
        </w:numPr>
        <w:spacing w:before="0" w:after="160" w:line="240" w:lineRule="auto"/>
        <w:jc w:val="both"/>
      </w:pPr>
      <w:r>
        <w:rPr>
          <w:rFonts w:ascii="Century Gothic" w:hAnsi="Century Gothic" w:cs="Century Gothic" w:eastAsia="Century Gothic"/>
          <w:b/>
          <w:i w:val="0"/>
          <w:sz w:val="20"/>
        </w:rPr>
        <w:t>Liderazgo en la Unidad de Auditoría Interna y Control de Gestión:</w:t>
      </w:r>
      <w:r>
        <w:rPr>
          <w:rFonts w:ascii="Century Gothic" w:hAnsi="Century Gothic" w:cs="Century Gothic" w:eastAsia="Century Gothic"/>
          <w:b w:val="0"/>
          <w:i w:val="0"/>
          <w:sz w:val="20"/>
        </w:rPr>
        <w:t xml:space="preserve"> Organizar, dirigir y controlar las actividades de auditoría interna, evaluando la eficacia del sistema de control interno (modelo COSO) y la Gestión Integral de Riesgos Empresariales (ERM). El estudio de mercado señala a la Auditoría Interna como el principal campo de inserción laboral de los graduados de la UMSA (35% de prevalencia).</w:t>
      </w:r>
    </w:p>
    <w:p>
      <w:pPr>
        <w:numPr>
          <w:ilvl w:val="0"/>
          <w:numId w:val="946"/>
        </w:numPr>
        <w:spacing w:before="0" w:after="160" w:line="240" w:lineRule="auto"/>
        <w:jc w:val="both"/>
      </w:pPr>
      <w:r>
        <w:rPr>
          <w:rFonts w:ascii="Century Gothic" w:hAnsi="Century Gothic" w:cs="Century Gothic" w:eastAsia="Century Gothic"/>
          <w:b/>
          <w:i w:val="0"/>
          <w:sz w:val="20"/>
        </w:rPr>
        <w:t>Gestión Tributaria, Legal y Financiera:</w:t>
      </w:r>
      <w:r>
        <w:rPr>
          <w:rFonts w:ascii="Century Gothic" w:hAnsi="Century Gothic" w:cs="Century Gothic" w:eastAsia="Century Gothic"/>
          <w:b w:val="0"/>
          <w:i w:val="0"/>
          <w:sz w:val="20"/>
        </w:rPr>
        <w:t xml:space="preserve"> Asesorar y supervisar el estricto cumplimiento de las obligaciones fiscales, laborales, regulatorias y corporativas, previniendo contingencias y optimizando la carga tributaria en el marco de la ley.</w:t>
      </w:r>
    </w:p>
    <w:p>
      <w:pPr>
        <w:numPr>
          <w:ilvl w:val="0"/>
          <w:numId w:val="946"/>
        </w:numPr>
        <w:spacing w:before="0" w:after="200" w:line="240" w:lineRule="auto"/>
        <w:jc w:val="both"/>
      </w:pPr>
      <w:r>
        <w:rPr>
          <w:rFonts w:ascii="Century Gothic" w:hAnsi="Century Gothic" w:cs="Century Gothic" w:eastAsia="Century Gothic"/>
          <w:b/>
          <w:i w:val="0"/>
          <w:sz w:val="20"/>
        </w:rPr>
        <w:t>Aseguramiento del Interés Público Organizacional:</w:t>
      </w:r>
      <w:r>
        <w:rPr>
          <w:rFonts w:ascii="Century Gothic" w:hAnsi="Century Gothic" w:cs="Century Gothic" w:eastAsia="Century Gothic"/>
          <w:b w:val="0"/>
          <w:i w:val="0"/>
          <w:sz w:val="20"/>
        </w:rPr>
        <w:t xml:space="preserve"> Velar por el interés público, la transparencia en el uso de recursos y el desarrollo de programas de cumplimiento anticorrupción (Compliance).</w:t>
      </w:r>
    </w:p>
    <w:p>
      <w:pPr>
        <w:keepNext/>
        <w:spacing w:before="40" w:after="200" w:line="240" w:lineRule="auto"/>
        <w:jc w:val="left"/>
      </w:pPr>
      <w:r>
        <w:rPr>
          <w:rFonts w:ascii="Century Gothic" w:hAnsi="Century Gothic" w:cs="Century Gothic" w:eastAsia="Century Gothic"/>
          <w:b/>
          <w:i w:val="0"/>
          <w:sz w:val="22"/>
        </w:rPr>
        <w:t>Rol Individual</w:t>
      </w:r>
    </w:p>
    <w:p>
      <w:pPr>
        <w:spacing w:before="0" w:after="200" w:line="240" w:lineRule="auto"/>
        <w:jc w:val="both"/>
      </w:pPr>
      <w:r>
        <w:rPr>
          <w:rFonts w:ascii="Century Gothic" w:hAnsi="Century Gothic" w:cs="Century Gothic" w:eastAsia="Century Gothic"/>
          <w:b w:val="0"/>
          <w:i w:val="0"/>
          <w:sz w:val="20"/>
        </w:rPr>
        <w:t>Corresponde a la actuación del Contador Público Autorizado en el ejercicio libre de la profesión (profesional independiente, consultor o emprendedor) y en los campos de la investigación y la docencia universitaria. El análisis de inserción laboral revela que el 41% de los profesionales de Contaduría Pública ejercen mediante la modalidad de cuenta propia o consultoría independiente.</w:t>
      </w:r>
    </w:p>
    <w:p>
      <w:pPr>
        <w:spacing w:before="0" w:after="200" w:line="240" w:lineRule="auto"/>
        <w:jc w:val="both"/>
      </w:pPr>
      <w:r>
        <w:rPr>
          <w:rFonts w:ascii="Century Gothic" w:hAnsi="Century Gothic" w:cs="Century Gothic" w:eastAsia="Century Gothic"/>
          <w:b w:val="0"/>
          <w:i w:val="0"/>
          <w:sz w:val="20"/>
        </w:rPr>
        <w:t>En este entorno, el Contador Público despliega su autonomía técnica y ética para:</w:t>
      </w:r>
    </w:p>
    <w:p>
      <w:pPr>
        <w:numPr>
          <w:ilvl w:val="0"/>
          <w:numId w:val="947"/>
        </w:numPr>
        <w:spacing w:before="0" w:after="160" w:line="240" w:lineRule="auto"/>
        <w:jc w:val="both"/>
      </w:pPr>
      <w:r>
        <w:rPr>
          <w:rFonts w:ascii="Century Gothic" w:hAnsi="Century Gothic" w:cs="Century Gothic" w:eastAsia="Century Gothic"/>
          <w:b/>
          <w:i w:val="0"/>
          <w:sz w:val="20"/>
        </w:rPr>
        <w:t>Prestación de Servicios Independientes de Consultoría y Auditoría:</w:t>
      </w:r>
      <w:r>
        <w:rPr>
          <w:rFonts w:ascii="Century Gothic" w:hAnsi="Century Gothic" w:cs="Century Gothic" w:eastAsia="Century Gothic"/>
          <w:b w:val="0"/>
          <w:i w:val="0"/>
          <w:sz w:val="20"/>
        </w:rPr>
        <w:t xml:space="preserve"> Ofrecer asesoramiento altamente especializado a pequeñas, medianas y grandes empresas en finanzas, impuestos, control interno, gestión de riesgos, peritaje judicial/forense y sistemas de contabilidad automatizados.</w:t>
      </w:r>
    </w:p>
    <w:p>
      <w:pPr>
        <w:numPr>
          <w:ilvl w:val="0"/>
          <w:numId w:val="947"/>
        </w:numPr>
        <w:spacing w:before="0" w:after="160" w:line="240" w:lineRule="auto"/>
        <w:jc w:val="both"/>
      </w:pPr>
      <w:r>
        <w:rPr>
          <w:rFonts w:ascii="Century Gothic" w:hAnsi="Century Gothic" w:cs="Century Gothic" w:eastAsia="Century Gothic"/>
          <w:b/>
          <w:i w:val="0"/>
          <w:sz w:val="20"/>
        </w:rPr>
        <w:t>Aseguramiento Externo e Independencia Profesional:</w:t>
      </w:r>
      <w:r>
        <w:rPr>
          <w:rFonts w:ascii="Century Gothic" w:hAnsi="Century Gothic" w:cs="Century Gothic" w:eastAsia="Century Gothic"/>
          <w:b w:val="0"/>
          <w:i w:val="0"/>
          <w:sz w:val="20"/>
        </w:rPr>
        <w:t xml:space="preserve"> Emitir informes como auditor externo independiente de estados financieros, proyectos de inversión e informes de sostenibilidad para terceros interesados (bancos, inversionistas, fisco).</w:t>
      </w:r>
    </w:p>
    <w:p>
      <w:pPr>
        <w:numPr>
          <w:ilvl w:val="0"/>
          <w:numId w:val="947"/>
        </w:numPr>
        <w:spacing w:before="0" w:after="200" w:line="240" w:lineRule="auto"/>
        <w:jc w:val="both"/>
      </w:pPr>
      <w:r>
        <w:rPr>
          <w:rFonts w:ascii="Century Gothic" w:hAnsi="Century Gothic" w:cs="Century Gothic" w:eastAsia="Century Gothic"/>
          <w:b/>
          <w:i w:val="0"/>
          <w:sz w:val="20"/>
        </w:rPr>
        <w:t>Investigación Científica, Innovación y Docencia:</w:t>
      </w:r>
      <w:r>
        <w:rPr>
          <w:rFonts w:ascii="Century Gothic" w:hAnsi="Century Gothic" w:cs="Century Gothic" w:eastAsia="Century Gothic"/>
          <w:b w:val="0"/>
          <w:i w:val="0"/>
          <w:sz w:val="20"/>
        </w:rPr>
        <w:t xml:space="preserve"> Desarrollar investigación aplicada sobre la ciencia contable, aportar en la solución de la problemática económica nacional, e impartir docencia de grado y postgrado para la formación de las futuras generaciones.</w:t>
      </w:r>
    </w:p>
    <w:p>
      <w:pPr>
        <w:keepNext/>
        <w:tabs>
          <w:tab w:pos="992" w:val="left"/>
        </w:tabs>
        <w:spacing w:before="80" w:after="200" w:line="240" w:lineRule="auto"/>
        <w:ind w:left="992" w:hanging="992"/>
        <w:jc w:val="left"/>
      </w:pPr>
      <w:r>
        <w:rPr>
          <w:rFonts w:ascii="Century Gothic" w:hAnsi="Century Gothic" w:cs="Century Gothic" w:eastAsia="Century Gothic"/>
          <w:b/>
          <w:i w:val="0"/>
          <w:sz w:val="22"/>
        </w:rPr>
        <w:t>4.2.3.1</w:t>
        <w:tab/>
      </w:r>
      <w:r>
        <w:rPr>
          <w:rFonts w:ascii="Century Gothic" w:hAnsi="Century Gothic" w:cs="Century Gothic" w:eastAsia="Century Gothic"/>
          <w:b/>
          <w:i w:val="0"/>
          <w:sz w:val="22"/>
        </w:rPr>
        <w:t>Caracterización de las Áreas de Desempeño Profesional</w:t>
      </w:r>
    </w:p>
    <w:p>
      <w:pPr>
        <w:spacing w:before="0" w:after="200" w:line="240" w:lineRule="auto"/>
        <w:jc w:val="both"/>
      </w:pPr>
      <w:r>
        <w:rPr>
          <w:rFonts w:ascii="Century Gothic" w:hAnsi="Century Gothic" w:cs="Century Gothic" w:eastAsia="Century Gothic"/>
          <w:b w:val="0"/>
          <w:i w:val="0"/>
          <w:sz w:val="20"/>
        </w:rPr>
        <w:t xml:space="preserve">El ejercicio profesional del </w:t>
      </w:r>
      <w:r>
        <w:rPr>
          <w:rFonts w:ascii="Century Gothic" w:hAnsi="Century Gothic" w:cs="Century Gothic" w:eastAsia="Century Gothic"/>
          <w:b/>
          <w:i w:val="0"/>
          <w:sz w:val="20"/>
        </w:rPr>
        <w:t>Contador Público Autorizado (CPA)</w:t>
      </w:r>
      <w:r>
        <w:rPr>
          <w:rFonts w:ascii="Century Gothic" w:hAnsi="Century Gothic" w:cs="Century Gothic" w:eastAsia="Century Gothic"/>
          <w:b w:val="0"/>
          <w:i w:val="0"/>
          <w:sz w:val="20"/>
        </w:rPr>
        <w:t xml:space="preserve"> formado en la Universidad Mayor de San Andrés se despliega en diversos campos de actuación en organizaciones públicas, privadas, mixtas y en el ejercicio independiente, respondiendo a la complejidad del entorno y la transformación digital:</w:t>
      </w:r>
    </w:p>
    <w:p>
      <w:pPr>
        <w:numPr>
          <w:ilvl w:val="0"/>
          <w:numId w:val="963"/>
        </w:numPr>
        <w:spacing w:before="0" w:after="160" w:line="240" w:lineRule="auto"/>
        <w:jc w:val="both"/>
      </w:pPr>
      <w:r>
        <w:rPr>
          <w:rFonts w:ascii="Century Gothic" w:hAnsi="Century Gothic" w:cs="Century Gothic" w:eastAsia="Century Gothic"/>
          <w:b/>
          <w:i w:val="0"/>
          <w:sz w:val="20"/>
        </w:rPr>
        <w:t>Contabilidad Externa e Información Integral:</w:t>
      </w:r>
      <w:r>
        <w:rPr>
          <w:rFonts w:ascii="Century Gothic" w:hAnsi="Century Gothic" w:cs="Century Gothic" w:eastAsia="Century Gothic"/>
          <w:b w:val="0"/>
          <w:i w:val="0"/>
          <w:sz w:val="20"/>
        </w:rPr>
        <w:t xml:space="preserve"> Preparación, consolidación y emisión de estados financieros de propósito general y específico bajo Normas de Contabilidad Generalmente Aceptadas en Bolivia (NCGA), Normas Internacionales de Información Financiera (Normas NIIF de Contabilidad / NIIF para las PYMES), Normas Básicas del Sistema de Contabilidad Gubernamental Integrado (SCGI) y NICSP.</w:t>
      </w:r>
    </w:p>
    <w:p>
      <w:pPr>
        <w:numPr>
          <w:ilvl w:val="0"/>
          <w:numId w:val="963"/>
        </w:numPr>
        <w:spacing w:before="0" w:after="160" w:line="240" w:lineRule="auto"/>
        <w:jc w:val="both"/>
      </w:pPr>
      <w:r>
        <w:rPr>
          <w:rFonts w:ascii="Century Gothic" w:hAnsi="Century Gothic" w:cs="Century Gothic" w:eastAsia="Century Gothic"/>
          <w:b/>
          <w:i w:val="0"/>
          <w:sz w:val="20"/>
        </w:rPr>
        <w:t>Contabilidad Interna y de Gestión:</w:t>
      </w:r>
      <w:r>
        <w:rPr>
          <w:rFonts w:ascii="Century Gothic" w:hAnsi="Century Gothic" w:cs="Century Gothic" w:eastAsia="Century Gothic"/>
          <w:b w:val="0"/>
          <w:i w:val="0"/>
          <w:sz w:val="20"/>
        </w:rPr>
        <w:t xml:space="preserve"> Diseño y supervisión de sistemas de contabilidad de costos, presupuestos, indicadores de gestión, cuadros de mando integral (Balanced Scorecard) e información prospectiva para la toma de decisiones estratégicas.</w:t>
      </w:r>
    </w:p>
    <w:p>
      <w:pPr>
        <w:numPr>
          <w:ilvl w:val="0"/>
          <w:numId w:val="963"/>
        </w:numPr>
        <w:spacing w:before="0" w:after="160" w:line="240" w:lineRule="auto"/>
        <w:jc w:val="both"/>
      </w:pPr>
      <w:r>
        <w:rPr>
          <w:rFonts w:ascii="Century Gothic" w:hAnsi="Century Gothic" w:cs="Century Gothic" w:eastAsia="Century Gothic"/>
          <w:b/>
          <w:i w:val="0"/>
          <w:sz w:val="20"/>
        </w:rPr>
        <w:t>Servicios de Aseguramiento (Auditoría y Revisión Independiente):</w:t>
      </w:r>
      <w:r>
        <w:rPr>
          <w:rFonts w:ascii="Century Gothic" w:hAnsi="Century Gothic" w:cs="Century Gothic" w:eastAsia="Century Gothic"/>
          <w:b w:val="0"/>
          <w:i w:val="0"/>
          <w:sz w:val="20"/>
        </w:rPr>
        <w:t xml:space="preserve"> Planificación, ejecución y la emisión de informes de encargos de seguridad razonable (auditoría financiera, gubernamental, operativa, de sistemas, de sostenibilidad, ambiental, forense y de proyectos) emitiendo informes independientes en conformidad con las Normas de Auditoría Generalmente Aceptadas en Bolivia (NAGA), Normas Internacionales de Auditoría, Normas de Auditoría Gubernamental, Normas Internacionales de Encargos de Aseguramiento y Normas Internacionales de Aseguramiento de la Sostenibilidad; y encargos de seguridad limitada (revisión de información financiera) emitido informes independientes de acuerdo con las Normas Internacionales de Encargos de Revisión.</w:t>
      </w:r>
    </w:p>
    <w:p>
      <w:pPr>
        <w:numPr>
          <w:ilvl w:val="0"/>
          <w:numId w:val="963"/>
        </w:numPr>
        <w:spacing w:before="0" w:after="160" w:line="240" w:lineRule="auto"/>
        <w:jc w:val="both"/>
      </w:pPr>
      <w:r>
        <w:rPr>
          <w:rFonts w:ascii="Century Gothic" w:hAnsi="Century Gothic" w:cs="Century Gothic" w:eastAsia="Century Gothic"/>
          <w:b/>
          <w:i w:val="0"/>
          <w:sz w:val="20"/>
        </w:rPr>
        <w:t>Servicios de No Aseguramiento y Consultoría Especializada:</w:t>
      </w:r>
      <w:r>
        <w:rPr>
          <w:rFonts w:ascii="Century Gothic" w:hAnsi="Century Gothic" w:cs="Century Gothic" w:eastAsia="Century Gothic"/>
          <w:b w:val="0"/>
          <w:i w:val="0"/>
          <w:sz w:val="20"/>
        </w:rPr>
        <w:t xml:space="preserve"> Realización de procedimientos acordados, en base a la NISR 4400, compilación de información financiera, de acuerdo con la NISR 4410, peritajes judiciales y consultorías de organización y métodos.</w:t>
      </w:r>
    </w:p>
    <w:p>
      <w:pPr>
        <w:numPr>
          <w:ilvl w:val="0"/>
          <w:numId w:val="963"/>
        </w:numPr>
        <w:spacing w:before="0" w:after="160" w:line="240" w:lineRule="auto"/>
        <w:jc w:val="both"/>
      </w:pPr>
      <w:r>
        <w:rPr>
          <w:rFonts w:ascii="Century Gothic" w:hAnsi="Century Gothic" w:cs="Century Gothic" w:eastAsia="Century Gothic"/>
          <w:b/>
          <w:i w:val="0"/>
          <w:sz w:val="20"/>
        </w:rPr>
        <w:t>Gestión y Cumplimiento Tributario, Fiscal y Aduanero:</w:t>
      </w:r>
      <w:r>
        <w:rPr>
          <w:rFonts w:ascii="Century Gothic" w:hAnsi="Century Gothic" w:cs="Century Gothic" w:eastAsia="Century Gothic"/>
          <w:b w:val="0"/>
          <w:i w:val="0"/>
          <w:sz w:val="20"/>
        </w:rPr>
        <w:t xml:space="preserve"> Planificación impositiva, determinación, liquidación y auditoría de obligaciones tributarias nacionales, departamentales y municipales, previniendo contingencias fiscales dentro del marco regulatorio del Código Tributario y la legislación aduanera.</w:t>
      </w:r>
    </w:p>
    <w:p>
      <w:pPr>
        <w:numPr>
          <w:ilvl w:val="0"/>
          <w:numId w:val="963"/>
        </w:numPr>
        <w:spacing w:before="0" w:after="160" w:line="240" w:lineRule="auto"/>
        <w:jc w:val="both"/>
      </w:pPr>
      <w:r>
        <w:rPr>
          <w:rFonts w:ascii="Century Gothic" w:hAnsi="Century Gothic" w:cs="Century Gothic" w:eastAsia="Century Gothic"/>
          <w:b/>
          <w:i w:val="0"/>
          <w:sz w:val="20"/>
        </w:rPr>
        <w:t>Finanzas Corporativas y Dirección Estratégica:</w:t>
      </w:r>
      <w:r>
        <w:rPr>
          <w:rFonts w:ascii="Century Gothic" w:hAnsi="Century Gothic" w:cs="Century Gothic" w:eastAsia="Century Gothic"/>
          <w:b w:val="0"/>
          <w:i w:val="0"/>
          <w:sz w:val="20"/>
        </w:rPr>
        <w:t xml:space="preserve"> Dirección financiera, presupuestación de capital, gestión en mercados de valores, evaluación de proyectos de inversión y formulación de políticas de estructuración de capital.</w:t>
      </w:r>
    </w:p>
    <w:p>
      <w:pPr>
        <w:numPr>
          <w:ilvl w:val="0"/>
          <w:numId w:val="963"/>
        </w:numPr>
        <w:spacing w:before="0" w:after="200" w:line="240" w:lineRule="auto"/>
        <w:jc w:val="both"/>
      </w:pPr>
      <w:r>
        <w:rPr>
          <w:rFonts w:ascii="Century Gothic" w:hAnsi="Century Gothic" w:cs="Century Gothic" w:eastAsia="Century Gothic"/>
          <w:b/>
          <w:i w:val="0"/>
          <w:sz w:val="20"/>
        </w:rPr>
        <w:t>Gobernanza, Control Interno y Gestión Integral de Riesgos:</w:t>
      </w:r>
      <w:r>
        <w:rPr>
          <w:rFonts w:ascii="Century Gothic" w:hAnsi="Century Gothic" w:cs="Century Gothic" w:eastAsia="Century Gothic"/>
          <w:b w:val="0"/>
          <w:i w:val="0"/>
          <w:sz w:val="20"/>
        </w:rPr>
        <w:t xml:space="preserve"> Evaluación y diseño de estructuras de control interno, gestión de riesgos empresariales y gobernanza digital.</w:t>
      </w:r>
    </w:p>
    <w:p>
      <w:pPr>
        <w:keepNext/>
        <w:tabs>
          <w:tab w:pos="992" w:val="left"/>
        </w:tabs>
        <w:spacing w:before="80" w:after="200" w:line="240" w:lineRule="auto"/>
        <w:ind w:left="992" w:hanging="992"/>
        <w:jc w:val="left"/>
      </w:pPr>
      <w:r>
        <w:rPr>
          <w:rFonts w:ascii="Century Gothic" w:hAnsi="Century Gothic" w:cs="Century Gothic" w:eastAsia="Century Gothic"/>
          <w:b/>
          <w:i w:val="0"/>
          <w:sz w:val="22"/>
        </w:rPr>
        <w:t>4.2.3.2</w:t>
        <w:tab/>
      </w:r>
      <w:r>
        <w:rPr>
          <w:rFonts w:ascii="Century Gothic" w:hAnsi="Century Gothic" w:cs="Century Gothic" w:eastAsia="Century Gothic"/>
          <w:b/>
          <w:i w:val="0"/>
          <w:sz w:val="22"/>
        </w:rPr>
        <w:t>Sistema de Acciones y Herramientas</w:t>
      </w:r>
    </w:p>
    <w:p>
      <w:pPr>
        <w:spacing w:before="0" w:after="200" w:line="240" w:lineRule="auto"/>
        <w:jc w:val="both"/>
      </w:pPr>
      <w:r>
        <w:rPr>
          <w:rFonts w:ascii="Century Gothic" w:hAnsi="Century Gothic" w:cs="Century Gothic" w:eastAsia="Century Gothic"/>
          <w:b w:val="0"/>
          <w:i w:val="0"/>
          <w:sz w:val="20"/>
        </w:rPr>
        <w:t xml:space="preserve">El sistema de acciones y herramientas comprende el conjunto de operaciones, procedimientos, metodologías, instrumentos tecnológicos y lenguajes mediante los cuales el Contador Público Autorizado materializa su desempeño profesional en la solución de problemas concretos del entorno. Conforme al enfoque por competencias y a la teoría del pensamiento complejo, las acciones se clasifican en </w:t>
      </w:r>
      <w:r>
        <w:rPr>
          <w:rFonts w:ascii="Century Gothic" w:hAnsi="Century Gothic" w:cs="Century Gothic" w:eastAsia="Century Gothic"/>
          <w:b/>
          <w:i w:val="0"/>
          <w:sz w:val="20"/>
        </w:rPr>
        <w:t>actividades invariantes</w:t>
      </w:r>
      <w:r>
        <w:rPr>
          <w:rFonts w:ascii="Century Gothic" w:hAnsi="Century Gothic" w:cs="Century Gothic" w:eastAsia="Century Gothic"/>
          <w:b w:val="0"/>
          <w:i w:val="0"/>
          <w:sz w:val="20"/>
        </w:rPr>
        <w:t xml:space="preserve"> (el núcleo profesional permanente) y </w:t>
      </w:r>
      <w:r>
        <w:rPr>
          <w:rFonts w:ascii="Century Gothic" w:hAnsi="Century Gothic" w:cs="Century Gothic" w:eastAsia="Century Gothic"/>
          <w:b/>
          <w:i w:val="0"/>
          <w:sz w:val="20"/>
        </w:rPr>
        <w:t>actividades variantes</w:t>
      </w:r>
      <w:r>
        <w:rPr>
          <w:rFonts w:ascii="Century Gothic" w:hAnsi="Century Gothic" w:cs="Century Gothic" w:eastAsia="Century Gothic"/>
          <w:b w:val="0"/>
          <w:i w:val="0"/>
          <w:sz w:val="20"/>
        </w:rPr>
        <w:t xml:space="preserve"> (los campos emergentes e innovadores), respaldadas por un repertorio avanzado de </w:t>
      </w:r>
      <w:r>
        <w:rPr>
          <w:rFonts w:ascii="Century Gothic" w:hAnsi="Century Gothic" w:cs="Century Gothic" w:eastAsia="Century Gothic"/>
          <w:b/>
          <w:i w:val="0"/>
          <w:sz w:val="20"/>
        </w:rPr>
        <w:t>herramientas tecnológicas, analíticas y de comunicación internacional</w:t>
      </w:r>
      <w:r>
        <w:rPr>
          <w:rFonts w:ascii="Century Gothic" w:hAnsi="Century Gothic" w:cs="Century Gothic" w:eastAsia="Century Gothic"/>
          <w:b w:val="0"/>
          <w:i w:val="0"/>
          <w:sz w:val="20"/>
        </w:rPr>
        <w:t>.</w:t>
      </w:r>
    </w:p>
    <w:p>
      <w:pPr>
        <w:keepNext/>
        <w:spacing w:before="40" w:after="200" w:line="240" w:lineRule="auto"/>
        <w:jc w:val="left"/>
      </w:pPr>
      <w:r>
        <w:rPr>
          <w:rFonts w:ascii="Century Gothic" w:hAnsi="Century Gothic" w:cs="Century Gothic" w:eastAsia="Century Gothic"/>
          <w:b/>
          <w:i w:val="0"/>
          <w:sz w:val="22"/>
        </w:rPr>
        <w:t>Actividades Invariantes (Núcleo Profesional Fundamental)</w:t>
      </w:r>
    </w:p>
    <w:p>
      <w:pPr>
        <w:spacing w:before="0" w:after="200" w:line="240" w:lineRule="auto"/>
        <w:jc w:val="both"/>
      </w:pPr>
      <w:r>
        <w:rPr>
          <w:rFonts w:ascii="Century Gothic" w:hAnsi="Century Gothic" w:cs="Century Gothic" w:eastAsia="Century Gothic"/>
          <w:b w:val="0"/>
          <w:i w:val="0"/>
          <w:sz w:val="20"/>
        </w:rPr>
        <w:t>Son aquellas actuaciones indispensables e irrenunciables que constituyen la columna vertebral del ejercicio del Contador Público Autorizado, independientemente de la naturaleza de la organización o del sector socioeconómico:</w:t>
      </w:r>
    </w:p>
    <w:p>
      <w:pPr>
        <w:numPr>
          <w:ilvl w:val="0"/>
          <w:numId w:val="948"/>
        </w:numPr>
        <w:spacing w:before="0" w:after="200" w:line="240" w:lineRule="auto"/>
        <w:jc w:val="both"/>
      </w:pPr>
      <w:r>
        <w:rPr>
          <w:rFonts w:ascii="Century Gothic" w:hAnsi="Century Gothic" w:cs="Century Gothic" w:eastAsia="Century Gothic"/>
          <w:b/>
          <w:i w:val="0"/>
          <w:sz w:val="20"/>
        </w:rPr>
        <w:t>Diseño, Operación y Supervisión de Sistemas de Información Financiera y de Sostenibilidad:</w:t>
      </w:r>
    </w:p>
    <w:p>
      <w:pPr>
        <w:numPr>
          <w:ilvl w:val="0"/>
          <w:numId w:val="949"/>
        </w:numPr>
        <w:spacing w:before="0" w:after="160" w:line="240" w:lineRule="auto"/>
        <w:jc w:val="both"/>
      </w:pPr>
      <w:r>
        <w:rPr>
          <w:rFonts w:ascii="Century Gothic" w:hAnsi="Century Gothic" w:cs="Century Gothic" w:eastAsia="Century Gothic"/>
          <w:b w:val="0"/>
          <w:i w:val="0"/>
          <w:sz w:val="20"/>
        </w:rPr>
        <w:t>Estructurar el plan de cuentas, políticas contables y flujos de información transaccional bajo Normas de Información Financiera (NCGA en Bolivia, Normas NIIF de Contabilidad, NIIF para las PYMES, Normas Básicas del Sistema de Contabilidad Gubernamental Integrado y NICSP).</w:t>
      </w:r>
    </w:p>
    <w:p>
      <w:pPr>
        <w:numPr>
          <w:ilvl w:val="0"/>
          <w:numId w:val="949"/>
        </w:numPr>
        <w:spacing w:before="0" w:after="200" w:line="240" w:lineRule="auto"/>
        <w:jc w:val="both"/>
      </w:pPr>
      <w:r>
        <w:rPr>
          <w:rFonts w:ascii="Century Gothic" w:hAnsi="Century Gothic" w:cs="Century Gothic" w:eastAsia="Century Gothic"/>
          <w:b w:val="0"/>
          <w:i w:val="0"/>
          <w:sz w:val="20"/>
        </w:rPr>
        <w:t>Elaborar, consolidar y presentar el juego completo de estados financieros e informes de sostenibilidad (criterios ESG / Normas NIIF de Sostenibilidad) con sus respectivas notas revelatorias.</w:t>
      </w:r>
    </w:p>
    <w:p>
      <w:pPr>
        <w:numPr>
          <w:ilvl w:val="0"/>
          <w:numId w:val="948"/>
        </w:numPr>
        <w:spacing w:before="0" w:after="200" w:line="240" w:lineRule="auto"/>
        <w:jc w:val="both"/>
      </w:pPr>
      <w:r>
        <w:rPr>
          <w:rFonts w:ascii="Century Gothic" w:hAnsi="Century Gothic" w:cs="Century Gothic" w:eastAsia="Century Gothic"/>
          <w:b/>
          <w:i w:val="0"/>
          <w:sz w:val="20"/>
        </w:rPr>
        <w:t>Ejecución de Servicios de Aseguramiento y Auditoría:</w:t>
      </w:r>
    </w:p>
    <w:p>
      <w:pPr>
        <w:numPr>
          <w:ilvl w:val="0"/>
          <w:numId w:val="949"/>
        </w:numPr>
        <w:spacing w:before="0" w:after="160" w:line="240" w:lineRule="auto"/>
        <w:jc w:val="both"/>
      </w:pPr>
      <w:r>
        <w:rPr>
          <w:rFonts w:ascii="Century Gothic" w:hAnsi="Century Gothic" w:cs="Century Gothic" w:eastAsia="Century Gothic"/>
          <w:b w:val="0"/>
          <w:i w:val="0"/>
          <w:sz w:val="20"/>
        </w:rPr>
        <w:t>Planificar, ejecutar y evaluar encargos de auditoría de estados financieros (Normas de Auditoría Generalmente Aceptadas en Bolivia o Normas Internacionales de Auditoría), emitiendo informes independientes sobre la razonabilidad financiera.</w:t>
      </w:r>
    </w:p>
    <w:p>
      <w:pPr>
        <w:numPr>
          <w:ilvl w:val="0"/>
          <w:numId w:val="949"/>
        </w:numPr>
        <w:spacing w:before="0" w:after="160" w:line="240" w:lineRule="auto"/>
        <w:jc w:val="both"/>
      </w:pPr>
      <w:r>
        <w:rPr>
          <w:rFonts w:ascii="Century Gothic" w:hAnsi="Century Gothic" w:cs="Century Gothic" w:eastAsia="Century Gothic"/>
          <w:b w:val="0"/>
          <w:i w:val="0"/>
          <w:sz w:val="20"/>
        </w:rPr>
        <w:t>Realizar auditorías gubernamentales y de control posterior en entidades del sector público conforme a las Normas de Auditoría Gubernamental de la Contraloría General del Estado y la Ley 1178.</w:t>
      </w:r>
    </w:p>
    <w:p>
      <w:pPr>
        <w:numPr>
          <w:ilvl w:val="0"/>
          <w:numId w:val="949"/>
        </w:numPr>
        <w:spacing w:before="0" w:after="160" w:line="240" w:lineRule="auto"/>
        <w:jc w:val="both"/>
      </w:pPr>
      <w:r>
        <w:rPr>
          <w:rFonts w:ascii="Century Gothic" w:hAnsi="Century Gothic" w:cs="Century Gothic" w:eastAsia="Century Gothic"/>
          <w:b w:val="0"/>
          <w:i w:val="0"/>
          <w:sz w:val="20"/>
        </w:rPr>
        <w:t>Evaluar la eficacia de los sistemas de control interno aplicando marcos integrados (COSO).</w:t>
      </w:r>
    </w:p>
    <w:p>
      <w:pPr>
        <w:numPr>
          <w:ilvl w:val="0"/>
          <w:numId w:val="949"/>
        </w:numPr>
        <w:spacing w:before="0" w:after="200" w:line="240" w:lineRule="auto"/>
        <w:jc w:val="both"/>
      </w:pPr>
      <w:r>
        <w:rPr>
          <w:rFonts w:ascii="Century Gothic" w:hAnsi="Century Gothic" w:cs="Century Gothic" w:eastAsia="Century Gothic"/>
          <w:b w:val="0"/>
          <w:i w:val="0"/>
          <w:sz w:val="20"/>
        </w:rPr>
        <w:t>Realizar auditorías específicas sobre materias subyacentes objeto de análisis adecuadas, tales como auditorías operativas, auditorías de sistemas y auditorías ambientales, entre otras.</w:t>
      </w:r>
    </w:p>
    <w:p>
      <w:pPr>
        <w:numPr>
          <w:ilvl w:val="0"/>
          <w:numId w:val="948"/>
        </w:numPr>
        <w:spacing w:before="0" w:after="200" w:line="240" w:lineRule="auto"/>
        <w:jc w:val="both"/>
      </w:pPr>
      <w:r>
        <w:rPr>
          <w:rFonts w:ascii="Century Gothic" w:hAnsi="Century Gothic" w:cs="Century Gothic" w:eastAsia="Century Gothic"/>
          <w:b/>
          <w:i w:val="0"/>
          <w:sz w:val="20"/>
        </w:rPr>
        <w:t>Gestión y Cumplimiento Tributario, Fiscal y Laboral:</w:t>
      </w:r>
    </w:p>
    <w:p>
      <w:pPr>
        <w:numPr>
          <w:ilvl w:val="0"/>
          <w:numId w:val="949"/>
        </w:numPr>
        <w:spacing w:before="0" w:after="160" w:line="240" w:lineRule="auto"/>
        <w:jc w:val="both"/>
      </w:pPr>
      <w:r>
        <w:rPr>
          <w:rFonts w:ascii="Century Gothic" w:hAnsi="Century Gothic" w:cs="Century Gothic" w:eastAsia="Century Gothic"/>
          <w:b w:val="0"/>
          <w:i w:val="0"/>
          <w:sz w:val="20"/>
        </w:rPr>
        <w:t>Determinar, liquidar y revisar las obligaciones impositivas nacionales, departamentales y municipales, previniendo contingencias fiscales y optimizando la carga tributaria en el marco legal.</w:t>
      </w:r>
    </w:p>
    <w:p>
      <w:pPr>
        <w:numPr>
          <w:ilvl w:val="0"/>
          <w:numId w:val="949"/>
        </w:numPr>
        <w:spacing w:before="0" w:after="200" w:line="240" w:lineRule="auto"/>
        <w:jc w:val="both"/>
      </w:pPr>
      <w:r>
        <w:rPr>
          <w:rFonts w:ascii="Century Gothic" w:hAnsi="Century Gothic" w:cs="Century Gothic" w:eastAsia="Century Gothic"/>
          <w:b w:val="0"/>
          <w:i w:val="0"/>
          <w:sz w:val="20"/>
        </w:rPr>
        <w:t>Fiscalizar el cumplimiento de aportes a la seguridad social y normativas laborales vigentes.</w:t>
      </w:r>
    </w:p>
    <w:p>
      <w:pPr>
        <w:keepNext/>
        <w:spacing w:before="40" w:after="200" w:line="240" w:lineRule="auto"/>
        <w:jc w:val="left"/>
      </w:pPr>
      <w:r>
        <w:rPr>
          <w:rFonts w:ascii="Century Gothic" w:hAnsi="Century Gothic" w:cs="Century Gothic" w:eastAsia="Century Gothic"/>
          <w:b/>
          <w:i w:val="0"/>
          <w:sz w:val="22"/>
        </w:rPr>
        <w:t>Actividades Variantes (Campos Emergentes, Especialización e Innovación)</w:t>
      </w:r>
    </w:p>
    <w:p>
      <w:pPr>
        <w:spacing w:before="0" w:after="200" w:line="240" w:lineRule="auto"/>
        <w:jc w:val="both"/>
      </w:pPr>
      <w:r>
        <w:rPr>
          <w:rFonts w:ascii="Century Gothic" w:hAnsi="Century Gothic" w:cs="Century Gothic" w:eastAsia="Century Gothic"/>
          <w:b w:val="0"/>
          <w:i w:val="0"/>
          <w:sz w:val="20"/>
        </w:rPr>
        <w:t>Representan las acciones dinámicas y de frontera que responden a la transformación tecnológica, la complejidad de los negocios y los nuevos nichos de mercado identificados en los diagnósticos laborales:</w:t>
      </w:r>
    </w:p>
    <w:p>
      <w:pPr>
        <w:numPr>
          <w:ilvl w:val="0"/>
          <w:numId w:val="950"/>
        </w:numPr>
        <w:spacing w:before="0" w:after="200" w:line="240" w:lineRule="auto"/>
        <w:jc w:val="both"/>
      </w:pPr>
      <w:r>
        <w:rPr>
          <w:rFonts w:ascii="Century Gothic" w:hAnsi="Century Gothic" w:cs="Century Gothic" w:eastAsia="Century Gothic"/>
          <w:b/>
          <w:i w:val="0"/>
          <w:sz w:val="20"/>
        </w:rPr>
        <w:t>Gobernanza Digital, Auditoría de TI e Inteligencia Artificial:</w:t>
      </w:r>
    </w:p>
    <w:p>
      <w:pPr>
        <w:numPr>
          <w:ilvl w:val="0"/>
          <w:numId w:val="949"/>
        </w:numPr>
        <w:spacing w:before="0" w:after="160" w:line="240" w:lineRule="auto"/>
        <w:jc w:val="both"/>
      </w:pPr>
      <w:r>
        <w:rPr>
          <w:rFonts w:ascii="Century Gothic" w:hAnsi="Century Gothic" w:cs="Century Gothic" w:eastAsia="Century Gothic"/>
          <w:b w:val="0"/>
          <w:i w:val="0"/>
          <w:sz w:val="20"/>
        </w:rPr>
        <w:t>Auditar la seguridad, gobernanza, ciberseguridad y confiabilidad de los algoritmos de Inteligencia Artificial utilizados en procesos financieros automatizados.</w:t>
      </w:r>
    </w:p>
    <w:p>
      <w:pPr>
        <w:numPr>
          <w:ilvl w:val="0"/>
          <w:numId w:val="949"/>
        </w:numPr>
        <w:spacing w:before="0" w:after="200" w:line="240" w:lineRule="auto"/>
        <w:jc w:val="both"/>
      </w:pPr>
      <w:r>
        <w:rPr>
          <w:rFonts w:ascii="Century Gothic" w:hAnsi="Century Gothic" w:cs="Century Gothic" w:eastAsia="Century Gothic"/>
          <w:b w:val="0"/>
          <w:i w:val="0"/>
          <w:sz w:val="20"/>
        </w:rPr>
        <w:t>Validar modelos de automatización robótica de procesos (RPA) y sistemas de información en la nube.</w:t>
      </w:r>
    </w:p>
    <w:p>
      <w:pPr>
        <w:numPr>
          <w:ilvl w:val="0"/>
          <w:numId w:val="950"/>
        </w:numPr>
        <w:spacing w:before="0" w:after="200" w:line="240" w:lineRule="auto"/>
        <w:jc w:val="both"/>
      </w:pPr>
      <w:r>
        <w:rPr>
          <w:rFonts w:ascii="Century Gothic" w:hAnsi="Century Gothic" w:cs="Century Gothic" w:eastAsia="Century Gothic"/>
          <w:b/>
          <w:i w:val="0"/>
          <w:sz w:val="20"/>
        </w:rPr>
        <w:t>Auditoría Forense, Peritaje y Prevención de Delitos Económicos:</w:t>
      </w:r>
    </w:p>
    <w:p>
      <w:pPr>
        <w:numPr>
          <w:ilvl w:val="0"/>
          <w:numId w:val="949"/>
        </w:numPr>
        <w:spacing w:before="0" w:after="160" w:line="240" w:lineRule="auto"/>
        <w:jc w:val="both"/>
      </w:pPr>
      <w:r>
        <w:rPr>
          <w:rFonts w:ascii="Century Gothic" w:hAnsi="Century Gothic" w:cs="Century Gothic" w:eastAsia="Century Gothic"/>
          <w:b w:val="0"/>
          <w:i w:val="0"/>
          <w:sz w:val="20"/>
        </w:rPr>
        <w:t>Evaluar fraudes financieros, malversación de activos, delitos tributarios y lavado de dinero.</w:t>
      </w:r>
    </w:p>
    <w:p>
      <w:pPr>
        <w:numPr>
          <w:ilvl w:val="0"/>
          <w:numId w:val="949"/>
        </w:numPr>
        <w:spacing w:before="0" w:after="200" w:line="240" w:lineRule="auto"/>
        <w:jc w:val="both"/>
      </w:pPr>
      <w:r>
        <w:rPr>
          <w:rFonts w:ascii="Century Gothic" w:hAnsi="Century Gothic" w:cs="Century Gothic" w:eastAsia="Century Gothic"/>
          <w:b w:val="0"/>
          <w:i w:val="0"/>
          <w:sz w:val="20"/>
        </w:rPr>
        <w:t>Elaborar informes periciales con fuerza probatoria ante estrados judiciales y comités de ética.</w:t>
      </w:r>
    </w:p>
    <w:p>
      <w:pPr>
        <w:numPr>
          <w:ilvl w:val="0"/>
          <w:numId w:val="950"/>
        </w:numPr>
        <w:spacing w:before="0" w:after="200" w:line="240" w:lineRule="auto"/>
        <w:jc w:val="both"/>
      </w:pPr>
      <w:r>
        <w:rPr>
          <w:rFonts w:ascii="Century Gothic" w:hAnsi="Century Gothic" w:cs="Century Gothic" w:eastAsia="Century Gothic"/>
          <w:b/>
          <w:i w:val="0"/>
          <w:sz w:val="20"/>
        </w:rPr>
        <w:t>Aseguramiento de Informes de Sostenibilidad:</w:t>
      </w:r>
    </w:p>
    <w:p>
      <w:pPr>
        <w:numPr>
          <w:ilvl w:val="0"/>
          <w:numId w:val="949"/>
        </w:numPr>
        <w:spacing w:before="0" w:after="200" w:line="240" w:lineRule="auto"/>
        <w:jc w:val="both"/>
      </w:pPr>
      <w:r>
        <w:rPr>
          <w:rFonts w:ascii="Century Gothic" w:hAnsi="Century Gothic" w:cs="Century Gothic" w:eastAsia="Century Gothic"/>
          <w:b w:val="0"/>
          <w:i w:val="0"/>
          <w:sz w:val="20"/>
        </w:rPr>
        <w:t>Revisar y validar con seguridad razonable o limitada (bajo la norma NIEA 5000) la veracidad de los indicadores de impacto ambiental, social y de gobernanza de las empresas.</w:t>
      </w:r>
    </w:p>
    <w:p>
      <w:pPr>
        <w:numPr>
          <w:ilvl w:val="0"/>
          <w:numId w:val="950"/>
        </w:numPr>
        <w:spacing w:before="0" w:after="200" w:line="240" w:lineRule="auto"/>
        <w:jc w:val="both"/>
      </w:pPr>
      <w:r>
        <w:rPr>
          <w:rFonts w:ascii="Century Gothic" w:hAnsi="Century Gothic" w:cs="Century Gothic" w:eastAsia="Century Gothic"/>
          <w:b/>
          <w:i w:val="0"/>
          <w:sz w:val="20"/>
        </w:rPr>
        <w:t>Consultoría en Gestión Integral de Riesgos (ERM) y Finanzas Corporativas:</w:t>
      </w:r>
    </w:p>
    <w:p>
      <w:pPr>
        <w:numPr>
          <w:ilvl w:val="0"/>
          <w:numId w:val="949"/>
        </w:numPr>
        <w:spacing w:before="0" w:after="200" w:line="240" w:lineRule="auto"/>
        <w:jc w:val="both"/>
      </w:pPr>
      <w:r>
        <w:rPr>
          <w:rFonts w:ascii="Century Gothic" w:hAnsi="Century Gothic" w:cs="Century Gothic" w:eastAsia="Century Gothic"/>
          <w:b w:val="0"/>
          <w:i w:val="0"/>
          <w:sz w:val="20"/>
        </w:rPr>
        <w:t>Diseñar tableros de control predictivo, modelos de valoración de empresas, reestructuraciones financieras y análisis de precios de transferencia en operaciones multinacionales.</w:t>
      </w:r>
    </w:p>
    <w:p>
      <w:pPr>
        <w:numPr>
          <w:ilvl w:val="0"/>
          <w:numId w:val="950"/>
        </w:numPr>
        <w:spacing w:before="0" w:after="200" w:line="240" w:lineRule="auto"/>
        <w:jc w:val="both"/>
      </w:pPr>
      <w:r>
        <w:rPr>
          <w:rFonts w:ascii="Century Gothic" w:hAnsi="Century Gothic" w:cs="Century Gothic" w:eastAsia="Century Gothic"/>
          <w:b/>
          <w:i w:val="0"/>
          <w:sz w:val="20"/>
        </w:rPr>
        <w:t>Investigación Científica, Innovación y Docencia Universitaria:</w:t>
      </w:r>
    </w:p>
    <w:p>
      <w:pPr>
        <w:numPr>
          <w:ilvl w:val="0"/>
          <w:numId w:val="949"/>
        </w:numPr>
        <w:spacing w:before="0" w:after="200" w:line="240" w:lineRule="auto"/>
        <w:jc w:val="both"/>
      </w:pPr>
      <w:r>
        <w:rPr>
          <w:rFonts w:ascii="Century Gothic" w:hAnsi="Century Gothic" w:cs="Century Gothic" w:eastAsia="Century Gothic"/>
          <w:b w:val="0"/>
          <w:i w:val="0"/>
          <w:sz w:val="20"/>
        </w:rPr>
        <w:t>Desarrollar investigación contable aplicada, generar nuevo conocimiento disciplinar y promover metodologías de enseñanza situadas en la educación superior.</w:t>
      </w:r>
    </w:p>
    <w:p>
      <w:pPr>
        <w:keepNext/>
        <w:spacing w:before="40" w:after="200" w:line="240" w:lineRule="auto"/>
        <w:jc w:val="left"/>
      </w:pPr>
      <w:r>
        <w:rPr>
          <w:rFonts w:ascii="Century Gothic" w:hAnsi="Century Gothic" w:cs="Century Gothic" w:eastAsia="Century Gothic"/>
          <w:b/>
          <w:i w:val="0"/>
          <w:sz w:val="22"/>
        </w:rPr>
        <w:t>Herramientas Tecnológicas, Analíticas y Metodológicas</w:t>
      </w:r>
    </w:p>
    <w:p>
      <w:pPr>
        <w:spacing w:before="0" w:after="200" w:line="240" w:lineRule="auto"/>
        <w:jc w:val="both"/>
      </w:pPr>
      <w:r>
        <w:rPr>
          <w:rFonts w:ascii="Century Gothic" w:hAnsi="Century Gothic" w:cs="Century Gothic" w:eastAsia="Century Gothic"/>
          <w:b w:val="0"/>
          <w:i w:val="0"/>
          <w:sz w:val="20"/>
        </w:rPr>
        <w:t>Para ejecutar con solvencia este sistema de acciones, el Contador Público Autorizado utiliza herramientas técnicas de vanguardia que supera la brecha digital identificada en el mercado laboral:</w:t>
      </w:r>
    </w:p>
    <w:p>
      <w:pPr>
        <w:numPr>
          <w:ilvl w:val="0"/>
          <w:numId w:val="944"/>
        </w:numPr>
        <w:spacing w:before="0" w:after="160" w:line="240" w:lineRule="auto"/>
        <w:jc w:val="both"/>
      </w:pPr>
      <w:r>
        <w:rPr>
          <w:rFonts w:ascii="Century Gothic" w:hAnsi="Century Gothic" w:cs="Century Gothic" w:eastAsia="Century Gothic"/>
          <w:b/>
          <w:i w:val="0"/>
          <w:sz w:val="20"/>
        </w:rPr>
        <w:t>Sistemas ERP y Software Contable:</w:t>
      </w:r>
      <w:r>
        <w:rPr>
          <w:rFonts w:ascii="Century Gothic" w:hAnsi="Century Gothic" w:cs="Century Gothic" w:eastAsia="Century Gothic"/>
          <w:b w:val="0"/>
          <w:i w:val="0"/>
          <w:sz w:val="20"/>
        </w:rPr>
        <w:t xml:space="preserve"> Manejo avanzado de plataformas de planificación de recursos empresariales (SAP, Oracle, Odoo, entre otros) y sistemas contables-tributarios de uso extendido en el mercado nacional e internacional.</w:t>
      </w:r>
    </w:p>
    <w:p>
      <w:pPr>
        <w:numPr>
          <w:ilvl w:val="0"/>
          <w:numId w:val="944"/>
        </w:numPr>
        <w:spacing w:before="0" w:after="160" w:line="240" w:lineRule="auto"/>
        <w:jc w:val="both"/>
      </w:pPr>
      <w:r>
        <w:rPr>
          <w:rFonts w:ascii="Century Gothic" w:hAnsi="Century Gothic" w:cs="Century Gothic" w:eastAsia="Century Gothic"/>
          <w:b/>
          <w:i w:val="0"/>
          <w:sz w:val="20"/>
        </w:rPr>
        <w:t>Inteligencia de Negocios y Analítica de Datos (Big Data Analytics):</w:t>
      </w:r>
      <w:r>
        <w:rPr>
          <w:rFonts w:ascii="Century Gothic" w:hAnsi="Century Gothic" w:cs="Century Gothic" w:eastAsia="Century Gothic"/>
          <w:b w:val="0"/>
          <w:i w:val="0"/>
          <w:sz w:val="20"/>
        </w:rPr>
        <w:t xml:space="preserve"> Aplicación de herramientas de visualización y modelado de datos (Power BI, Tableau, lenguaje Python/R aplicado a finanzas) para el manejo de datos financieros y la detección de patrones o anomalías.</w:t>
      </w:r>
    </w:p>
    <w:p>
      <w:pPr>
        <w:numPr>
          <w:ilvl w:val="0"/>
          <w:numId w:val="944"/>
        </w:numPr>
        <w:spacing w:before="0" w:after="160" w:line="240" w:lineRule="auto"/>
        <w:jc w:val="both"/>
      </w:pPr>
      <w:r>
        <w:rPr>
          <w:rFonts w:ascii="Century Gothic" w:hAnsi="Century Gothic" w:cs="Century Gothic" w:eastAsia="Century Gothic"/>
          <w:b/>
          <w:i w:val="0"/>
          <w:sz w:val="20"/>
        </w:rPr>
        <w:t>Inteligencia Artificial Generativa y Automatización:</w:t>
      </w:r>
      <w:r>
        <w:rPr>
          <w:rFonts w:ascii="Century Gothic" w:hAnsi="Century Gothic" w:cs="Century Gothic" w:eastAsia="Century Gothic"/>
          <w:b w:val="0"/>
          <w:i w:val="0"/>
          <w:sz w:val="20"/>
        </w:rPr>
        <w:t xml:space="preserve"> Empleo de modelos de IA aplicados a la clasificación transaccional, redacción de notas a los estados financieros, resúmenes de auditoría y automatización de flujos de trabajo (RPA).</w:t>
      </w:r>
    </w:p>
    <w:p>
      <w:pPr>
        <w:numPr>
          <w:ilvl w:val="0"/>
          <w:numId w:val="944"/>
        </w:numPr>
        <w:spacing w:before="0" w:after="200" w:line="240" w:lineRule="auto"/>
        <w:jc w:val="both"/>
      </w:pPr>
      <w:r>
        <w:rPr>
          <w:rFonts w:ascii="Century Gothic" w:hAnsi="Century Gothic" w:cs="Century Gothic" w:eastAsia="Century Gothic"/>
          <w:b/>
          <w:i w:val="0"/>
          <w:sz w:val="20"/>
        </w:rPr>
        <w:t>Marcos Normativos e Instrumentos de Control:</w:t>
      </w:r>
      <w:r>
        <w:rPr>
          <w:rFonts w:ascii="Century Gothic" w:hAnsi="Century Gothic" w:cs="Century Gothic" w:eastAsia="Century Gothic"/>
          <w:b w:val="0"/>
          <w:i w:val="0"/>
          <w:sz w:val="20"/>
        </w:rPr>
        <w:t xml:space="preserve"> Uso de matrices de riesgo y control interno, programas de auditoría en software especializado, y estándares normativos computables (XBRL - eXtensible Business Reporting Language).</w:t>
      </w:r>
    </w:p>
    <w:p>
      <w:pPr>
        <w:keepNext/>
        <w:spacing w:before="40" w:after="200" w:line="240" w:lineRule="auto"/>
        <w:jc w:val="left"/>
      </w:pPr>
      <w:r>
        <w:rPr>
          <w:rFonts w:ascii="Century Gothic" w:hAnsi="Century Gothic" w:cs="Century Gothic" w:eastAsia="Century Gothic"/>
          <w:b/>
          <w:i w:val="0"/>
          <w:sz w:val="22"/>
        </w:rPr>
        <w:t>Lenguaje, Comunicación Técnica e Internacionalización</w:t>
      </w:r>
    </w:p>
    <w:p>
      <w:pPr>
        <w:spacing w:before="0" w:after="200" w:line="240" w:lineRule="auto"/>
        <w:jc w:val="both"/>
      </w:pPr>
      <w:r>
        <w:rPr>
          <w:rFonts w:ascii="Century Gothic" w:hAnsi="Century Gothic" w:cs="Century Gothic" w:eastAsia="Century Gothic"/>
          <w:b w:val="0"/>
          <w:i w:val="0"/>
          <w:sz w:val="20"/>
        </w:rPr>
        <w:t>El ejercicio profesional moderno demanda el dominio articulado de dos lenguajes esenciales:</w:t>
      </w:r>
    </w:p>
    <w:p>
      <w:pPr>
        <w:numPr>
          <w:ilvl w:val="0"/>
          <w:numId w:val="944"/>
        </w:numPr>
        <w:spacing w:before="0" w:after="160" w:line="240" w:lineRule="auto"/>
        <w:jc w:val="both"/>
      </w:pPr>
      <w:r>
        <w:rPr>
          <w:rFonts w:ascii="Century Gothic" w:hAnsi="Century Gothic" w:cs="Century Gothic" w:eastAsia="Century Gothic"/>
          <w:b/>
          <w:i w:val="0"/>
          <w:sz w:val="20"/>
        </w:rPr>
        <w:t>Lenguaje Técnico Financiero e Internacional:</w:t>
      </w:r>
      <w:r>
        <w:rPr>
          <w:rFonts w:ascii="Century Gothic" w:hAnsi="Century Gothic" w:cs="Century Gothic" w:eastAsia="Century Gothic"/>
          <w:b w:val="0"/>
          <w:i w:val="0"/>
          <w:sz w:val="20"/>
        </w:rPr>
        <w:t xml:space="preserve"> Manejo riguroso de la terminología normalizada por la IFAC, el IAASB, el IASB, el ISSB y el IESBA, garantizando la comparabilidad e interconexión de la información en mercados globales.</w:t>
      </w:r>
    </w:p>
    <w:p>
      <w:pPr>
        <w:numPr>
          <w:ilvl w:val="0"/>
          <w:numId w:val="944"/>
        </w:numPr>
        <w:spacing w:before="0" w:after="200" w:line="240" w:lineRule="auto"/>
        <w:jc w:val="both"/>
      </w:pPr>
      <w:r>
        <w:rPr>
          <w:rFonts w:ascii="Century Gothic" w:hAnsi="Century Gothic" w:cs="Century Gothic" w:eastAsia="Century Gothic"/>
          <w:b/>
          <w:i w:val="0"/>
          <w:sz w:val="20"/>
        </w:rPr>
        <w:t>Inglés Técnico Contable y Financiero:</w:t>
      </w:r>
      <w:r>
        <w:rPr>
          <w:rFonts w:ascii="Century Gothic" w:hAnsi="Century Gothic" w:cs="Century Gothic" w:eastAsia="Century Gothic"/>
          <w:b w:val="0"/>
          <w:i w:val="0"/>
          <w:sz w:val="20"/>
        </w:rPr>
        <w:t xml:space="preserve"> La incorporación progresiva del inglés como herramienta de trabajo en la lectura de estándares internacionales no traducidos, la operación de software especializado y la comunicación con firmas globales, atendiendo la demanda expresa del 89% de los estudiantes e instructores en el diagnóstico curricular.</w:t>
      </w:r>
    </w:p>
    <w:p>
      <w:pPr>
        <w:keepNext/>
        <w:tabs>
          <w:tab w:pos="709" w:val="left"/>
        </w:tabs>
        <w:spacing w:before="120" w:after="200" w:line="240" w:lineRule="auto"/>
        <w:ind w:left="709" w:hanging="709"/>
        <w:jc w:val="left"/>
      </w:pPr>
      <w:r>
        <w:rPr>
          <w:rFonts w:ascii="Century Gothic" w:hAnsi="Century Gothic" w:cs="Century Gothic" w:eastAsia="Century Gothic"/>
          <w:b/>
          <w:i w:val="0"/>
          <w:sz w:val="24"/>
        </w:rPr>
        <w:t>4.2.4</w:t>
        <w:tab/>
      </w:r>
      <w:r>
        <w:rPr>
          <w:rFonts w:ascii="Century Gothic" w:hAnsi="Century Gothic" w:cs="Century Gothic" w:eastAsia="Century Gothic"/>
          <w:b/>
          <w:i w:val="0"/>
          <w:sz w:val="24"/>
        </w:rPr>
        <w:t>Objeto de la profesión</w:t>
      </w:r>
    </w:p>
    <w:p>
      <w:pPr>
        <w:keepNext/>
        <w:spacing w:before="40" w:after="200" w:line="240" w:lineRule="auto"/>
        <w:jc w:val="left"/>
      </w:pPr>
      <w:r>
        <w:rPr>
          <w:rFonts w:ascii="Century Gothic" w:hAnsi="Century Gothic" w:cs="Century Gothic" w:eastAsia="Century Gothic"/>
          <w:b/>
          <w:i w:val="0"/>
          <w:sz w:val="22"/>
        </w:rPr>
        <w:t>Definición y Delimitación Sustantiva</w:t>
      </w:r>
    </w:p>
    <w:p>
      <w:pPr>
        <w:spacing w:before="0" w:after="200" w:line="240" w:lineRule="auto"/>
        <w:jc w:val="both"/>
      </w:pPr>
      <w:r>
        <w:rPr>
          <w:rFonts w:ascii="Century Gothic" w:hAnsi="Century Gothic" w:cs="Century Gothic" w:eastAsia="Century Gothic"/>
          <w:b w:val="0"/>
          <w:i w:val="0"/>
          <w:sz w:val="20"/>
        </w:rPr>
        <w:t xml:space="preserve">El objeto de estudio y de desempeño de la Contaduría Pública abarca la </w:t>
      </w:r>
      <w:r>
        <w:rPr>
          <w:rFonts w:ascii="Century Gothic" w:hAnsi="Century Gothic" w:cs="Century Gothic" w:eastAsia="Century Gothic"/>
          <w:b/>
          <w:i w:val="0"/>
          <w:sz w:val="20"/>
        </w:rPr>
        <w:t>medición, análisis, control, procesamiento, aseguramiento y comunicación de la información económica, financiera y no financiera (operativa, social, ambiental y de gestión)</w:t>
      </w:r>
      <w:r>
        <w:rPr>
          <w:rFonts w:ascii="Century Gothic" w:hAnsi="Century Gothic" w:cs="Century Gothic" w:eastAsia="Century Gothic"/>
          <w:b w:val="0"/>
          <w:i w:val="0"/>
          <w:sz w:val="20"/>
        </w:rPr>
        <w:t xml:space="preserve"> correspondiente a los hechos y eventos que acontecen en organizaciones del sector público, privado y mixto.</w:t>
      </w:r>
    </w:p>
    <w:p>
      <w:pPr>
        <w:spacing w:before="0" w:after="200" w:line="240" w:lineRule="auto"/>
        <w:jc w:val="both"/>
      </w:pPr>
      <w:r>
        <w:rPr>
          <w:rFonts w:ascii="Century Gothic" w:hAnsi="Century Gothic" w:cs="Century Gothic" w:eastAsia="Century Gothic"/>
          <w:b w:val="0"/>
          <w:i w:val="0"/>
          <w:sz w:val="20"/>
        </w:rPr>
        <w:t xml:space="preserve">En el contexto actual de la economía global y la transformación digital, el objeto de la profesión evoluciona desde la teneduría de libros y el registro contable tradicional hacia la </w:t>
      </w:r>
      <w:r>
        <w:rPr>
          <w:rFonts w:ascii="Century Gothic" w:hAnsi="Century Gothic" w:cs="Century Gothic" w:eastAsia="Century Gothic"/>
          <w:b/>
          <w:i w:val="0"/>
          <w:sz w:val="20"/>
        </w:rPr>
        <w:t>gestión integral del sistema de información organizacional</w:t>
      </w:r>
      <w:r>
        <w:rPr>
          <w:rFonts w:ascii="Century Gothic" w:hAnsi="Century Gothic" w:cs="Century Gothic" w:eastAsia="Century Gothic"/>
          <w:b w:val="0"/>
          <w:i w:val="0"/>
          <w:sz w:val="20"/>
        </w:rPr>
        <w:t>, incorporando indicadores de sostenibilidad, analítica de datos e inteligencia artificial para generar confianza (responsabilidad pública) y facilitar la toma de decisiones estratégicas de los usuarios.</w:t>
      </w:r>
    </w:p>
    <w:p>
      <w:pPr>
        <w:keepNext/>
        <w:spacing w:before="40" w:after="200" w:line="240" w:lineRule="auto"/>
        <w:jc w:val="left"/>
      </w:pPr>
      <w:r>
        <w:rPr>
          <w:rFonts w:ascii="Century Gothic" w:hAnsi="Century Gothic" w:cs="Century Gothic" w:eastAsia="Century Gothic"/>
          <w:b/>
          <w:i w:val="0"/>
          <w:sz w:val="22"/>
        </w:rPr>
        <w:t>La Contabilidad como Sistema de Información Organizacional</w:t>
      </w:r>
    </w:p>
    <w:p>
      <w:pPr>
        <w:spacing w:before="0" w:after="200" w:line="240" w:lineRule="auto"/>
        <w:jc w:val="both"/>
      </w:pPr>
      <w:r>
        <w:rPr>
          <w:rFonts w:ascii="Century Gothic" w:hAnsi="Century Gothic" w:cs="Century Gothic" w:eastAsia="Century Gothic"/>
          <w:b w:val="0"/>
          <w:i w:val="0"/>
          <w:sz w:val="20"/>
        </w:rPr>
        <w:t xml:space="preserve">La Contaduría Pública articula la contabilidad como un </w:t>
      </w:r>
      <w:r>
        <w:rPr>
          <w:rFonts w:ascii="Century Gothic" w:hAnsi="Century Gothic" w:cs="Century Gothic" w:eastAsia="Century Gothic"/>
          <w:b/>
          <w:i w:val="0"/>
          <w:sz w:val="20"/>
        </w:rPr>
        <w:t>sistema de información integrado</w:t>
      </w:r>
      <w:r>
        <w:rPr>
          <w:rFonts w:ascii="Century Gothic" w:hAnsi="Century Gothic" w:cs="Century Gothic" w:eastAsia="Century Gothic"/>
          <w:b w:val="0"/>
          <w:i w:val="0"/>
          <w:sz w:val="20"/>
        </w:rPr>
        <w:t>, compuesto por un conjunto de elementos interrelacionados que capturan, procesan, almacenan, distribuyen y retroalimentan datos financieros y no financieros. Este sistema opera bajo un ciclo procedimental estructurado en cinco fases técnicas:</w:t>
      </w:r>
    </w:p>
    <w:p>
      <w:pPr>
        <w:numPr>
          <w:ilvl w:val="0"/>
          <w:numId w:val="951"/>
        </w:numPr>
        <w:spacing w:before="0" w:after="200" w:line="240" w:lineRule="auto"/>
        <w:jc w:val="both"/>
      </w:pPr>
      <w:r>
        <w:rPr>
          <w:rFonts w:ascii="Century Gothic" w:hAnsi="Century Gothic" w:cs="Century Gothic" w:eastAsia="Century Gothic"/>
          <w:b/>
          <w:i w:val="0"/>
          <w:sz w:val="20"/>
        </w:rPr>
        <w:t>Alimentación o insumo:</w:t>
      </w:r>
    </w:p>
    <w:p>
      <w:pPr>
        <w:spacing w:before="0" w:after="200" w:line="240" w:lineRule="auto"/>
        <w:ind w:left="357"/>
        <w:jc w:val="both"/>
      </w:pPr>
      <w:r>
        <w:rPr>
          <w:rFonts w:ascii="Century Gothic" w:hAnsi="Century Gothic" w:cs="Century Gothic" w:eastAsia="Century Gothic"/>
          <w:b/>
          <w:i/>
          <w:sz w:val="20"/>
        </w:rPr>
        <w:t>Acción:</w:t>
      </w:r>
      <w:r>
        <w:rPr>
          <w:rFonts w:ascii="Century Gothic" w:hAnsi="Century Gothic" w:cs="Century Gothic" w:eastAsia="Century Gothic"/>
          <w:b w:val="0"/>
          <w:i w:val="0"/>
          <w:sz w:val="20"/>
        </w:rPr>
        <w:t xml:space="preserve"> Captura y recolecta de forma continua los datos procedentes de las transacciones y eventos económicos, jurídicos, administrativos, sociales y ambientales que afectan a la entidad y a su entorno, debidamente respaldados.</w:t>
      </w:r>
    </w:p>
    <w:p>
      <w:pPr>
        <w:spacing w:before="0" w:after="200" w:line="240" w:lineRule="auto"/>
        <w:ind w:left="357"/>
        <w:jc w:val="both"/>
      </w:pPr>
      <w:r>
        <w:rPr>
          <w:rFonts w:ascii="Century Gothic" w:hAnsi="Century Gothic" w:cs="Century Gothic" w:eastAsia="Century Gothic"/>
          <w:b/>
          <w:i/>
          <w:sz w:val="20"/>
        </w:rPr>
        <w:t>Enfoque Modernizado</w:t>
      </w:r>
      <w:r>
        <w:rPr>
          <w:rFonts w:ascii="Century Gothic" w:hAnsi="Century Gothic" w:cs="Century Gothic" w:eastAsia="Century Gothic"/>
          <w:b w:val="0"/>
          <w:i/>
          <w:sz w:val="20"/>
        </w:rPr>
        <w:t>:</w:t>
      </w:r>
      <w:r>
        <w:rPr>
          <w:rFonts w:ascii="Century Gothic" w:hAnsi="Century Gothic" w:cs="Century Gothic" w:eastAsia="Century Gothic"/>
          <w:b w:val="0"/>
          <w:i w:val="0"/>
          <w:sz w:val="20"/>
        </w:rPr>
        <w:t xml:space="preserve"> Integra la captura automatizada de datos a través de sistemas ERP, comprobantes electrónicos y flujos de información operativa y de sostenibilidad.</w:t>
      </w:r>
    </w:p>
    <w:p>
      <w:pPr>
        <w:numPr>
          <w:ilvl w:val="0"/>
          <w:numId w:val="951"/>
        </w:numPr>
        <w:spacing w:before="0" w:after="200" w:line="240" w:lineRule="auto"/>
        <w:jc w:val="both"/>
      </w:pPr>
      <w:r>
        <w:rPr>
          <w:rFonts w:ascii="Century Gothic" w:hAnsi="Century Gothic" w:cs="Century Gothic" w:eastAsia="Century Gothic"/>
          <w:b/>
          <w:i w:val="0"/>
          <w:sz w:val="20"/>
        </w:rPr>
        <w:t>Procesamiento:</w:t>
      </w:r>
    </w:p>
    <w:p>
      <w:pPr>
        <w:spacing w:before="0" w:after="200" w:line="240" w:lineRule="auto"/>
        <w:ind w:left="357"/>
        <w:jc w:val="both"/>
      </w:pPr>
      <w:r>
        <w:rPr>
          <w:rFonts w:ascii="Century Gothic" w:hAnsi="Century Gothic" w:cs="Century Gothic" w:eastAsia="Century Gothic"/>
          <w:b/>
          <w:i/>
          <w:sz w:val="20"/>
        </w:rPr>
        <w:t>Acción:</w:t>
      </w:r>
      <w:r>
        <w:rPr>
          <w:rFonts w:ascii="Century Gothic" w:hAnsi="Century Gothic" w:cs="Century Gothic" w:eastAsia="Century Gothic"/>
          <w:b w:val="0"/>
          <w:i w:val="0"/>
          <w:sz w:val="20"/>
        </w:rPr>
        <w:t xml:space="preserve"> Transforma los insumos mediante el análisis, clasificación, medición y registro, aplicando las Normas de Información Financiera (especialmente las Normas de Contabilidad Generalmente Aceptadas en Bolivia, las Normas NIIF de Contabilidad, la NIIF para las PYMES, las Normas Básicas del Sistema de Contabilidad Gubernamental Integrado y las Normas Internacionales de Contabilidad del Sector Público (NICSP), marcos tributarios, indicadores de gestión y normativa legal vigente.</w:t>
      </w:r>
    </w:p>
    <w:p>
      <w:pPr>
        <w:spacing w:before="0" w:after="200" w:line="240" w:lineRule="auto"/>
        <w:ind w:left="357"/>
        <w:jc w:val="both"/>
      </w:pPr>
      <w:r>
        <w:rPr>
          <w:rFonts w:ascii="Century Gothic" w:hAnsi="Century Gothic" w:cs="Century Gothic" w:eastAsia="Century Gothic"/>
          <w:b/>
          <w:i/>
          <w:sz w:val="20"/>
        </w:rPr>
        <w:t>Enfoque Modernizado</w:t>
      </w:r>
      <w:r>
        <w:rPr>
          <w:rFonts w:ascii="Century Gothic" w:hAnsi="Century Gothic" w:cs="Century Gothic" w:eastAsia="Century Gothic"/>
          <w:b w:val="0"/>
          <w:i/>
          <w:sz w:val="20"/>
        </w:rPr>
        <w:t>:</w:t>
      </w:r>
      <w:r>
        <w:rPr>
          <w:rFonts w:ascii="Century Gothic" w:hAnsi="Century Gothic" w:cs="Century Gothic" w:eastAsia="Century Gothic"/>
          <w:b w:val="0"/>
          <w:i w:val="0"/>
          <w:sz w:val="20"/>
        </w:rPr>
        <w:t xml:space="preserve"> Aplica herramientas de analítica de datos, algoritmos de automatización robótica de procesos (RPA) y modelos de validación que aseguran la consistencia de los datos.</w:t>
      </w:r>
    </w:p>
    <w:p>
      <w:pPr>
        <w:numPr>
          <w:ilvl w:val="0"/>
          <w:numId w:val="951"/>
        </w:numPr>
        <w:spacing w:before="0" w:after="200" w:line="240" w:lineRule="auto"/>
        <w:jc w:val="both"/>
      </w:pPr>
      <w:r>
        <w:rPr>
          <w:rFonts w:ascii="Century Gothic" w:hAnsi="Century Gothic" w:cs="Century Gothic" w:eastAsia="Century Gothic"/>
          <w:b/>
          <w:i w:val="0"/>
          <w:sz w:val="20"/>
        </w:rPr>
        <w:t>Almacenamiento y Gobernanza de Datos:</w:t>
      </w:r>
    </w:p>
    <w:p>
      <w:pPr>
        <w:spacing w:before="0" w:after="200" w:line="240" w:lineRule="auto"/>
        <w:ind w:left="357"/>
        <w:jc w:val="both"/>
      </w:pPr>
      <w:r>
        <w:rPr>
          <w:rFonts w:ascii="Century Gothic" w:hAnsi="Century Gothic" w:cs="Century Gothic" w:eastAsia="Century Gothic"/>
          <w:b/>
          <w:i/>
          <w:sz w:val="20"/>
        </w:rPr>
        <w:t>Acción:</w:t>
      </w:r>
      <w:r>
        <w:rPr>
          <w:rFonts w:ascii="Century Gothic" w:hAnsi="Century Gothic" w:cs="Century Gothic" w:eastAsia="Century Gothic"/>
          <w:b w:val="0"/>
          <w:i w:val="0"/>
          <w:sz w:val="20"/>
        </w:rPr>
        <w:t xml:space="preserve"> Preserva celosamente la información procesada utilizando herramientas tecnológicas que garantizan la integridad, confidencialidad y disponibilidad de los datos financieros y no financieros.</w:t>
      </w:r>
    </w:p>
    <w:p>
      <w:pPr>
        <w:spacing w:before="0" w:after="200" w:line="240" w:lineRule="auto"/>
        <w:ind w:left="357"/>
        <w:jc w:val="both"/>
      </w:pPr>
      <w:r>
        <w:rPr>
          <w:rFonts w:ascii="Century Gothic" w:hAnsi="Century Gothic" w:cs="Century Gothic" w:eastAsia="Century Gothic"/>
          <w:b/>
          <w:i/>
          <w:sz w:val="20"/>
        </w:rPr>
        <w:t>Enfoque Modernizado:</w:t>
      </w:r>
      <w:r>
        <w:rPr>
          <w:rFonts w:ascii="Century Gothic" w:hAnsi="Century Gothic" w:cs="Century Gothic" w:eastAsia="Century Gothic"/>
          <w:b w:val="0"/>
          <w:i w:val="0"/>
          <w:sz w:val="20"/>
        </w:rPr>
        <w:t xml:space="preserve"> Implementa protocolos de gobernanza digital, custodia en la nube y trazabilidad de la información bajo estándares de ciberseguridad y control interno.</w:t>
      </w:r>
    </w:p>
    <w:p>
      <w:pPr>
        <w:numPr>
          <w:ilvl w:val="0"/>
          <w:numId w:val="951"/>
        </w:numPr>
        <w:spacing w:before="0" w:after="200" w:line="240" w:lineRule="auto"/>
        <w:jc w:val="both"/>
      </w:pPr>
      <w:r>
        <w:rPr>
          <w:rFonts w:ascii="Century Gothic" w:hAnsi="Century Gothic" w:cs="Century Gothic" w:eastAsia="Century Gothic"/>
          <w:b/>
          <w:i w:val="0"/>
          <w:sz w:val="20"/>
        </w:rPr>
        <w:t>Producto o salida (Comunicación y Aseguramiento):</w:t>
      </w:r>
    </w:p>
    <w:p>
      <w:pPr>
        <w:spacing w:before="0" w:after="200" w:line="240" w:lineRule="auto"/>
        <w:ind w:left="357"/>
        <w:jc w:val="both"/>
      </w:pPr>
      <w:r>
        <w:rPr>
          <w:rFonts w:ascii="Century Gothic" w:hAnsi="Century Gothic" w:cs="Century Gothic" w:eastAsia="Century Gothic"/>
          <w:b/>
          <w:i/>
          <w:sz w:val="20"/>
        </w:rPr>
        <w:t>Acción</w:t>
      </w:r>
      <w:r>
        <w:rPr>
          <w:rFonts w:ascii="Century Gothic" w:hAnsi="Century Gothic" w:cs="Century Gothic" w:eastAsia="Century Gothic"/>
          <w:b w:val="0"/>
          <w:i/>
          <w:sz w:val="20"/>
        </w:rPr>
        <w:t>:</w:t>
      </w:r>
      <w:r>
        <w:rPr>
          <w:rFonts w:ascii="Century Gothic" w:hAnsi="Century Gothic" w:cs="Century Gothic" w:eastAsia="Century Gothic"/>
          <w:b w:val="0"/>
          <w:i w:val="0"/>
          <w:sz w:val="20"/>
        </w:rPr>
        <w:t xml:space="preserve"> Transfiere la información estructurada a los usuarios internos y externos a través de estados financieros, reportes de sostenibilidad, informes de gestión, declaraciones tributarias y cuadros de mando.</w:t>
      </w:r>
    </w:p>
    <w:p>
      <w:pPr>
        <w:spacing w:before="0" w:after="200" w:line="240" w:lineRule="auto"/>
        <w:ind w:left="357"/>
        <w:jc w:val="both"/>
      </w:pPr>
      <w:r>
        <w:rPr>
          <w:rFonts w:ascii="Century Gothic" w:hAnsi="Century Gothic" w:cs="Century Gothic" w:eastAsia="Century Gothic"/>
          <w:b/>
          <w:i/>
          <w:sz w:val="20"/>
        </w:rPr>
        <w:t>Enfoque Modernizado</w:t>
      </w:r>
      <w:r>
        <w:rPr>
          <w:rFonts w:ascii="Century Gothic" w:hAnsi="Century Gothic" w:cs="Century Gothic" w:eastAsia="Century Gothic"/>
          <w:b w:val="0"/>
          <w:i/>
          <w:sz w:val="20"/>
        </w:rPr>
        <w:t>:</w:t>
      </w:r>
      <w:r>
        <w:rPr>
          <w:rFonts w:ascii="Century Gothic" w:hAnsi="Century Gothic" w:cs="Century Gothic" w:eastAsia="Century Gothic"/>
          <w:b w:val="0"/>
          <w:i w:val="0"/>
          <w:sz w:val="20"/>
        </w:rPr>
        <w:t xml:space="preserve"> Incluye la emisión de </w:t>
      </w:r>
      <w:r>
        <w:rPr>
          <w:rFonts w:ascii="Century Gothic" w:hAnsi="Century Gothic" w:cs="Century Gothic" w:eastAsia="Century Gothic"/>
          <w:b/>
          <w:i w:val="0"/>
          <w:sz w:val="20"/>
        </w:rPr>
        <w:t>informes de aseguramiento e independencia profesional,</w:t>
      </w:r>
      <w:r>
        <w:rPr>
          <w:rFonts w:ascii="Century Gothic" w:hAnsi="Century Gothic" w:cs="Century Gothic" w:eastAsia="Century Gothic"/>
          <w:b w:val="0"/>
          <w:i w:val="0"/>
          <w:sz w:val="20"/>
        </w:rPr>
        <w:t xml:space="preserve"> tales como: auditoría financiera, auditoría operativa, auditoría ambiental, auditoría de sistemas, revisión de informes ESG, bajo Normas Internacionales de Auditoría (NIA), Normas de Auditoría Gubernamental, Normas Internacionales de Encargos de Revisión y Normas Internacionales de Encargos de Aseguramiento, incrementando la confianza de los mercados e instituciones.</w:t>
      </w:r>
    </w:p>
    <w:p>
      <w:pPr>
        <w:numPr>
          <w:ilvl w:val="0"/>
          <w:numId w:val="951"/>
        </w:numPr>
        <w:spacing w:before="0" w:after="200" w:line="240" w:lineRule="auto"/>
        <w:jc w:val="both"/>
      </w:pPr>
      <w:r>
        <w:rPr>
          <w:rFonts w:ascii="Century Gothic" w:hAnsi="Century Gothic" w:cs="Century Gothic" w:eastAsia="Century Gothic"/>
          <w:b/>
          <w:i w:val="0"/>
          <w:sz w:val="20"/>
        </w:rPr>
        <w:t>Retroalimentación (Control y Control de Gestión):</w:t>
      </w:r>
    </w:p>
    <w:p>
      <w:pPr>
        <w:spacing w:before="0" w:after="200" w:line="240" w:lineRule="auto"/>
        <w:ind w:left="357"/>
        <w:jc w:val="both"/>
      </w:pPr>
      <w:r>
        <w:rPr>
          <w:rFonts w:ascii="Century Gothic" w:hAnsi="Century Gothic" w:cs="Century Gothic" w:eastAsia="Century Gothic"/>
          <w:b/>
          <w:i/>
          <w:sz w:val="20"/>
        </w:rPr>
        <w:t>Acción</w:t>
      </w:r>
      <w:r>
        <w:rPr>
          <w:rFonts w:ascii="Century Gothic" w:hAnsi="Century Gothic" w:cs="Century Gothic" w:eastAsia="Century Gothic"/>
          <w:b w:val="0"/>
          <w:i/>
          <w:sz w:val="20"/>
        </w:rPr>
        <w:t>:</w:t>
      </w:r>
      <w:r>
        <w:rPr>
          <w:rFonts w:ascii="Century Gothic" w:hAnsi="Century Gothic" w:cs="Century Gothic" w:eastAsia="Century Gothic"/>
          <w:b w:val="0"/>
          <w:i w:val="0"/>
          <w:sz w:val="20"/>
        </w:rPr>
        <w:t xml:space="preserve"> Retorna la información hacia la alta dirección y los órganos de gobierno corporativo para evaluar desviaciones, redefinir estrategias y corregir la fase de alimentación o procesamiento.</w:t>
      </w:r>
    </w:p>
    <w:p>
      <w:pPr>
        <w:spacing w:before="0" w:after="200" w:line="240" w:lineRule="auto"/>
        <w:ind w:left="357"/>
        <w:jc w:val="both"/>
      </w:pPr>
      <w:r>
        <w:rPr>
          <w:rFonts w:ascii="Century Gothic" w:hAnsi="Century Gothic" w:cs="Century Gothic" w:eastAsia="Century Gothic"/>
          <w:b/>
          <w:i/>
          <w:sz w:val="20"/>
        </w:rPr>
        <w:t>Enfoque Modernizado</w:t>
      </w:r>
      <w:r>
        <w:rPr>
          <w:rFonts w:ascii="Century Gothic" w:hAnsi="Century Gothic" w:cs="Century Gothic" w:eastAsia="Century Gothic"/>
          <w:b w:val="0"/>
          <w:i/>
          <w:sz w:val="20"/>
        </w:rPr>
        <w:t>:</w:t>
      </w:r>
      <w:r>
        <w:rPr>
          <w:rFonts w:ascii="Century Gothic" w:hAnsi="Century Gothic" w:cs="Century Gothic" w:eastAsia="Century Gothic"/>
          <w:b w:val="0"/>
          <w:i w:val="0"/>
          <w:sz w:val="20"/>
        </w:rPr>
        <w:t xml:space="preserve"> Alimenta la Gestión Integral de Riesgos (ERM), la auditoría interna y los sistemas de alerta temprana para fortalecer la resiliencia organizacional en entornos inciertos y complejos.</w:t>
      </w:r>
    </w:p>
    <w:p>
      <w:pPr>
        <w:spacing w:before="0" w:after="200" w:line="240" w:lineRule="auto"/>
        <w:jc w:val="both"/>
      </w:pPr>
      <w:r>
        <w:rPr>
          <w:rFonts w:ascii="Century Gothic" w:hAnsi="Century Gothic" w:cs="Century Gothic" w:eastAsia="Century Gothic"/>
          <w:b w:val="0"/>
          <w:i w:val="0"/>
          <w:sz w:val="20"/>
        </w:rPr>
        <w:t xml:space="preserve">En conclusión, el objeto de la profesión del Contador Público Autorizado es la </w:t>
      </w:r>
      <w:r>
        <w:rPr>
          <w:rFonts w:ascii="Century Gothic" w:hAnsi="Century Gothic" w:cs="Century Gothic" w:eastAsia="Century Gothic"/>
          <w:b/>
          <w:i w:val="0"/>
          <w:sz w:val="20"/>
        </w:rPr>
        <w:t>“Información Financiera, Operativa, de Gestión y de Sostenibilidad"</w:t>
      </w:r>
      <w:r>
        <w:rPr>
          <w:rFonts w:ascii="Century Gothic" w:hAnsi="Century Gothic" w:cs="Century Gothic" w:eastAsia="Century Gothic"/>
          <w:b w:val="0"/>
          <w:i w:val="0"/>
          <w:sz w:val="20"/>
        </w:rPr>
        <w:t>, generada a partir de los hechos y eventos cuantitativos y cualitativos de las organizaciones públicas y privadas, garantizando su fiabilidad, transparencia, veracidad y alineamiento ético para el desarrollo socioeconómico del país.</w:t>
      </w:r>
    </w:p>
    <w:p>
      <w:pPr>
        <w:keepNext/>
        <w:tabs>
          <w:tab w:pos="709" w:val="left"/>
        </w:tabs>
        <w:spacing w:before="120" w:after="200" w:line="240" w:lineRule="auto"/>
        <w:ind w:left="709" w:hanging="709"/>
        <w:jc w:val="left"/>
      </w:pPr>
      <w:r>
        <w:rPr>
          <w:rFonts w:ascii="Century Gothic" w:hAnsi="Century Gothic" w:cs="Century Gothic" w:eastAsia="Century Gothic"/>
          <w:b/>
          <w:i w:val="0"/>
          <w:sz w:val="24"/>
        </w:rPr>
        <w:t>4.2.5</w:t>
        <w:tab/>
      </w:r>
      <w:r>
        <w:rPr>
          <w:rFonts w:ascii="Century Gothic" w:hAnsi="Century Gothic" w:cs="Century Gothic" w:eastAsia="Century Gothic"/>
          <w:b/>
          <w:i w:val="0"/>
          <w:sz w:val="24"/>
        </w:rPr>
        <w:t>Objetivo de la profesión</w:t>
      </w:r>
    </w:p>
    <w:p>
      <w:pPr>
        <w:spacing w:before="0" w:after="200" w:line="240" w:lineRule="auto"/>
        <w:jc w:val="both"/>
      </w:pPr>
      <w:r>
        <w:rPr>
          <w:rFonts w:ascii="Century Gothic" w:hAnsi="Century Gothic" w:cs="Century Gothic" w:eastAsia="Century Gothic"/>
          <w:b w:val="0"/>
          <w:i w:val="0"/>
          <w:sz w:val="20"/>
        </w:rPr>
        <w:t>La profesión del Contador Público Autorizado tiene como propósito central la generación, evaluación y comunicación de información confiable, oportuna y transparente para respaldar la toma de decisiones estratégicas, el control de gestión y la rendición de cuentas ante la sociedad. Para alcanzar esta finalidad, el ejercicio profesional se articula mediante la aplicación rigurosa de las Normas de Contabilidad Generalmente Aceptadas en Bolivia, Normas Internacionales de Información Financiera (Normas NIIF de Contabilidad), las Normas Básicas del Sistema de Contabilidad Gubernamental Integrado, las Normas Internacionales de Contabilidad del Sector Público (NICSP) y las normas NIIF de Sostenibilidad del ISSB (NIIF S) en la fase de preparación; y mediante las Normas de Auditoría Gubernamental de la Contraloría General del Estado, las Normas de Auditoría Generalmente Aceptadas en Bolivia (NAGA) y los Pronunciamientos Internacionales de Auditoría y Aseguramiento (NIA, NIER, NIEA y NIAS) del IAASB, para incrementar los niveles de confianza de los usuarios sobre dicha información.</w:t>
      </w:r>
    </w:p>
    <w:p>
      <w:pPr>
        <w:keepNext/>
        <w:tabs>
          <w:tab w:pos="992" w:val="left"/>
        </w:tabs>
        <w:spacing w:before="80" w:after="200" w:line="240" w:lineRule="auto"/>
        <w:ind w:left="992" w:hanging="992"/>
        <w:jc w:val="left"/>
      </w:pPr>
      <w:r>
        <w:rPr>
          <w:rFonts w:ascii="Century Gothic" w:hAnsi="Century Gothic" w:cs="Century Gothic" w:eastAsia="Century Gothic"/>
          <w:b/>
          <w:i w:val="0"/>
          <w:sz w:val="22"/>
        </w:rPr>
        <w:t>4.2.5.1</w:t>
        <w:tab/>
      </w:r>
      <w:r>
        <w:rPr>
          <w:rFonts w:ascii="Century Gothic" w:hAnsi="Century Gothic" w:cs="Century Gothic" w:eastAsia="Century Gothic"/>
          <w:b/>
          <w:i w:val="0"/>
          <w:sz w:val="22"/>
        </w:rPr>
        <w:t>Objetivo General</w:t>
      </w:r>
    </w:p>
    <w:p>
      <w:pPr>
        <w:spacing w:before="0" w:after="200" w:line="240" w:lineRule="auto"/>
        <w:jc w:val="both"/>
      </w:pPr>
      <w:r>
        <w:rPr>
          <w:rFonts w:ascii="Century Gothic" w:hAnsi="Century Gothic" w:cs="Century Gothic" w:eastAsia="Century Gothic"/>
          <w:b w:val="0"/>
          <w:i w:val="0"/>
          <w:sz w:val="20"/>
        </w:rPr>
        <w:t>El objetivo general de la profesión es proporcionar información económica, financiera, operativa y de sostenibilidad oportuna, útil, confiable, comparable y sistémica a los usuarios internos y externos de organizaciones públicas, privadas y mixtas; garantizando el interés público, el cumplimiento ético-normativo y el control integral de gestión para fundamentar la toma de decisiones ejecutivas y contribuir al desarrollo socioeconómico sostenible.</w:t>
      </w:r>
    </w:p>
    <w:p>
      <w:pPr>
        <w:keepNext/>
        <w:tabs>
          <w:tab w:pos="992" w:val="left"/>
        </w:tabs>
        <w:spacing w:before="80" w:after="200" w:line="240" w:lineRule="auto"/>
        <w:ind w:left="992" w:hanging="992"/>
        <w:jc w:val="left"/>
      </w:pPr>
      <w:r>
        <w:rPr>
          <w:rFonts w:ascii="Century Gothic" w:hAnsi="Century Gothic" w:cs="Century Gothic" w:eastAsia="Century Gothic"/>
          <w:b/>
          <w:i w:val="0"/>
          <w:sz w:val="22"/>
        </w:rPr>
        <w:t>4.2.5.1</w:t>
        <w:tab/>
      </w:r>
      <w:r>
        <w:rPr>
          <w:rFonts w:ascii="Century Gothic" w:hAnsi="Century Gothic" w:cs="Century Gothic" w:eastAsia="Century Gothic"/>
          <w:b/>
          <w:i w:val="0"/>
          <w:sz w:val="22"/>
        </w:rPr>
        <w:t>Objetivo General de la Profesión y de la Carrera</w:t>
      </w:r>
    </w:p>
    <w:p>
      <w:pPr>
        <w:spacing w:before="0" w:after="200" w:line="240" w:lineRule="auto"/>
        <w:jc w:val="both"/>
      </w:pPr>
      <w:r>
        <w:rPr>
          <w:rFonts w:ascii="Century Gothic" w:hAnsi="Century Gothic" w:cs="Century Gothic" w:eastAsia="Century Gothic"/>
          <w:b w:val="0"/>
          <w:i w:val="0"/>
          <w:sz w:val="20"/>
        </w:rPr>
        <w:t>Proporcionar información económica, financiera, operativa y de sostenibilidad oportuna, útil, confiable, comparable y sistémica a los usuarios internos y externos de organizaciones públicas, privadas y mixtas; garantizando el interés público, el cumplimiento ético-normativo y el control integral de gestión para fundamentar la toma de decisiones ejecutivas y contribuir al desarrollo socioeconómico sostenible.</w:t>
      </w:r>
    </w:p>
    <w:p>
      <w:pPr>
        <w:spacing w:before="0" w:after="200" w:line="240" w:lineRule="auto"/>
        <w:jc w:val="both"/>
      </w:pPr>
      <w:r>
        <w:rPr>
          <w:rFonts w:ascii="Century Gothic" w:hAnsi="Century Gothic" w:cs="Century Gothic" w:eastAsia="Century Gothic"/>
          <w:b w:val="0"/>
          <w:i w:val="0"/>
          <w:sz w:val="20"/>
        </w:rPr>
        <w:t>En el ámbito de la formación académica universitaria, el Plan de Estudios tiene como objetivo fortalecer en el estudiante la responsabilidad en la construcción de su propio aprendizaje para consolidar su vocación, proporcionándole una sólida formación teórica y práctica actualizada para el ejercicio competente, innovador y ético de la profesión.</w:t>
      </w:r>
    </w:p>
    <w:p>
      <w:pPr>
        <w:keepNext/>
        <w:tabs>
          <w:tab w:pos="992" w:val="left"/>
        </w:tabs>
        <w:spacing w:before="80" w:after="200" w:line="240" w:lineRule="auto"/>
        <w:ind w:left="992" w:hanging="992"/>
        <w:jc w:val="left"/>
      </w:pPr>
      <w:r>
        <w:rPr>
          <w:rFonts w:ascii="Century Gothic" w:hAnsi="Century Gothic" w:cs="Century Gothic" w:eastAsia="Century Gothic"/>
          <w:b/>
          <w:i w:val="0"/>
          <w:sz w:val="22"/>
        </w:rPr>
        <w:t>4.2.5.2</w:t>
        <w:tab/>
      </w:r>
      <w:r>
        <w:rPr>
          <w:rFonts w:ascii="Century Gothic" w:hAnsi="Century Gothic" w:cs="Century Gothic" w:eastAsia="Century Gothic"/>
          <w:b/>
          <w:i w:val="0"/>
          <w:sz w:val="22"/>
        </w:rPr>
        <w:t>Objetivos Específicos</w:t>
      </w:r>
    </w:p>
    <w:p>
      <w:pPr>
        <w:spacing w:before="0" w:after="200" w:line="240" w:lineRule="auto"/>
        <w:jc w:val="both"/>
      </w:pPr>
      <w:r>
        <w:rPr>
          <w:rFonts w:ascii="Century Gothic" w:hAnsi="Century Gothic" w:cs="Century Gothic" w:eastAsia="Century Gothic"/>
          <w:b w:val="0"/>
          <w:i w:val="0"/>
          <w:sz w:val="20"/>
        </w:rPr>
        <w:t>Para la concreción del objetivo general, la profesión del Contador Público Autorizado despliega sus actuaciones en tres pilares fundamentales de desempeño:</w:t>
      </w:r>
    </w:p>
    <w:p>
      <w:pPr>
        <w:numPr>
          <w:ilvl w:val="0"/>
          <w:numId w:val="952"/>
        </w:numPr>
        <w:spacing w:before="0" w:after="200" w:line="240" w:lineRule="auto"/>
        <w:jc w:val="both"/>
      </w:pPr>
      <w:r>
        <w:rPr>
          <w:rFonts w:ascii="Century Gothic" w:hAnsi="Century Gothic" w:cs="Century Gothic" w:eastAsia="Century Gothic"/>
          <w:b/>
          <w:i w:val="0"/>
          <w:sz w:val="20"/>
        </w:rPr>
        <w:t>Preparación y Presentación de Reportes Financieros y de Sostenibilidad (Información Integral)</w:t>
      </w:r>
    </w:p>
    <w:p>
      <w:pPr>
        <w:numPr>
          <w:ilvl w:val="0"/>
          <w:numId w:val="949"/>
        </w:numPr>
        <w:spacing w:before="0" w:after="160" w:line="240" w:lineRule="auto"/>
        <w:jc w:val="both"/>
      </w:pPr>
      <w:r>
        <w:rPr>
          <w:rFonts w:ascii="Century Gothic" w:hAnsi="Century Gothic" w:cs="Century Gothic" w:eastAsia="Century Gothic"/>
          <w:b/>
          <w:i w:val="0"/>
          <w:sz w:val="20"/>
        </w:rPr>
        <w:t>Diseño y Emisión de Estados Financieros Estructurados:</w:t>
      </w:r>
      <w:r>
        <w:rPr>
          <w:rFonts w:ascii="Century Gothic" w:hAnsi="Century Gothic" w:cs="Century Gothic" w:eastAsia="Century Gothic"/>
          <w:b w:val="0"/>
          <w:i w:val="0"/>
          <w:sz w:val="20"/>
        </w:rPr>
        <w:t xml:space="preserve"> Diseñar, operar y supervisar sistemas contables que generen el juego completo de estados financieros de acuerdo con los marcos de referencia aplicables (NCGA en Bolivia, Normas NIIF de Contabilidad, NIIF para las PYMES, Normas Básicas del Sistema de Contabilidad Gubernamental Integrado o NICSP) en entidades públicas y privadas.</w:t>
      </w:r>
    </w:p>
    <w:p>
      <w:pPr>
        <w:numPr>
          <w:ilvl w:val="0"/>
          <w:numId w:val="949"/>
        </w:numPr>
        <w:spacing w:before="0" w:after="160" w:line="240" w:lineRule="auto"/>
        <w:jc w:val="both"/>
      </w:pPr>
      <w:r>
        <w:rPr>
          <w:rFonts w:ascii="Century Gothic" w:hAnsi="Century Gothic" w:cs="Century Gothic" w:eastAsia="Century Gothic"/>
          <w:b/>
          <w:i w:val="0"/>
          <w:sz w:val="20"/>
        </w:rPr>
        <w:t>Generación de Reportes de Sostenibilidad y Criterios ESG:</w:t>
      </w:r>
      <w:r>
        <w:rPr>
          <w:rFonts w:ascii="Century Gothic" w:hAnsi="Century Gothic" w:cs="Century Gothic" w:eastAsia="Century Gothic"/>
          <w:b w:val="0"/>
          <w:i w:val="0"/>
          <w:sz w:val="20"/>
        </w:rPr>
        <w:t xml:space="preserve"> Elaborar informes de gestión no financiera integrando indicadores ambientales, sociales y de gobernanza corporativa alineados con las Normas NIIF de Sostenibilidad del Consejo de Normas Internacionales de Sostenibilidad (ISSB).</w:t>
      </w:r>
    </w:p>
    <w:p>
      <w:pPr>
        <w:numPr>
          <w:ilvl w:val="0"/>
          <w:numId w:val="949"/>
        </w:numPr>
        <w:spacing w:before="0" w:after="200" w:line="240" w:lineRule="auto"/>
        <w:jc w:val="both"/>
      </w:pPr>
      <w:r>
        <w:rPr>
          <w:rFonts w:ascii="Century Gothic" w:hAnsi="Century Gothic" w:cs="Century Gothic" w:eastAsia="Century Gothic"/>
          <w:b/>
          <w:i w:val="0"/>
          <w:sz w:val="20"/>
        </w:rPr>
        <w:t>Automatización y Gestión Digital de Datos:</w:t>
      </w:r>
      <w:r>
        <w:rPr>
          <w:rFonts w:ascii="Century Gothic" w:hAnsi="Century Gothic" w:cs="Century Gothic" w:eastAsia="Century Gothic"/>
          <w:b w:val="0"/>
          <w:i w:val="0"/>
          <w:sz w:val="20"/>
        </w:rPr>
        <w:t xml:space="preserve"> Aplicar herramientas tecnológicas, software de planificación de recursos empresariales (ERP) y soluciones de inteligencia artificial para asegurar la integridad, trazabilidad y oportunidad de la información financiera y administrativa en tiempo real.</w:t>
      </w:r>
    </w:p>
    <w:p>
      <w:pPr>
        <w:numPr>
          <w:ilvl w:val="0"/>
          <w:numId w:val="952"/>
        </w:numPr>
        <w:spacing w:before="0" w:after="200" w:line="240" w:lineRule="auto"/>
        <w:jc w:val="both"/>
      </w:pPr>
      <w:r>
        <w:rPr>
          <w:rFonts w:ascii="Century Gothic" w:hAnsi="Century Gothic" w:cs="Century Gothic" w:eastAsia="Century Gothic"/>
          <w:b/>
          <w:i w:val="0"/>
          <w:sz w:val="20"/>
        </w:rPr>
        <w:t>Prestación de Encargos de Aseguramiento y Auditoría (Incremento de la Confianza e Interés Público).</w:t>
      </w:r>
    </w:p>
    <w:p>
      <w:pPr>
        <w:numPr>
          <w:ilvl w:val="0"/>
          <w:numId w:val="949"/>
        </w:numPr>
        <w:spacing w:before="0" w:after="160" w:line="240" w:lineRule="auto"/>
        <w:jc w:val="both"/>
      </w:pPr>
      <w:r>
        <w:rPr>
          <w:rFonts w:ascii="Century Gothic" w:hAnsi="Century Gothic" w:cs="Century Gothic" w:eastAsia="Century Gothic"/>
          <w:b/>
          <w:i w:val="0"/>
          <w:sz w:val="20"/>
        </w:rPr>
        <w:t>Auditoría de Estados Financieros (Seguridad Razonable):</w:t>
      </w:r>
      <w:r>
        <w:rPr>
          <w:rFonts w:ascii="Century Gothic" w:hAnsi="Century Gothic" w:cs="Century Gothic" w:eastAsia="Century Gothic"/>
          <w:b w:val="0"/>
          <w:i w:val="0"/>
          <w:sz w:val="20"/>
        </w:rPr>
        <w:t xml:space="preserve"> Planificar y ejecutar encargos de auditoría financiera bajo Normas de Auditoría Generalmente Aceptadas en Bolivia y Normas Internacionales de Auditoría (NIA), aplicando el juicio profesional crítico para emitir una opinión independiente sobre la razonabilidad de los estados financieros.</w:t>
      </w:r>
    </w:p>
    <w:p>
      <w:pPr>
        <w:numPr>
          <w:ilvl w:val="0"/>
          <w:numId w:val="949"/>
        </w:numPr>
        <w:spacing w:before="0" w:after="160" w:line="240" w:lineRule="auto"/>
        <w:jc w:val="both"/>
      </w:pPr>
      <w:r>
        <w:rPr>
          <w:rFonts w:ascii="Century Gothic" w:hAnsi="Century Gothic" w:cs="Century Gothic" w:eastAsia="Century Gothic"/>
          <w:b/>
          <w:i w:val="0"/>
          <w:sz w:val="20"/>
        </w:rPr>
        <w:t>Revisión Limitada de Información Financiera:</w:t>
      </w:r>
      <w:r>
        <w:rPr>
          <w:rFonts w:ascii="Century Gothic" w:hAnsi="Century Gothic" w:cs="Century Gothic" w:eastAsia="Century Gothic"/>
          <w:b w:val="0"/>
          <w:i w:val="0"/>
          <w:sz w:val="20"/>
        </w:rPr>
        <w:t xml:space="preserve"> Efectuar encargos de revisión sobre estados financieros intermedios o específicos bajo norma NIEA 2400, proporcionando un nivel de seguridad moderado o limitado.</w:t>
      </w:r>
    </w:p>
    <w:p>
      <w:pPr>
        <w:numPr>
          <w:ilvl w:val="0"/>
          <w:numId w:val="949"/>
        </w:numPr>
        <w:spacing w:before="0" w:after="160" w:line="240" w:lineRule="auto"/>
        <w:jc w:val="both"/>
      </w:pPr>
      <w:r>
        <w:rPr>
          <w:rFonts w:ascii="Century Gothic" w:hAnsi="Century Gothic" w:cs="Century Gothic" w:eastAsia="Century Gothic"/>
          <w:b/>
          <w:i w:val="0"/>
          <w:sz w:val="20"/>
        </w:rPr>
        <w:t>Aseguramiento de Información No Financiera y Sostenibilidad:</w:t>
      </w:r>
      <w:r>
        <w:rPr>
          <w:rFonts w:ascii="Century Gothic" w:hAnsi="Century Gothic" w:cs="Century Gothic" w:eastAsia="Century Gothic"/>
          <w:b w:val="0"/>
          <w:i w:val="0"/>
          <w:sz w:val="20"/>
        </w:rPr>
        <w:t xml:space="preserve"> Desarrollar auditorías operativas, evaluaciones de desempeño gerencial e inspecciones de reportes de sostenibilidad bajo las normas NIEA 3000 y NIAS 5000 para verificar el cumplimiento de metas ambientales, sociales y de eficiencia institucional.</w:t>
      </w:r>
    </w:p>
    <w:p>
      <w:pPr>
        <w:numPr>
          <w:ilvl w:val="0"/>
          <w:numId w:val="949"/>
        </w:numPr>
        <w:spacing w:before="0" w:after="160" w:line="240" w:lineRule="auto"/>
        <w:jc w:val="both"/>
      </w:pPr>
      <w:r>
        <w:rPr>
          <w:rFonts w:ascii="Century Gothic" w:hAnsi="Century Gothic" w:cs="Century Gothic" w:eastAsia="Century Gothic"/>
          <w:b/>
          <w:i w:val="0"/>
          <w:sz w:val="20"/>
        </w:rPr>
        <w:t>Auditoría Gubernamental y Control Público:</w:t>
      </w:r>
      <w:r>
        <w:rPr>
          <w:rFonts w:ascii="Century Gothic" w:hAnsi="Century Gothic" w:cs="Century Gothic" w:eastAsia="Century Gothic"/>
          <w:b w:val="0"/>
          <w:i w:val="0"/>
          <w:sz w:val="20"/>
        </w:rPr>
        <w:t xml:space="preserve"> Ejecutar servicios de control posterior externo en entidades del Estado bajo las normas de la Contraloría General del Estado y estándares ISSAI, velando por la eficacia, economía, transparencia y legalidad en el uso de los recursos públicos.</w:t>
      </w:r>
    </w:p>
    <w:p>
      <w:pPr>
        <w:numPr>
          <w:ilvl w:val="0"/>
          <w:numId w:val="949"/>
        </w:numPr>
        <w:spacing w:before="0" w:after="160" w:line="240" w:lineRule="auto"/>
        <w:jc w:val="both"/>
      </w:pPr>
      <w:r>
        <w:rPr>
          <w:rFonts w:ascii="Century Gothic" w:hAnsi="Century Gothic" w:cs="Century Gothic" w:eastAsia="Century Gothic"/>
          <w:b/>
          <w:i w:val="0"/>
          <w:sz w:val="20"/>
        </w:rPr>
        <w:t>Auditoría de Sistemas e Inteligencia Artificial:</w:t>
      </w:r>
      <w:r>
        <w:rPr>
          <w:rFonts w:ascii="Century Gothic" w:hAnsi="Century Gothic" w:cs="Century Gothic" w:eastAsia="Century Gothic"/>
          <w:b w:val="0"/>
          <w:i w:val="0"/>
          <w:sz w:val="20"/>
        </w:rPr>
        <w:t xml:space="preserve"> Evaluar la seguridad, confiabilidad, gobernanza digital y ciberseguridad de las tecnologías de información y comunicación que sustentan los sistemas financieros.</w:t>
      </w:r>
    </w:p>
    <w:p>
      <w:pPr>
        <w:numPr>
          <w:ilvl w:val="0"/>
          <w:numId w:val="949"/>
        </w:numPr>
        <w:spacing w:before="0" w:after="160" w:line="240" w:lineRule="auto"/>
        <w:jc w:val="both"/>
      </w:pPr>
      <w:r>
        <w:rPr>
          <w:rFonts w:ascii="Century Gothic" w:hAnsi="Century Gothic" w:cs="Century Gothic" w:eastAsia="Century Gothic"/>
          <w:b/>
          <w:i w:val="0"/>
          <w:sz w:val="20"/>
        </w:rPr>
        <w:t>Auditoría Forense y Prevención de Delitos Económicos:</w:t>
      </w:r>
      <w:r>
        <w:rPr>
          <w:rFonts w:ascii="Century Gothic" w:hAnsi="Century Gothic" w:cs="Century Gothic" w:eastAsia="Century Gothic"/>
          <w:b w:val="0"/>
          <w:i w:val="0"/>
          <w:sz w:val="20"/>
        </w:rPr>
        <w:t xml:space="preserve"> Investigar fraudes, malversaciones, lavado de activos y distorsiones financieras para proveer evidencia pericial idónea ante estrados judiciales e instancias de gobierno corporativo.</w:t>
      </w:r>
    </w:p>
    <w:p>
      <w:pPr>
        <w:numPr>
          <w:ilvl w:val="0"/>
          <w:numId w:val="949"/>
        </w:numPr>
        <w:spacing w:before="0" w:after="200" w:line="240" w:lineRule="auto"/>
        <w:jc w:val="both"/>
      </w:pPr>
      <w:r>
        <w:rPr>
          <w:rFonts w:ascii="Century Gothic" w:hAnsi="Century Gothic" w:cs="Century Gothic" w:eastAsia="Century Gothic"/>
          <w:b/>
          <w:i w:val="0"/>
          <w:sz w:val="20"/>
        </w:rPr>
        <w:t>Auditoría Tributaria y Cumplimiento Legal:</w:t>
      </w:r>
      <w:r>
        <w:rPr>
          <w:rFonts w:ascii="Century Gothic" w:hAnsi="Century Gothic" w:cs="Century Gothic" w:eastAsia="Century Gothic"/>
          <w:b w:val="0"/>
          <w:i w:val="0"/>
          <w:sz w:val="20"/>
        </w:rPr>
        <w:t xml:space="preserve"> Examinar la determinación, liquidación y pago de obligaciones impositivas y laborales de acuerdo con la legislación vigente</w:t>
      </w:r>
    </w:p>
    <w:p>
      <w:pPr>
        <w:numPr>
          <w:ilvl w:val="0"/>
          <w:numId w:val="952"/>
        </w:numPr>
        <w:spacing w:before="0" w:after="200" w:line="240" w:lineRule="auto"/>
        <w:jc w:val="both"/>
      </w:pPr>
      <w:r>
        <w:rPr>
          <w:rFonts w:ascii="Century Gothic" w:hAnsi="Century Gothic" w:cs="Century Gothic" w:eastAsia="Century Gothic"/>
          <w:b/>
          <w:i w:val="0"/>
          <w:sz w:val="20"/>
        </w:rPr>
        <w:t>Servicios Distintos del Aseguramiento y Consultoría Estratégica</w:t>
      </w:r>
    </w:p>
    <w:p>
      <w:pPr>
        <w:numPr>
          <w:ilvl w:val="0"/>
          <w:numId w:val="949"/>
        </w:numPr>
        <w:spacing w:before="0" w:after="160" w:line="240" w:lineRule="auto"/>
        <w:jc w:val="both"/>
      </w:pPr>
      <w:r>
        <w:rPr>
          <w:rFonts w:ascii="Century Gothic" w:hAnsi="Century Gothic" w:cs="Century Gothic" w:eastAsia="Century Gothic"/>
          <w:b/>
          <w:i w:val="0"/>
          <w:sz w:val="20"/>
        </w:rPr>
        <w:t>Procedimientos Convenidos y Compilaciones:</w:t>
      </w:r>
      <w:r>
        <w:rPr>
          <w:rFonts w:ascii="Century Gothic" w:hAnsi="Century Gothic" w:cs="Century Gothic" w:eastAsia="Century Gothic"/>
          <w:b w:val="0"/>
          <w:i w:val="0"/>
          <w:sz w:val="20"/>
        </w:rPr>
        <w:t xml:space="preserve"> Realizar hallazgos objetivos sobre materias financieras o de control a solicitud expresa de clientes, y compilar estados financieros sin emitir opiniones de aseguramiento.</w:t>
      </w:r>
    </w:p>
    <w:p>
      <w:pPr>
        <w:numPr>
          <w:ilvl w:val="0"/>
          <w:numId w:val="949"/>
        </w:numPr>
        <w:spacing w:before="0" w:after="160" w:line="240" w:lineRule="auto"/>
        <w:jc w:val="both"/>
      </w:pPr>
      <w:r>
        <w:rPr>
          <w:rFonts w:ascii="Century Gothic" w:hAnsi="Century Gothic" w:cs="Century Gothic" w:eastAsia="Century Gothic"/>
          <w:b/>
          <w:i w:val="0"/>
          <w:sz w:val="20"/>
        </w:rPr>
        <w:t>Planificación y Asesoría Tributaria Estratégica:</w:t>
      </w:r>
      <w:r>
        <w:rPr>
          <w:rFonts w:ascii="Century Gothic" w:hAnsi="Century Gothic" w:cs="Century Gothic" w:eastAsia="Century Gothic"/>
          <w:b w:val="0"/>
          <w:i w:val="0"/>
          <w:sz w:val="20"/>
        </w:rPr>
        <w:t xml:space="preserve"> Brindar consultoría técnica en gestión fiscal, cumplimiento normativo tributario, precios de transferencia y tributación, previniendo contingencias legales.</w:t>
      </w:r>
    </w:p>
    <w:p>
      <w:pPr>
        <w:numPr>
          <w:ilvl w:val="0"/>
          <w:numId w:val="949"/>
        </w:numPr>
        <w:spacing w:before="0" w:after="160" w:line="240" w:lineRule="auto"/>
        <w:jc w:val="both"/>
      </w:pPr>
      <w:r>
        <w:rPr>
          <w:rFonts w:ascii="Century Gothic" w:hAnsi="Century Gothic" w:cs="Century Gothic" w:eastAsia="Century Gothic"/>
          <w:b/>
          <w:i w:val="0"/>
          <w:sz w:val="20"/>
        </w:rPr>
        <w:t>Gestión Integral de Riesgos y Gobierno Corporativo:</w:t>
      </w:r>
      <w:r>
        <w:rPr>
          <w:rFonts w:ascii="Century Gothic" w:hAnsi="Century Gothic" w:cs="Century Gothic" w:eastAsia="Century Gothic"/>
          <w:b w:val="0"/>
          <w:i w:val="0"/>
          <w:sz w:val="20"/>
        </w:rPr>
        <w:t xml:space="preserve"> Diseñar e implementar marcos de gestión de riesgos empresariales (ERM) y modelos de control interno para proteger el valor de la organización frente a escenarios de incertidumbre.</w:t>
      </w:r>
    </w:p>
    <w:p>
      <w:pPr>
        <w:numPr>
          <w:ilvl w:val="0"/>
          <w:numId w:val="949"/>
        </w:numPr>
        <w:spacing w:before="0" w:after="200" w:line="240" w:lineRule="auto"/>
        <w:jc w:val="both"/>
      </w:pPr>
      <w:r>
        <w:rPr>
          <w:rFonts w:ascii="Century Gothic" w:hAnsi="Century Gothic" w:cs="Century Gothic" w:eastAsia="Century Gothic"/>
          <w:b/>
          <w:i w:val="0"/>
          <w:sz w:val="20"/>
        </w:rPr>
        <w:t>Consultoría Financiera y Reorganización Empresarial:</w:t>
      </w:r>
      <w:r>
        <w:rPr>
          <w:rFonts w:ascii="Century Gothic" w:hAnsi="Century Gothic" w:cs="Century Gothic" w:eastAsia="Century Gothic"/>
          <w:b w:val="0"/>
          <w:i w:val="0"/>
          <w:sz w:val="20"/>
        </w:rPr>
        <w:t xml:space="preserve"> Asesorar en finanzas corporativas, proyectos de inversión, valoraciones de empresas, procesos de reestructuración y optimización de capital de trabajo.</w:t>
      </w:r>
    </w:p>
    <w:p>
      <w:pPr>
        <w:keepNext/>
        <w:tabs>
          <w:tab w:pos="709" w:val="left"/>
        </w:tabs>
        <w:spacing w:before="120" w:after="200" w:line="240" w:lineRule="auto"/>
        <w:ind w:left="709" w:hanging="709"/>
        <w:jc w:val="left"/>
      </w:pPr>
      <w:r>
        <w:rPr>
          <w:rFonts w:ascii="Century Gothic" w:hAnsi="Century Gothic" w:cs="Century Gothic" w:eastAsia="Century Gothic"/>
          <w:b/>
          <w:i w:val="0"/>
          <w:sz w:val="24"/>
        </w:rPr>
        <w:t>4.2.6</w:t>
        <w:tab/>
      </w:r>
      <w:r>
        <w:rPr>
          <w:rFonts w:ascii="Century Gothic" w:hAnsi="Century Gothic" w:cs="Century Gothic" w:eastAsia="Century Gothic"/>
          <w:b/>
          <w:i w:val="0"/>
          <w:sz w:val="24"/>
        </w:rPr>
        <w:t>Competencias específicas de la profesión</w:t>
      </w:r>
    </w:p>
    <w:p>
      <w:pPr>
        <w:spacing w:before="0" w:after="200" w:line="240" w:lineRule="auto"/>
        <w:jc w:val="both"/>
      </w:pPr>
      <w:r>
        <w:rPr>
          <w:rFonts w:ascii="Century Gothic" w:hAnsi="Century Gothic" w:cs="Century Gothic" w:eastAsia="Century Gothic"/>
          <w:b w:val="0"/>
          <w:i w:val="0"/>
          <w:sz w:val="20"/>
        </w:rPr>
        <w:t>Las competencias de la profesión constituyen el conjunto articulado de conocimientos, habilidades procedimentales, actitudes y valores éticos que el Contador Público Autorizado demuestra en desempeños observables para resolver problemas complejos en contextos cambiantes. Conforme al Artículo 8 del Reglamento de Innovación Curricular de la Universidad Mayor de San Andrés (Resolución HCU 032/2025) y a la recomendación de la III-XIII Reunión Sectorial de Carreras de Contaduría Pública del Sistema Universitario Boliviano, el perfil de egreso se organiza bajo la estructura tridimensional de los saberes de la formación integral:</w:t>
      </w:r>
    </w:p>
    <w:p>
      <w:pPr>
        <w:numPr>
          <w:ilvl w:val="0"/>
          <w:numId w:val="944"/>
        </w:numPr>
        <w:spacing w:before="0" w:after="160" w:line="240" w:lineRule="auto"/>
        <w:jc w:val="both"/>
      </w:pPr>
      <w:r>
        <w:rPr>
          <w:rFonts w:ascii="Century Gothic" w:hAnsi="Century Gothic" w:cs="Century Gothic" w:eastAsia="Century Gothic"/>
          <w:b/>
          <w:i w:val="0"/>
          <w:sz w:val="20"/>
        </w:rPr>
        <w:t>Saber Conocer (Competencias Cognitivas y Disciplinares)</w:t>
      </w:r>
      <w:r>
        <w:rPr>
          <w:rFonts w:ascii="Century Gothic" w:hAnsi="Century Gothic" w:cs="Century Gothic" w:eastAsia="Century Gothic"/>
          <w:b w:val="0"/>
          <w:i w:val="0"/>
          <w:sz w:val="20"/>
        </w:rPr>
        <w:t>: Dominio de teorías, conceptos, marcos normativos nacionales e internacionales y legislación aplicable.</w:t>
      </w:r>
    </w:p>
    <w:p>
      <w:pPr>
        <w:numPr>
          <w:ilvl w:val="0"/>
          <w:numId w:val="944"/>
        </w:numPr>
        <w:spacing w:before="0" w:after="160" w:line="240" w:lineRule="auto"/>
        <w:jc w:val="both"/>
      </w:pPr>
      <w:r>
        <w:rPr>
          <w:rFonts w:ascii="Century Gothic" w:hAnsi="Century Gothic" w:cs="Century Gothic" w:eastAsia="Century Gothic"/>
          <w:b/>
          <w:i w:val="0"/>
          <w:sz w:val="20"/>
        </w:rPr>
        <w:t>Saber Hacer (Competencias Procedimentales y Técnicas)</w:t>
      </w:r>
      <w:r>
        <w:rPr>
          <w:rFonts w:ascii="Century Gothic" w:hAnsi="Century Gothic" w:cs="Century Gothic" w:eastAsia="Century Gothic"/>
          <w:b w:val="0"/>
          <w:i w:val="0"/>
          <w:sz w:val="20"/>
        </w:rPr>
        <w:t>: Destrezas prácticas, manejo de tecnologías emergentes, análisis de datos y resolución de casos reales.</w:t>
      </w:r>
    </w:p>
    <w:p>
      <w:pPr>
        <w:numPr>
          <w:ilvl w:val="0"/>
          <w:numId w:val="944"/>
        </w:numPr>
        <w:spacing w:before="0" w:after="200" w:line="240" w:lineRule="auto"/>
        <w:jc w:val="both"/>
      </w:pPr>
      <w:r>
        <w:rPr>
          <w:rFonts w:ascii="Century Gothic" w:hAnsi="Century Gothic" w:cs="Century Gothic" w:eastAsia="Century Gothic"/>
          <w:b/>
          <w:i w:val="0"/>
          <w:sz w:val="20"/>
        </w:rPr>
        <w:t>Saber Ser y Convivir (Competencias Actitudinales, Éticas y Socioemocionales)</w:t>
      </w:r>
      <w:r>
        <w:rPr>
          <w:rFonts w:ascii="Century Gothic" w:hAnsi="Century Gothic" w:cs="Century Gothic" w:eastAsia="Century Gothic"/>
          <w:b w:val="0"/>
          <w:i w:val="0"/>
          <w:sz w:val="20"/>
        </w:rPr>
        <w:t>: Integridad, juicio crítico, adaptabilidad, liderazgo y responsabilidad social orientada a la responsabilidad pública.</w:t>
      </w:r>
    </w:p>
    <w:p>
      <w:pPr>
        <w:spacing w:before="0" w:after="200" w:line="240" w:lineRule="auto"/>
        <w:jc w:val="both"/>
      </w:pPr>
      <w:r>
        <w:rPr>
          <w:rFonts w:ascii="Century Gothic" w:hAnsi="Century Gothic" w:cs="Century Gothic" w:eastAsia="Century Gothic"/>
          <w:b w:val="0"/>
          <w:i w:val="0"/>
          <w:sz w:val="20"/>
        </w:rPr>
        <w:t xml:space="preserve">Esta estructura atiende las prioridades globales del </w:t>
      </w:r>
      <w:r>
        <w:rPr>
          <w:rFonts w:ascii="Century Gothic" w:hAnsi="Century Gothic" w:cs="Century Gothic" w:eastAsia="Century Gothic"/>
          <w:b/>
          <w:i w:val="0"/>
          <w:sz w:val="20"/>
        </w:rPr>
        <w:t>Future of Jobs Report 2025</w:t>
      </w:r>
      <w:r>
        <w:rPr>
          <w:rFonts w:ascii="Century Gothic" w:hAnsi="Century Gothic" w:cs="Century Gothic" w:eastAsia="Century Gothic"/>
          <w:b w:val="0"/>
          <w:i w:val="0"/>
          <w:sz w:val="20"/>
        </w:rPr>
        <w:t xml:space="preserve"> del Foro Económico Mundial y resuelve las brechas críticas identificadas en el estudio Ipsos CIESMORI, donde el 93% de los egresados reporta brechas en habilidades tecnológicas y el 88% de los estudiantes exige metodologías basadas en proyectos reales y pasantías aplicadas.</w:t>
      </w:r>
    </w:p>
    <w:p>
      <w:pPr>
        <w:spacing w:before="0" w:after="200" w:line="240" w:lineRule="auto"/>
        <w:jc w:val="both"/>
      </w:pPr>
      <w:r>
        <w:rPr>
          <w:rFonts w:ascii="Century Gothic" w:hAnsi="Century Gothic" w:cs="Century Gothic" w:eastAsia="Century Gothic"/>
          <w:b w:val="0"/>
          <w:i w:val="0"/>
          <w:sz w:val="20"/>
        </w:rPr>
        <w:t xml:space="preserve">El logro de las competencias del Contador Público Autorizado se verificará a través de un sistema de </w:t>
      </w:r>
      <w:r>
        <w:rPr>
          <w:rFonts w:ascii="Century Gothic" w:hAnsi="Century Gothic" w:cs="Century Gothic" w:eastAsia="Century Gothic"/>
          <w:b/>
          <w:i w:val="0"/>
          <w:sz w:val="20"/>
        </w:rPr>
        <w:t>evaluación auténtica del desempeño</w:t>
      </w:r>
      <w:r>
        <w:rPr>
          <w:rFonts w:ascii="Century Gothic" w:hAnsi="Century Gothic" w:cs="Century Gothic" w:eastAsia="Century Gothic"/>
          <w:b w:val="0"/>
          <w:i w:val="0"/>
          <w:sz w:val="20"/>
        </w:rPr>
        <w:t>, priorizando portafolios de evidencias, demostraciones prácticas en simuladores de software contable/ERP, rúbricas de evaluación en proyectos integradores reales y sustentaciones formales de estudios de caso, superando la evaluación únicamente memorística.</w:t>
      </w:r>
    </w:p>
    <w:p>
      <w:pPr>
        <w:keepNext/>
        <w:tabs>
          <w:tab w:pos="992" w:val="left"/>
        </w:tabs>
        <w:spacing w:before="80" w:after="200" w:line="240" w:lineRule="auto"/>
        <w:ind w:left="992" w:hanging="992"/>
        <w:jc w:val="left"/>
      </w:pPr>
      <w:r>
        <w:rPr>
          <w:rFonts w:ascii="Century Gothic" w:hAnsi="Century Gothic" w:cs="Century Gothic" w:eastAsia="Century Gothic"/>
          <w:b/>
          <w:i w:val="0"/>
          <w:sz w:val="22"/>
        </w:rPr>
        <w:t>4.2.6.1</w:t>
        <w:tab/>
      </w:r>
      <w:r>
        <w:rPr>
          <w:rFonts w:ascii="Century Gothic" w:hAnsi="Century Gothic" w:cs="Century Gothic" w:eastAsia="Century Gothic"/>
          <w:b/>
          <w:i w:val="0"/>
          <w:sz w:val="22"/>
        </w:rPr>
        <w:t>Saber Conocer (Competencias Cognitivas y Disciplinares)</w:t>
      </w:r>
    </w:p>
    <w:p>
      <w:pPr>
        <w:spacing w:before="0" w:after="200" w:line="240" w:lineRule="auto"/>
        <w:jc w:val="both"/>
      </w:pPr>
      <w:r>
        <w:rPr>
          <w:rFonts w:ascii="Century Gothic" w:hAnsi="Century Gothic" w:cs="Century Gothic" w:eastAsia="Century Gothic"/>
          <w:b w:val="0"/>
          <w:i w:val="0"/>
          <w:sz w:val="20"/>
        </w:rPr>
        <w:t>El Contador Público Autorizado posee un dominio conceptual profundo y actualizado sobre la técnica contable y las disciplinas interrelacionadas, sustentado en estándares globales y nacionales:</w:t>
      </w:r>
    </w:p>
    <w:p>
      <w:pPr>
        <w:numPr>
          <w:ilvl w:val="0"/>
          <w:numId w:val="944"/>
        </w:numPr>
        <w:spacing w:before="0" w:after="160" w:line="240" w:lineRule="auto"/>
        <w:jc w:val="both"/>
      </w:pPr>
      <w:r>
        <w:rPr>
          <w:rFonts w:ascii="Century Gothic" w:hAnsi="Century Gothic" w:cs="Century Gothic" w:eastAsia="Century Gothic"/>
          <w:b/>
          <w:i w:val="0"/>
          <w:sz w:val="20"/>
        </w:rPr>
        <w:t>Marco Contable y Financiero Nacional e Internacional (NCGA en Bolivia Normas NIIF de Contabilidad, NIIF para las PYMES, Normas Básicas del Sistema de Contabilidad Gubernamental Integrado y NICSP):</w:t>
      </w:r>
      <w:r>
        <w:rPr>
          <w:rFonts w:ascii="Century Gothic" w:hAnsi="Century Gothic" w:cs="Century Gothic" w:eastAsia="Century Gothic"/>
          <w:b w:val="0"/>
          <w:i w:val="0"/>
          <w:sz w:val="20"/>
        </w:rPr>
        <w:t xml:space="preserve"> Comprende y domina la teoría y fundamentación técnica de las Normas Locales e Internacionales de Información Financiera (NCGA en Bolivia, Normas NIIF de Contabilidad y NIIF para las PYMES) y de las Normas Contables del Sector Público (Normas Básicas del Sistema de Contabilidad Gubernamental Integrado y NICSC) para la preparación de estados financieros e informes de gestión en diversos sectores económicos.</w:t>
      </w:r>
    </w:p>
    <w:p>
      <w:pPr>
        <w:numPr>
          <w:ilvl w:val="0"/>
          <w:numId w:val="944"/>
        </w:numPr>
        <w:spacing w:before="0" w:after="160" w:line="240" w:lineRule="auto"/>
        <w:jc w:val="both"/>
      </w:pPr>
      <w:r>
        <w:rPr>
          <w:rFonts w:ascii="Century Gothic" w:hAnsi="Century Gothic" w:cs="Century Gothic" w:eastAsia="Century Gothic"/>
          <w:b/>
          <w:i w:val="0"/>
          <w:sz w:val="20"/>
        </w:rPr>
        <w:t>Marcos de Aseguramiento y Auditoría (NAGA en Bolivia, Pronunciamientos del IAASB, NAG):</w:t>
      </w:r>
      <w:r>
        <w:rPr>
          <w:rFonts w:ascii="Century Gothic" w:hAnsi="Century Gothic" w:cs="Century Gothic" w:eastAsia="Century Gothic"/>
          <w:b w:val="0"/>
          <w:i w:val="0"/>
          <w:sz w:val="20"/>
        </w:rPr>
        <w:t xml:space="preserve"> Domina la fundamentación técnica de las Normas de Auditoría Generalmente Aceptadas en Bolivia, las Normas Internacionales de Auditoría (NIA), las Normas Internacionales de Encargos de Aseguramiento (NIEA), las Normas de Auditoría Gubernamental de la Contraloría General del Estado y las Normas Internacionales de Entidades Fiscalizadoras Superiores (ISSAI) para planificar, ejecutar y evaluar auditorías financieras, gubernamentales, operativas, de control interno, de sistemas, ambientales y forenses.</w:t>
      </w:r>
    </w:p>
    <w:p>
      <w:pPr>
        <w:numPr>
          <w:ilvl w:val="0"/>
          <w:numId w:val="944"/>
        </w:numPr>
        <w:spacing w:before="0" w:after="160" w:line="240" w:lineRule="auto"/>
        <w:jc w:val="both"/>
      </w:pPr>
      <w:r>
        <w:rPr>
          <w:rFonts w:ascii="Century Gothic" w:hAnsi="Century Gothic" w:cs="Century Gothic" w:eastAsia="Century Gothic"/>
          <w:b/>
          <w:i w:val="0"/>
          <w:sz w:val="20"/>
        </w:rPr>
        <w:t>Sostenibilidad y Criterios ESG (Normas NIIF de Sostenibilidad del ISSB):</w:t>
      </w:r>
      <w:r>
        <w:rPr>
          <w:rFonts w:ascii="Century Gothic" w:hAnsi="Century Gothic" w:cs="Century Gothic" w:eastAsia="Century Gothic"/>
          <w:b w:val="0"/>
          <w:i w:val="0"/>
          <w:sz w:val="20"/>
        </w:rPr>
        <w:t xml:space="preserve"> Internaliza los conceptos y directrices globales para la medición, revelación y aseguramiento de la información no financiera de impacto ambiental, social y de gobernanza corporativa.</w:t>
      </w:r>
    </w:p>
    <w:p>
      <w:pPr>
        <w:numPr>
          <w:ilvl w:val="0"/>
          <w:numId w:val="944"/>
        </w:numPr>
        <w:spacing w:before="0" w:after="160" w:line="240" w:lineRule="auto"/>
        <w:jc w:val="both"/>
      </w:pPr>
      <w:r>
        <w:rPr>
          <w:rFonts w:ascii="Century Gothic" w:hAnsi="Century Gothic" w:cs="Century Gothic" w:eastAsia="Century Gothic"/>
          <w:b/>
          <w:i w:val="0"/>
          <w:sz w:val="20"/>
        </w:rPr>
        <w:t>Gobernanza Digital, Ciberseguridad y Tecnologías Emergentes:</w:t>
      </w:r>
      <w:r>
        <w:rPr>
          <w:rFonts w:ascii="Century Gothic" w:hAnsi="Century Gothic" w:cs="Century Gothic" w:eastAsia="Century Gothic"/>
          <w:b w:val="0"/>
          <w:i w:val="0"/>
          <w:sz w:val="20"/>
        </w:rPr>
        <w:t xml:space="preserve"> Comprende la teoría de sistemas de información, la gobernanza de datos en la nube, el control interno en entornos informatizados (COSO/ERM) y los fundamentos analíticos de la Inteligencia Artificial y la analítica de datos aplicadas a las finanzas.</w:t>
      </w:r>
    </w:p>
    <w:p>
      <w:pPr>
        <w:numPr>
          <w:ilvl w:val="0"/>
          <w:numId w:val="944"/>
        </w:numPr>
        <w:spacing w:before="0" w:after="160" w:line="240" w:lineRule="auto"/>
        <w:jc w:val="both"/>
      </w:pPr>
      <w:r>
        <w:rPr>
          <w:rFonts w:ascii="Century Gothic" w:hAnsi="Century Gothic" w:cs="Century Gothic" w:eastAsia="Century Gothic"/>
          <w:b/>
          <w:i w:val="0"/>
          <w:sz w:val="20"/>
        </w:rPr>
        <w:t>Marco Legal y Normativo:</w:t>
      </w:r>
      <w:r>
        <w:rPr>
          <w:rFonts w:ascii="Century Gothic" w:hAnsi="Century Gothic" w:cs="Century Gothic" w:eastAsia="Century Gothic"/>
          <w:b w:val="0"/>
          <w:i w:val="0"/>
          <w:sz w:val="20"/>
        </w:rPr>
        <w:t xml:space="preserve"> Domina la legislación fiscal, el Código Tributario, las leyes laborales, la legislación comercial, la normativa de entes reguladores y administrativa boliviana para fundamentar la gestión y prevención de contingencias jurídicas y tributarias.</w:t>
      </w:r>
    </w:p>
    <w:p>
      <w:pPr>
        <w:numPr>
          <w:ilvl w:val="0"/>
          <w:numId w:val="944"/>
        </w:numPr>
        <w:spacing w:before="0" w:after="200" w:line="240" w:lineRule="auto"/>
        <w:jc w:val="both"/>
      </w:pPr>
      <w:r>
        <w:rPr>
          <w:rFonts w:ascii="Century Gothic" w:hAnsi="Century Gothic" w:cs="Century Gothic" w:eastAsia="Century Gothic"/>
          <w:b/>
          <w:i w:val="0"/>
          <w:sz w:val="20"/>
        </w:rPr>
        <w:t>Finanzas Estratégicas y Gestión Integral de Riesgos (ERM):</w:t>
      </w:r>
      <w:r>
        <w:rPr>
          <w:rFonts w:ascii="Century Gothic" w:hAnsi="Century Gothic" w:cs="Century Gothic" w:eastAsia="Century Gothic"/>
          <w:b w:val="0"/>
          <w:i w:val="0"/>
          <w:sz w:val="20"/>
        </w:rPr>
        <w:t xml:space="preserve"> Conoce las teorías de valoración de empresas, mercados de capitales, matemáticas financieras y actuariales, presupuestos y modelos de gestión de riesgos empresariales para asesorar en la toma de decisiones gerenciales.</w:t>
      </w:r>
    </w:p>
    <w:p>
      <w:pPr>
        <w:keepNext/>
        <w:tabs>
          <w:tab w:pos="992" w:val="left"/>
        </w:tabs>
        <w:spacing w:before="80" w:after="200" w:line="240" w:lineRule="auto"/>
        <w:ind w:left="992" w:hanging="992"/>
        <w:jc w:val="left"/>
      </w:pPr>
      <w:r>
        <w:rPr>
          <w:rFonts w:ascii="Century Gothic" w:hAnsi="Century Gothic" w:cs="Century Gothic" w:eastAsia="Century Gothic"/>
          <w:b/>
          <w:i w:val="0"/>
          <w:sz w:val="22"/>
        </w:rPr>
        <w:t>4.2.6.2</w:t>
        <w:tab/>
      </w:r>
      <w:r>
        <w:rPr>
          <w:rFonts w:ascii="Century Gothic" w:hAnsi="Century Gothic" w:cs="Century Gothic" w:eastAsia="Century Gothic"/>
          <w:b/>
          <w:i w:val="0"/>
          <w:sz w:val="22"/>
        </w:rPr>
        <w:t>Saber Hacer (Competencias Procedimentales y Técnicas)</w:t>
      </w:r>
    </w:p>
    <w:p>
      <w:pPr>
        <w:spacing w:before="0" w:after="200" w:line="240" w:lineRule="auto"/>
        <w:jc w:val="both"/>
      </w:pPr>
      <w:r>
        <w:rPr>
          <w:rFonts w:ascii="Century Gothic" w:hAnsi="Century Gothic" w:cs="Century Gothic" w:eastAsia="Century Gothic"/>
          <w:b w:val="0"/>
          <w:i w:val="0"/>
          <w:sz w:val="20"/>
        </w:rPr>
        <w:t>El Contador Público Autorizado demuestra habilidades procedimentales avanzadas para operar instrumentos tecnológicos, procesar datos masivos y generar soluciones profesionales verificables:</w:t>
      </w:r>
    </w:p>
    <w:p>
      <w:pPr>
        <w:numPr>
          <w:ilvl w:val="0"/>
          <w:numId w:val="944"/>
        </w:numPr>
        <w:spacing w:before="0" w:after="160" w:line="240" w:lineRule="auto"/>
        <w:jc w:val="both"/>
      </w:pPr>
      <w:r>
        <w:rPr>
          <w:rFonts w:ascii="Century Gothic" w:hAnsi="Century Gothic" w:cs="Century Gothic" w:eastAsia="Century Gothic"/>
          <w:b/>
          <w:i w:val="0"/>
          <w:sz w:val="20"/>
        </w:rPr>
        <w:t>Operación de Sistemas Contables, ERPs y Plataformas Tributarias:</w:t>
      </w:r>
      <w:r>
        <w:rPr>
          <w:rFonts w:ascii="Century Gothic" w:hAnsi="Century Gothic" w:cs="Century Gothic" w:eastAsia="Century Gothic"/>
          <w:b w:val="0"/>
          <w:i w:val="0"/>
          <w:sz w:val="20"/>
        </w:rPr>
        <w:t xml:space="preserve"> Aplica procedimentalmente software especializado de planificación de recursos empresariales (SAP, Oracle, Odoo), plataformas fiscales del Servicio de Impuestos Nacionales y sistemas de gestión pública, respondiendo a la mayor demanda del mercado laboral (75% de los egresados lo considera indispensable).</w:t>
      </w:r>
    </w:p>
    <w:p>
      <w:pPr>
        <w:numPr>
          <w:ilvl w:val="0"/>
          <w:numId w:val="944"/>
        </w:numPr>
        <w:spacing w:before="0" w:after="160" w:line="240" w:lineRule="auto"/>
        <w:jc w:val="both"/>
      </w:pPr>
      <w:r>
        <w:rPr>
          <w:rFonts w:ascii="Century Gothic" w:hAnsi="Century Gothic" w:cs="Century Gothic" w:eastAsia="Century Gothic"/>
          <w:b/>
          <w:i w:val="0"/>
          <w:sz w:val="20"/>
        </w:rPr>
        <w:t>Analítica de Datos e Inteligencia Artificial Aplicada:</w:t>
      </w:r>
      <w:r>
        <w:rPr>
          <w:rFonts w:ascii="Century Gothic" w:hAnsi="Century Gothic" w:cs="Century Gothic" w:eastAsia="Century Gothic"/>
          <w:b w:val="0"/>
          <w:i w:val="0"/>
          <w:sz w:val="20"/>
        </w:rPr>
        <w:t xml:space="preserve"> Utiliza herramientas de Business Intelligence (Power BI, Tableau), lenguajes de análisis cuantitativo (Python/R aplicados) y soluciones de IA generativa para el análisis de datos financieros, auditoría de sistemas, detección de patrones atípicos y modelado predictivo.</w:t>
      </w:r>
    </w:p>
    <w:p>
      <w:pPr>
        <w:numPr>
          <w:ilvl w:val="0"/>
          <w:numId w:val="944"/>
        </w:numPr>
        <w:spacing w:before="0" w:after="160" w:line="240" w:lineRule="auto"/>
        <w:jc w:val="both"/>
      </w:pPr>
      <w:r>
        <w:rPr>
          <w:rFonts w:ascii="Century Gothic" w:hAnsi="Century Gothic" w:cs="Century Gothic" w:eastAsia="Century Gothic"/>
          <w:b/>
          <w:i w:val="0"/>
          <w:sz w:val="20"/>
        </w:rPr>
        <w:t>Diseño y Ejecución de Auditorías con Enfoque de Riesgo:</w:t>
      </w:r>
      <w:r>
        <w:rPr>
          <w:rFonts w:ascii="Century Gothic" w:hAnsi="Century Gothic" w:cs="Century Gothic" w:eastAsia="Century Gothic"/>
          <w:b w:val="0"/>
          <w:i w:val="0"/>
          <w:sz w:val="20"/>
        </w:rPr>
        <w:t xml:space="preserve"> Elabora programas de auditoría, diseña y desarrolla papeles de trabajo digitales, aplica técnicas de muestreo estadístico y ejecuta procedimientos de control posterior interno y externo, emitiendo opiniones e informes técnicos sustentados en evidencia suficiente y adecuada.</w:t>
      </w:r>
    </w:p>
    <w:p>
      <w:pPr>
        <w:numPr>
          <w:ilvl w:val="0"/>
          <w:numId w:val="944"/>
        </w:numPr>
        <w:spacing w:before="0" w:after="160" w:line="240" w:lineRule="auto"/>
        <w:jc w:val="both"/>
      </w:pPr>
      <w:r>
        <w:rPr>
          <w:rFonts w:ascii="Century Gothic" w:hAnsi="Century Gothic" w:cs="Century Gothic" w:eastAsia="Century Gothic"/>
          <w:b/>
          <w:i w:val="0"/>
          <w:sz w:val="20"/>
        </w:rPr>
        <w:t>Preparación y Aseguramiento de Reportes de Sostenibilidad:</w:t>
      </w:r>
      <w:r>
        <w:rPr>
          <w:rFonts w:ascii="Century Gothic" w:hAnsi="Century Gothic" w:cs="Century Gothic" w:eastAsia="Century Gothic"/>
          <w:b w:val="0"/>
          <w:i w:val="0"/>
          <w:sz w:val="20"/>
        </w:rPr>
        <w:t xml:space="preserve"> Modela indicadores cuantitativos y cualitativos de sostenibilidad, y aplica procedimientos de revisión limitada y razonable sobre informes de impacto social y ambiental (NIAS 5000).</w:t>
      </w:r>
    </w:p>
    <w:p>
      <w:pPr>
        <w:numPr>
          <w:ilvl w:val="0"/>
          <w:numId w:val="944"/>
        </w:numPr>
        <w:spacing w:before="0" w:after="160" w:line="240" w:lineRule="auto"/>
        <w:jc w:val="both"/>
      </w:pPr>
      <w:r>
        <w:rPr>
          <w:rFonts w:ascii="Century Gothic" w:hAnsi="Century Gothic" w:cs="Century Gothic" w:eastAsia="Century Gothic"/>
          <w:b/>
          <w:i w:val="0"/>
          <w:sz w:val="20"/>
        </w:rPr>
        <w:t>Práctica Tributaria, Conciliaciones y Cierre de Estados Financieros:</w:t>
      </w:r>
      <w:r>
        <w:rPr>
          <w:rFonts w:ascii="Century Gothic" w:hAnsi="Century Gothic" w:cs="Century Gothic" w:eastAsia="Century Gothic"/>
          <w:b w:val="0"/>
          <w:i w:val="0"/>
          <w:sz w:val="20"/>
        </w:rPr>
        <w:t xml:space="preserve"> Efectúa conciliaciones contables y bancarias, determina liquidaciones de tributos, elabora declaraciones juradas impositivas y ejecuta cierres contables formales con estricto apego a la norma vigente.</w:t>
      </w:r>
    </w:p>
    <w:p>
      <w:pPr>
        <w:numPr>
          <w:ilvl w:val="0"/>
          <w:numId w:val="944"/>
        </w:numPr>
        <w:spacing w:before="0" w:after="200" w:line="240" w:lineRule="auto"/>
        <w:jc w:val="both"/>
      </w:pPr>
      <w:r>
        <w:rPr>
          <w:rFonts w:ascii="Century Gothic" w:hAnsi="Century Gothic" w:cs="Century Gothic" w:eastAsia="Century Gothic"/>
          <w:b/>
          <w:i w:val="0"/>
          <w:sz w:val="20"/>
        </w:rPr>
        <w:t>Análisis Forense y Peritaje Contable:</w:t>
      </w:r>
      <w:r>
        <w:rPr>
          <w:rFonts w:ascii="Century Gothic" w:hAnsi="Century Gothic" w:cs="Century Gothic" w:eastAsia="Century Gothic"/>
          <w:b w:val="0"/>
          <w:i w:val="0"/>
          <w:sz w:val="20"/>
        </w:rPr>
        <w:t xml:space="preserve"> Diseña e implementa procedimientos de investigación ante sospechas de fraude, malversación, lavado de activos e irregularidades en los registros contables, elaborando informes periciales.</w:t>
      </w:r>
    </w:p>
    <w:p>
      <w:pPr>
        <w:keepNext/>
        <w:tabs>
          <w:tab w:pos="992" w:val="left"/>
        </w:tabs>
        <w:spacing w:before="80" w:after="200" w:line="240" w:lineRule="auto"/>
        <w:ind w:left="992" w:hanging="992"/>
        <w:jc w:val="left"/>
      </w:pPr>
      <w:r>
        <w:rPr>
          <w:rFonts w:ascii="Century Gothic" w:hAnsi="Century Gothic" w:cs="Century Gothic" w:eastAsia="Century Gothic"/>
          <w:b/>
          <w:i w:val="0"/>
          <w:sz w:val="22"/>
        </w:rPr>
        <w:t>4.2.6.3</w:t>
        <w:tab/>
      </w:r>
      <w:r>
        <w:rPr>
          <w:rFonts w:ascii="Century Gothic" w:hAnsi="Century Gothic" w:cs="Century Gothic" w:eastAsia="Century Gothic"/>
          <w:b/>
          <w:i w:val="0"/>
          <w:sz w:val="22"/>
        </w:rPr>
        <w:t>Saber Ser y Convivir (Competencias Actitudinales, Éticas y Socioemocionales)</w:t>
      </w:r>
    </w:p>
    <w:p>
      <w:pPr>
        <w:spacing w:before="0" w:after="200" w:line="240" w:lineRule="auto"/>
        <w:jc w:val="both"/>
      </w:pPr>
      <w:r>
        <w:rPr>
          <w:rFonts w:ascii="Century Gothic" w:hAnsi="Century Gothic" w:cs="Century Gothic" w:eastAsia="Century Gothic"/>
          <w:b w:val="0"/>
          <w:i w:val="0"/>
          <w:sz w:val="20"/>
        </w:rPr>
        <w:t>El Contador Público Autorizado se distingue por una idoneidad ética y humana inquebrantable, indispensable para otorgar fe pública y resguardar el interés general de la sociedad:</w:t>
      </w:r>
    </w:p>
    <w:p>
      <w:pPr>
        <w:numPr>
          <w:ilvl w:val="0"/>
          <w:numId w:val="944"/>
        </w:numPr>
        <w:spacing w:before="0" w:after="160" w:line="240" w:lineRule="auto"/>
        <w:jc w:val="both"/>
      </w:pPr>
      <w:r>
        <w:rPr>
          <w:rFonts w:ascii="Century Gothic" w:hAnsi="Century Gothic" w:cs="Century Gothic" w:eastAsia="Century Gothic"/>
          <w:b/>
          <w:i w:val="0"/>
          <w:sz w:val="20"/>
        </w:rPr>
        <w:t>Integridad, Independencia de Criterio y Ética Profesional (Código de Ética del IESBA):</w:t>
      </w:r>
      <w:r>
        <w:rPr>
          <w:rFonts w:ascii="Century Gothic" w:hAnsi="Century Gothic" w:cs="Century Gothic" w:eastAsia="Century Gothic"/>
          <w:b w:val="0"/>
          <w:i w:val="0"/>
          <w:sz w:val="20"/>
        </w:rPr>
        <w:t xml:space="preserve"> Aplica de forma intransigente los principios fundamentales de integridad, objetividad, competencia y diligencia profesionales, confidencialidad y conducta profesional ante presiones institucionales o conflictos de interés. Al respecto el 82% de los estudiantes señalan la importancia de la ética aplicada de forma transversal.</w:t>
      </w:r>
    </w:p>
    <w:p>
      <w:pPr>
        <w:numPr>
          <w:ilvl w:val="0"/>
          <w:numId w:val="944"/>
        </w:numPr>
        <w:spacing w:before="0" w:after="160" w:line="240" w:lineRule="auto"/>
        <w:jc w:val="both"/>
      </w:pPr>
      <w:r>
        <w:rPr>
          <w:rFonts w:ascii="Century Gothic" w:hAnsi="Century Gothic" w:cs="Century Gothic" w:eastAsia="Century Gothic"/>
          <w:b/>
          <w:i w:val="0"/>
          <w:sz w:val="20"/>
        </w:rPr>
        <w:t>Adaptabilidad y Aprendizaje Continuo a lo Largo de la Vida:</w:t>
      </w:r>
      <w:r>
        <w:rPr>
          <w:rFonts w:ascii="Century Gothic" w:hAnsi="Century Gothic" w:cs="Century Gothic" w:eastAsia="Century Gothic"/>
          <w:b w:val="0"/>
          <w:i w:val="0"/>
          <w:sz w:val="20"/>
        </w:rPr>
        <w:t xml:space="preserve"> Muestra una actitud proactiva y ágil frente a la volatilidad del entorno, adaptándose con rapidez a reformas normativas, tecnológicas y económicas, identificada como la principal actitud profesional demandada por el mercado laboral.</w:t>
      </w:r>
    </w:p>
    <w:p>
      <w:pPr>
        <w:numPr>
          <w:ilvl w:val="0"/>
          <w:numId w:val="944"/>
        </w:numPr>
        <w:spacing w:before="0" w:after="160" w:line="240" w:lineRule="auto"/>
        <w:jc w:val="both"/>
      </w:pPr>
      <w:r>
        <w:rPr>
          <w:rFonts w:ascii="Century Gothic" w:hAnsi="Century Gothic" w:cs="Century Gothic" w:eastAsia="Century Gothic"/>
          <w:b/>
          <w:i w:val="0"/>
          <w:sz w:val="20"/>
        </w:rPr>
        <w:t>Pensamiento Crítico y Juicio Profesional Reflejado:</w:t>
      </w:r>
      <w:r>
        <w:rPr>
          <w:rFonts w:ascii="Century Gothic" w:hAnsi="Century Gothic" w:cs="Century Gothic" w:eastAsia="Century Gothic"/>
          <w:b w:val="0"/>
          <w:i w:val="0"/>
          <w:sz w:val="20"/>
        </w:rPr>
        <w:t xml:space="preserve"> Analiza la evidencia de manera imparcial, cuestiona supuestos, identifica riesgos no explícitos y ejerce un juicio reflexivo en escenarios inciertos y complejos, superando la brecha del 78% reportada en los diagnósticos.</w:t>
      </w:r>
    </w:p>
    <w:p>
      <w:pPr>
        <w:numPr>
          <w:ilvl w:val="0"/>
          <w:numId w:val="944"/>
        </w:numPr>
        <w:spacing w:before="0" w:after="160" w:line="240" w:lineRule="auto"/>
        <w:jc w:val="both"/>
      </w:pPr>
      <w:r>
        <w:rPr>
          <w:rFonts w:ascii="Century Gothic" w:hAnsi="Century Gothic" w:cs="Century Gothic" w:eastAsia="Century Gothic"/>
          <w:b/>
          <w:i w:val="0"/>
          <w:sz w:val="20"/>
        </w:rPr>
        <w:t>Trabajo Colaborativo y Comunicación Efectiva:</w:t>
      </w:r>
      <w:r>
        <w:rPr>
          <w:rFonts w:ascii="Century Gothic" w:hAnsi="Century Gothic" w:cs="Century Gothic" w:eastAsia="Century Gothic"/>
          <w:b w:val="0"/>
          <w:i w:val="0"/>
          <w:sz w:val="20"/>
        </w:rPr>
        <w:t xml:space="preserve"> Se desenvuelve con liderazgo adaptativo en equipos multidisciplinarios, comunicando con claridad formal, oral y escrita en español e inglés técnico contable, facilitando la interacción en entornos globales.</w:t>
      </w:r>
    </w:p>
    <w:p>
      <w:pPr>
        <w:numPr>
          <w:ilvl w:val="0"/>
          <w:numId w:val="944"/>
        </w:numPr>
        <w:spacing w:before="0" w:after="200" w:line="240" w:lineRule="auto"/>
        <w:jc w:val="both"/>
      </w:pPr>
      <w:r>
        <w:rPr>
          <w:rFonts w:ascii="Century Gothic" w:hAnsi="Century Gothic" w:cs="Century Gothic" w:eastAsia="Century Gothic"/>
          <w:b/>
          <w:i w:val="0"/>
          <w:sz w:val="20"/>
        </w:rPr>
        <w:t>Responsabilidad Social, Responsabilidad Pública y Conciencia Ambiental:</w:t>
      </w:r>
      <w:r>
        <w:rPr>
          <w:rFonts w:ascii="Century Gothic" w:hAnsi="Century Gothic" w:cs="Century Gothic" w:eastAsia="Century Gothic"/>
          <w:b w:val="0"/>
          <w:i w:val="0"/>
          <w:sz w:val="20"/>
        </w:rPr>
        <w:t xml:space="preserve"> Asume plenamente el impacto social de sus decisiones, orientando su ejercicio hacia la transparencia pública, la lucha contra la corrupción y la sostenibilidad de la comunidad y del Estado.</w:t>
      </w:r>
    </w:p>
    <w:p>
      <w:pPr>
        <w:keepNext/>
        <w:tabs>
          <w:tab w:pos="992" w:val="left"/>
        </w:tabs>
        <w:spacing w:before="80" w:after="200" w:line="240" w:lineRule="auto"/>
        <w:ind w:left="992" w:hanging="992"/>
        <w:jc w:val="left"/>
      </w:pPr>
      <w:r>
        <w:rPr>
          <w:rFonts w:ascii="Century Gothic" w:hAnsi="Century Gothic" w:cs="Century Gothic" w:eastAsia="Century Gothic"/>
          <w:b/>
          <w:i w:val="0"/>
          <w:sz w:val="22"/>
        </w:rPr>
        <w:t>4.2.6.4</w:t>
        <w:tab/>
      </w:r>
      <w:r>
        <w:rPr>
          <w:rFonts w:ascii="Century Gothic" w:hAnsi="Century Gothic" w:cs="Century Gothic" w:eastAsia="Century Gothic"/>
          <w:b/>
          <w:i w:val="0"/>
          <w:sz w:val="22"/>
        </w:rPr>
        <w:t>Matriz Resumen del Mapa de Competencias del Contador Público Autorizado</w:t>
      </w:r>
    </w:p>
    <w:tbl>
      <w:tblPr>
        <w:tblW w:type="auto" w:w="0"/>
        <w:jc w:val="center"/>
        <w:tblLayout w:type="fixed"/>
        <w:tblLook w:firstColumn="1" w:firstRow="1" w:lastColumn="0" w:lastRow="0" w:noHBand="0" w:noVBand="1" w:val="04A0"/>
      </w:tblPr>
      <w:tblGrid>
        <w:gridCol w:w="3024"/>
        <w:gridCol w:w="3024"/>
        <w:gridCol w:w="3024"/>
      </w:tblGrid>
      <w:tr>
        <w:trPr>
          <w:tblHeader/>
        </w:trPr>
        <w:tc>
          <w:tcPr>
            <w:tcW w:type="dxa" w:w="3024"/>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Dimensiones de la Competencia</w:t>
            </w:r>
          </w:p>
        </w:tc>
        <w:tc>
          <w:tcPr>
            <w:tcW w:type="dxa" w:w="3024"/>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Componentes Principales de Formación</w:t>
            </w:r>
          </w:p>
        </w:tc>
        <w:tc>
          <w:tcPr>
            <w:tcW w:type="dxa" w:w="3024"/>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Evidencia Diagnóstica / sustento Normativo</w:t>
            </w:r>
          </w:p>
        </w:tc>
      </w:tr>
      <w:tr>
        <w:tc>
          <w:tcPr>
            <w:tcW w:type="dxa" w:w="30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i w:val="0"/>
                <w:sz w:val="20"/>
              </w:rPr>
              <w:t>Saber Conocer</w:t>
            </w:r>
          </w:p>
          <w:p>
            <w:pPr>
              <w:spacing w:before="0" w:after="0" w:line="240" w:lineRule="auto"/>
              <w:jc w:val="both"/>
            </w:pPr>
            <w:r>
              <w:rPr>
                <w:rFonts w:ascii="Century Gothic" w:hAnsi="Century Gothic" w:cs="Century Gothic" w:eastAsia="Century Gothic"/>
                <w:b/>
                <w:i w:val="0"/>
                <w:sz w:val="20"/>
              </w:rPr>
              <w:t>(Cognitivo / Disciplinar)</w:t>
            </w:r>
          </w:p>
        </w:tc>
        <w:tc>
          <w:tcPr>
            <w:tcW w:type="dxa" w:w="3024"/>
            <w:tcBorders>
              <w:top w:val="single" w:sz="4" w:space="0" w:color="8EAADB"/>
              <w:left w:val="single" w:sz="4" w:space="0" w:color="8EAADB"/>
              <w:bottom w:val="single" w:sz="4" w:space="0" w:color="8EAADB"/>
              <w:right w:val="single" w:sz="4" w:space="0" w:color="8EAADB"/>
            </w:tcBorders>
            <w:shd w:val="clear" w:color="auto" w:fill="D9E2F3"/>
            <w:vAlign w:val="top"/>
          </w:tcPr>
          <w:p>
            <w:pPr>
              <w:tabs>
                <w:tab w:pos="255" w:val="left"/>
              </w:tabs>
              <w:spacing w:before="0" w:after="0" w:line="240" w:lineRule="auto"/>
              <w:ind w:left="255" w:hanging="255"/>
              <w:jc w:val="both"/>
            </w:pPr>
            <w:r>
              <w:rPr>
                <w:rFonts w:ascii="Century Gothic" w:hAnsi="Century Gothic" w:cs="Century Gothic" w:eastAsia="Century Gothic"/>
                <w:sz w:val="20"/>
              </w:rPr>
              <w:t>▪</w:t>
              <w:tab/>
            </w:r>
            <w:r>
              <w:rPr>
                <w:rFonts w:ascii="Century Gothic" w:hAnsi="Century Gothic" w:cs="Century Gothic" w:eastAsia="Century Gothic"/>
                <w:b w:val="0"/>
                <w:i w:val="0"/>
                <w:sz w:val="20"/>
              </w:rPr>
              <w:t>NCGA en Bolivia, Normas NIIF de Contabilidad, NIIF para las PYMES, Normas Básicas del Sistema de Contabilidad Gubernamental Integrado y NICSP.</w:t>
            </w:r>
          </w:p>
          <w:p>
            <w:pPr>
              <w:tabs>
                <w:tab w:pos="255" w:val="left"/>
              </w:tabs>
              <w:spacing w:before="0" w:after="0" w:line="240" w:lineRule="auto"/>
              <w:ind w:left="255" w:hanging="255"/>
              <w:jc w:val="both"/>
            </w:pPr>
            <w:r>
              <w:rPr>
                <w:rFonts w:ascii="Century Gothic" w:hAnsi="Century Gothic" w:cs="Century Gothic" w:eastAsia="Century Gothic"/>
                <w:sz w:val="20"/>
              </w:rPr>
              <w:t>▪</w:t>
              <w:tab/>
            </w:r>
            <w:r>
              <w:rPr>
                <w:rFonts w:ascii="Century Gothic" w:hAnsi="Century Gothic" w:cs="Century Gothic" w:eastAsia="Century Gothic"/>
                <w:b w:val="0"/>
                <w:i w:val="0"/>
                <w:sz w:val="20"/>
              </w:rPr>
              <w:t>NIA, NIEA, NIAS, Normas de Auditoría Gubernamental, ISSAI y Ley 1178.</w:t>
            </w:r>
          </w:p>
          <w:p>
            <w:pPr>
              <w:tabs>
                <w:tab w:pos="255" w:val="left"/>
              </w:tabs>
              <w:spacing w:before="0" w:after="0" w:line="240" w:lineRule="auto"/>
              <w:ind w:left="255" w:hanging="255"/>
              <w:jc w:val="both"/>
            </w:pPr>
            <w:r>
              <w:rPr>
                <w:rFonts w:ascii="Century Gothic" w:hAnsi="Century Gothic" w:cs="Century Gothic" w:eastAsia="Century Gothic"/>
                <w:sz w:val="20"/>
              </w:rPr>
              <w:t>▪</w:t>
              <w:tab/>
            </w:r>
            <w:r>
              <w:rPr>
                <w:rFonts w:ascii="Century Gothic" w:hAnsi="Century Gothic" w:cs="Century Gothic" w:eastAsia="Century Gothic"/>
                <w:b w:val="0"/>
                <w:i w:val="0"/>
                <w:sz w:val="20"/>
              </w:rPr>
              <w:t>Normas NIIF de Sostenibilidad del ISSB y Criterios ESG.</w:t>
            </w:r>
          </w:p>
          <w:p>
            <w:pPr>
              <w:tabs>
                <w:tab w:pos="255" w:val="left"/>
              </w:tabs>
              <w:spacing w:before="0" w:after="0" w:line="240" w:lineRule="auto"/>
              <w:ind w:left="255" w:hanging="255"/>
              <w:jc w:val="both"/>
            </w:pPr>
            <w:r>
              <w:rPr>
                <w:rFonts w:ascii="Century Gothic" w:hAnsi="Century Gothic" w:cs="Century Gothic" w:eastAsia="Century Gothic"/>
                <w:sz w:val="20"/>
              </w:rPr>
              <w:t>▪</w:t>
              <w:tab/>
            </w:r>
            <w:r>
              <w:rPr>
                <w:rFonts w:ascii="Century Gothic" w:hAnsi="Century Gothic" w:cs="Century Gothic" w:eastAsia="Century Gothic"/>
                <w:b w:val="0"/>
                <w:i w:val="0"/>
                <w:sz w:val="20"/>
              </w:rPr>
              <w:t>Legislación tributaria, laboral y comercial.</w:t>
            </w:r>
          </w:p>
          <w:p>
            <w:pPr>
              <w:tabs>
                <w:tab w:pos="255" w:val="left"/>
              </w:tabs>
              <w:spacing w:before="0" w:after="0" w:line="240" w:lineRule="auto"/>
              <w:ind w:left="255" w:hanging="255"/>
              <w:jc w:val="both"/>
            </w:pPr>
            <w:r>
              <w:rPr>
                <w:rFonts w:ascii="Century Gothic" w:hAnsi="Century Gothic" w:cs="Century Gothic" w:eastAsia="Century Gothic"/>
                <w:sz w:val="20"/>
              </w:rPr>
              <w:t>▪</w:t>
              <w:tab/>
            </w:r>
            <w:r>
              <w:rPr>
                <w:rFonts w:ascii="Century Gothic" w:hAnsi="Century Gothic" w:cs="Century Gothic" w:eastAsia="Century Gothic"/>
                <w:b w:val="0"/>
                <w:i w:val="0"/>
                <w:sz w:val="20"/>
              </w:rPr>
              <w:t>Gobernanza de Datos, Ciberseguridad, Control Interno y Gestión de Riesgos.</w:t>
            </w:r>
          </w:p>
        </w:tc>
        <w:tc>
          <w:tcPr>
            <w:tcW w:type="dxa" w:w="3024"/>
            <w:tcBorders>
              <w:top w:val="single" w:sz="4" w:space="0" w:color="8EAADB"/>
              <w:left w:val="single" w:sz="4" w:space="0" w:color="8EAADB"/>
              <w:bottom w:val="single" w:sz="4" w:space="0" w:color="8EAADB"/>
              <w:right w:val="single" w:sz="4" w:space="0" w:color="8EAADB"/>
            </w:tcBorders>
            <w:shd w:val="clear" w:color="auto" w:fill="D9E2F3"/>
            <w:vAlign w:val="top"/>
          </w:tcPr>
          <w:p>
            <w:pPr>
              <w:tabs>
                <w:tab w:pos="255" w:val="left"/>
              </w:tabs>
              <w:spacing w:before="0" w:after="0" w:line="240" w:lineRule="auto"/>
              <w:ind w:left="255" w:hanging="255"/>
              <w:jc w:val="both"/>
            </w:pPr>
            <w:r>
              <w:rPr>
                <w:rFonts w:ascii="Century Gothic" w:hAnsi="Century Gothic" w:cs="Century Gothic" w:eastAsia="Century Gothic"/>
                <w:sz w:val="20"/>
              </w:rPr>
              <w:t>▪</w:t>
              <w:tab/>
            </w:r>
            <w:r>
              <w:rPr>
                <w:rFonts w:ascii="Century Gothic" w:hAnsi="Century Gothic" w:cs="Century Gothic" w:eastAsia="Century Gothic"/>
                <w:b w:val="0"/>
                <w:i w:val="0"/>
                <w:sz w:val="20"/>
              </w:rPr>
              <w:t>III-XIII Reunión Sectorial de Carreras de Contaduría Pública del Sistema Universitario Boliviano de 2024</w:t>
            </w:r>
          </w:p>
          <w:p>
            <w:pPr>
              <w:tabs>
                <w:tab w:pos="255" w:val="left"/>
              </w:tabs>
              <w:spacing w:before="0" w:after="0" w:line="240" w:lineRule="auto"/>
              <w:ind w:left="255" w:hanging="255"/>
              <w:jc w:val="both"/>
            </w:pPr>
            <w:r>
              <w:rPr>
                <w:rFonts w:ascii="Century Gothic" w:hAnsi="Century Gothic" w:cs="Century Gothic" w:eastAsia="Century Gothic"/>
                <w:sz w:val="20"/>
              </w:rPr>
              <w:t>▪</w:t>
              <w:tab/>
            </w:r>
            <w:r>
              <w:rPr>
                <w:rFonts w:ascii="Century Gothic" w:hAnsi="Century Gothic" w:cs="Century Gothic" w:eastAsia="Century Gothic"/>
                <w:b w:val="0"/>
                <w:i w:val="0"/>
                <w:sz w:val="20"/>
              </w:rPr>
              <w:t>Normas Internacionales de Educación (IES 1 a 8) de la IFAC</w:t>
            </w:r>
          </w:p>
          <w:p>
            <w:pPr>
              <w:tabs>
                <w:tab w:pos="255" w:val="left"/>
              </w:tabs>
              <w:spacing w:before="0" w:after="0" w:line="240" w:lineRule="auto"/>
              <w:ind w:left="255" w:hanging="255"/>
              <w:jc w:val="both"/>
            </w:pPr>
            <w:r>
              <w:rPr>
                <w:rFonts w:ascii="Century Gothic" w:hAnsi="Century Gothic" w:cs="Century Gothic" w:eastAsia="Century Gothic"/>
                <w:sz w:val="20"/>
              </w:rPr>
              <w:t>▪</w:t>
              <w:tab/>
            </w:r>
            <w:r>
              <w:rPr>
                <w:rFonts w:ascii="Century Gothic" w:hAnsi="Century Gothic" w:cs="Century Gothic" w:eastAsia="Century Gothic"/>
                <w:b w:val="0"/>
                <w:i w:val="0"/>
                <w:sz w:val="20"/>
              </w:rPr>
              <w:t>Artículos 8 y 12 de la Resolución HCU 032/2025</w:t>
            </w:r>
          </w:p>
        </w:tc>
      </w:tr>
      <w:tr>
        <w:tc>
          <w:tcPr>
            <w:tcW w:type="dxa" w:w="30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i w:val="0"/>
                <w:sz w:val="20"/>
              </w:rPr>
              <w:t>Saber Hacer</w:t>
            </w:r>
          </w:p>
          <w:p>
            <w:pPr>
              <w:spacing w:before="0" w:after="0" w:line="240" w:lineRule="auto"/>
              <w:jc w:val="both"/>
            </w:pPr>
            <w:r>
              <w:rPr>
                <w:rFonts w:ascii="Century Gothic" w:hAnsi="Century Gothic" w:cs="Century Gothic" w:eastAsia="Century Gothic"/>
                <w:b/>
                <w:i w:val="0"/>
                <w:sz w:val="20"/>
              </w:rPr>
              <w:t>(Procedimental / Técnico)</w:t>
            </w:r>
          </w:p>
        </w:tc>
        <w:tc>
          <w:tcPr>
            <w:tcW w:type="dxa" w:w="3024"/>
            <w:tcBorders>
              <w:top w:val="single" w:sz="4" w:space="0" w:color="8EAADB"/>
              <w:left w:val="single" w:sz="4" w:space="0" w:color="8EAADB"/>
              <w:bottom w:val="single" w:sz="4" w:space="0" w:color="8EAADB"/>
              <w:right w:val="single" w:sz="4" w:space="0" w:color="8EAADB"/>
            </w:tcBorders>
            <w:shd w:val="clear" w:color="auto" w:fill="D9E2F3"/>
            <w:vAlign w:val="top"/>
          </w:tcPr>
          <w:p>
            <w:pPr>
              <w:tabs>
                <w:tab w:pos="255" w:val="left"/>
              </w:tabs>
              <w:spacing w:before="0" w:after="0" w:line="240" w:lineRule="auto"/>
              <w:ind w:left="255" w:hanging="255"/>
              <w:jc w:val="both"/>
            </w:pPr>
            <w:r>
              <w:rPr>
                <w:rFonts w:ascii="Century Gothic" w:hAnsi="Century Gothic" w:cs="Century Gothic" w:eastAsia="Century Gothic"/>
                <w:sz w:val="20"/>
              </w:rPr>
              <w:t>▪</w:t>
              <w:tab/>
            </w:r>
            <w:r>
              <w:rPr>
                <w:rFonts w:ascii="Century Gothic" w:hAnsi="Century Gothic" w:cs="Century Gothic" w:eastAsia="Century Gothic"/>
                <w:b w:val="0"/>
                <w:i w:val="0"/>
                <w:sz w:val="20"/>
              </w:rPr>
              <w:t>Operación de ERPs, software contable y plataformas del SIN</w:t>
            </w:r>
          </w:p>
          <w:p>
            <w:pPr>
              <w:tabs>
                <w:tab w:pos="255" w:val="left"/>
              </w:tabs>
              <w:spacing w:before="0" w:after="0" w:line="240" w:lineRule="auto"/>
              <w:ind w:left="255" w:hanging="255"/>
              <w:jc w:val="both"/>
            </w:pPr>
            <w:r>
              <w:rPr>
                <w:rFonts w:ascii="Century Gothic" w:hAnsi="Century Gothic" w:cs="Century Gothic" w:eastAsia="Century Gothic"/>
                <w:sz w:val="20"/>
              </w:rPr>
              <w:t>▪</w:t>
              <w:tab/>
            </w:r>
            <w:r>
              <w:rPr>
                <w:rFonts w:ascii="Century Gothic" w:hAnsi="Century Gothic" w:cs="Century Gothic" w:eastAsia="Century Gothic"/>
                <w:b w:val="0"/>
                <w:i w:val="0"/>
                <w:sz w:val="20"/>
              </w:rPr>
              <w:t>Big Data Analytics, Power BI y Python/R aplicados.</w:t>
            </w:r>
          </w:p>
          <w:p>
            <w:pPr>
              <w:tabs>
                <w:tab w:pos="255" w:val="left"/>
              </w:tabs>
              <w:spacing w:before="0" w:after="0" w:line="240" w:lineRule="auto"/>
              <w:ind w:left="255" w:hanging="255"/>
              <w:jc w:val="both"/>
            </w:pPr>
            <w:r>
              <w:rPr>
                <w:rFonts w:ascii="Century Gothic" w:hAnsi="Century Gothic" w:cs="Century Gothic" w:eastAsia="Century Gothic"/>
                <w:sz w:val="20"/>
              </w:rPr>
              <w:t>▪</w:t>
              <w:tab/>
            </w:r>
            <w:r>
              <w:rPr>
                <w:rFonts w:ascii="Century Gothic" w:hAnsi="Century Gothic" w:cs="Century Gothic" w:eastAsia="Century Gothic"/>
                <w:b w:val="0"/>
                <w:i w:val="0"/>
                <w:sz w:val="20"/>
              </w:rPr>
              <w:t>Aseguramiento de información financiera, operaciones, sistemas de información, aspectos ambientales y otras materias subyacentes de análisis adecuadas.</w:t>
            </w:r>
          </w:p>
          <w:p>
            <w:pPr>
              <w:tabs>
                <w:tab w:pos="255" w:val="left"/>
              </w:tabs>
              <w:spacing w:before="0" w:after="0" w:line="240" w:lineRule="auto"/>
              <w:ind w:left="255" w:hanging="255"/>
              <w:jc w:val="both"/>
            </w:pPr>
            <w:r>
              <w:rPr>
                <w:rFonts w:ascii="Century Gothic" w:hAnsi="Century Gothic" w:cs="Century Gothic" w:eastAsia="Century Gothic"/>
                <w:sz w:val="20"/>
              </w:rPr>
              <w:t>▪</w:t>
              <w:tab/>
            </w:r>
            <w:r>
              <w:rPr>
                <w:rFonts w:ascii="Century Gothic" w:hAnsi="Century Gothic" w:cs="Century Gothic" w:eastAsia="Century Gothic"/>
                <w:b w:val="0"/>
                <w:i w:val="0"/>
                <w:sz w:val="20"/>
              </w:rPr>
              <w:t>Elaboración de papeles de trabajo digitales y auditoría basada en riesgos.</w:t>
            </w:r>
          </w:p>
          <w:p>
            <w:pPr>
              <w:tabs>
                <w:tab w:pos="255" w:val="left"/>
              </w:tabs>
              <w:spacing w:before="0" w:after="0" w:line="240" w:lineRule="auto"/>
              <w:ind w:left="255" w:hanging="255"/>
              <w:jc w:val="both"/>
            </w:pPr>
            <w:r>
              <w:rPr>
                <w:rFonts w:ascii="Century Gothic" w:hAnsi="Century Gothic" w:cs="Century Gothic" w:eastAsia="Century Gothic"/>
                <w:sz w:val="20"/>
              </w:rPr>
              <w:t>▪</w:t>
              <w:tab/>
            </w:r>
            <w:r>
              <w:rPr>
                <w:rFonts w:ascii="Century Gothic" w:hAnsi="Century Gothic" w:cs="Century Gothic" w:eastAsia="Century Gothic"/>
                <w:b w:val="0"/>
                <w:i w:val="0"/>
                <w:sz w:val="20"/>
              </w:rPr>
              <w:t>Auditoría Forense e informes periciales.</w:t>
            </w:r>
          </w:p>
          <w:p>
            <w:pPr>
              <w:tabs>
                <w:tab w:pos="255" w:val="left"/>
              </w:tabs>
              <w:spacing w:before="0" w:after="0" w:line="240" w:lineRule="auto"/>
              <w:ind w:left="255" w:hanging="255"/>
              <w:jc w:val="both"/>
            </w:pPr>
            <w:r>
              <w:rPr>
                <w:rFonts w:ascii="Century Gothic" w:hAnsi="Century Gothic" w:cs="Century Gothic" w:eastAsia="Century Gothic"/>
                <w:sz w:val="20"/>
              </w:rPr>
              <w:t>▪</w:t>
              <w:tab/>
            </w:r>
            <w:r>
              <w:rPr>
                <w:rFonts w:ascii="Century Gothic" w:hAnsi="Century Gothic" w:cs="Century Gothic" w:eastAsia="Century Gothic"/>
                <w:b w:val="0"/>
                <w:i w:val="0"/>
                <w:sz w:val="20"/>
              </w:rPr>
              <w:t>Aseguramiento de Reportes ESG e Informes de Sostenibilidad.</w:t>
            </w:r>
          </w:p>
        </w:tc>
        <w:tc>
          <w:tcPr>
            <w:tcW w:type="dxa" w:w="3024"/>
            <w:tcBorders>
              <w:top w:val="single" w:sz="4" w:space="0" w:color="8EAADB"/>
              <w:left w:val="single" w:sz="4" w:space="0" w:color="8EAADB"/>
              <w:bottom w:val="single" w:sz="4" w:space="0" w:color="8EAADB"/>
              <w:right w:val="single" w:sz="4" w:space="0" w:color="8EAADB"/>
            </w:tcBorders>
            <w:shd w:val="clear" w:color="auto" w:fill="D9E2F3"/>
            <w:vAlign w:val="top"/>
          </w:tcPr>
          <w:p>
            <w:pPr>
              <w:tabs>
                <w:tab w:pos="255" w:val="left"/>
              </w:tabs>
              <w:spacing w:before="0" w:after="0" w:line="240" w:lineRule="auto"/>
              <w:ind w:left="255" w:hanging="255"/>
              <w:jc w:val="both"/>
            </w:pPr>
            <w:r>
              <w:rPr>
                <w:rFonts w:ascii="Century Gothic" w:hAnsi="Century Gothic" w:cs="Century Gothic" w:eastAsia="Century Gothic"/>
                <w:sz w:val="20"/>
              </w:rPr>
              <w:t>▪</w:t>
              <w:tab/>
            </w:r>
            <w:r>
              <w:rPr>
                <w:rFonts w:ascii="Century Gothic" w:hAnsi="Century Gothic" w:cs="Century Gothic" w:eastAsia="Century Gothic"/>
                <w:b w:val="0"/>
                <w:i w:val="0"/>
                <w:sz w:val="20"/>
              </w:rPr>
              <w:t>Brecha tecnológica del 93% (Ipsos 2025)</w:t>
            </w:r>
          </w:p>
          <w:p>
            <w:pPr>
              <w:tabs>
                <w:tab w:pos="255" w:val="left"/>
              </w:tabs>
              <w:spacing w:before="0" w:after="0" w:line="240" w:lineRule="auto"/>
              <w:ind w:left="255" w:hanging="255"/>
              <w:jc w:val="both"/>
            </w:pPr>
            <w:r>
              <w:rPr>
                <w:rFonts w:ascii="Century Gothic" w:hAnsi="Century Gothic" w:cs="Century Gothic" w:eastAsia="Century Gothic"/>
                <w:sz w:val="20"/>
              </w:rPr>
              <w:t>▪</w:t>
              <w:tab/>
            </w:r>
            <w:r>
              <w:rPr>
                <w:rFonts w:ascii="Century Gothic" w:hAnsi="Century Gothic" w:cs="Century Gothic" w:eastAsia="Century Gothic"/>
                <w:b w:val="0"/>
                <w:i w:val="0"/>
                <w:sz w:val="20"/>
              </w:rPr>
              <w:t>Demanda de prácticas y proyectos reales del 88% (FODA 2025)</w:t>
            </w:r>
          </w:p>
          <w:p>
            <w:pPr>
              <w:tabs>
                <w:tab w:pos="255" w:val="left"/>
              </w:tabs>
              <w:spacing w:before="0" w:after="0" w:line="240" w:lineRule="auto"/>
              <w:ind w:left="255" w:hanging="255"/>
              <w:jc w:val="both"/>
            </w:pPr>
            <w:r>
              <w:rPr>
                <w:rFonts w:ascii="Century Gothic" w:hAnsi="Century Gothic" w:cs="Century Gothic" w:eastAsia="Century Gothic"/>
                <w:sz w:val="20"/>
              </w:rPr>
              <w:t>▪</w:t>
              <w:tab/>
            </w:r>
            <w:r>
              <w:rPr>
                <w:rFonts w:ascii="Century Gothic" w:hAnsi="Century Gothic" w:cs="Century Gothic" w:eastAsia="Century Gothic"/>
                <w:b w:val="0"/>
                <w:i w:val="0"/>
                <w:sz w:val="20"/>
              </w:rPr>
              <w:t>WEF 2025: Skill #1 AI &amp;amp; Big Data.</w:t>
            </w:r>
          </w:p>
        </w:tc>
      </w:tr>
      <w:tr>
        <w:tc>
          <w:tcPr>
            <w:tcW w:type="dxa" w:w="30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i w:val="0"/>
                <w:sz w:val="20"/>
              </w:rPr>
              <w:t>Saber Ser y Convivir</w:t>
            </w:r>
          </w:p>
          <w:p>
            <w:pPr>
              <w:spacing w:before="0" w:after="0" w:line="240" w:lineRule="auto"/>
              <w:jc w:val="both"/>
            </w:pPr>
            <w:r>
              <w:rPr>
                <w:rFonts w:ascii="Century Gothic" w:hAnsi="Century Gothic" w:cs="Century Gothic" w:eastAsia="Century Gothic"/>
                <w:b/>
                <w:i w:val="0"/>
                <w:sz w:val="20"/>
              </w:rPr>
              <w:t>(Actitudinal / Ético)</w:t>
            </w:r>
          </w:p>
        </w:tc>
        <w:tc>
          <w:tcPr>
            <w:tcW w:type="dxa" w:w="3024"/>
            <w:tcBorders>
              <w:top w:val="single" w:sz="4" w:space="0" w:color="8EAADB"/>
              <w:left w:val="single" w:sz="4" w:space="0" w:color="8EAADB"/>
              <w:bottom w:val="single" w:sz="4" w:space="0" w:color="8EAADB"/>
              <w:right w:val="single" w:sz="4" w:space="0" w:color="8EAADB"/>
            </w:tcBorders>
            <w:shd w:val="clear" w:color="auto" w:fill="D9E2F3"/>
            <w:vAlign w:val="top"/>
          </w:tcPr>
          <w:p>
            <w:pPr>
              <w:tabs>
                <w:tab w:pos="255" w:val="left"/>
              </w:tabs>
              <w:spacing w:before="0" w:after="0" w:line="240" w:lineRule="auto"/>
              <w:ind w:left="255" w:hanging="255"/>
              <w:jc w:val="both"/>
            </w:pPr>
            <w:r>
              <w:rPr>
                <w:rFonts w:ascii="Century Gothic" w:hAnsi="Century Gothic" w:cs="Century Gothic" w:eastAsia="Century Gothic"/>
                <w:sz w:val="20"/>
              </w:rPr>
              <w:t>▪</w:t>
              <w:tab/>
            </w:r>
            <w:r>
              <w:rPr>
                <w:rFonts w:ascii="Century Gothic" w:hAnsi="Century Gothic" w:cs="Century Gothic" w:eastAsia="Century Gothic"/>
                <w:b w:val="0"/>
                <w:i w:val="0"/>
                <w:sz w:val="20"/>
              </w:rPr>
              <w:t>Ética e Independencia bajo el Código de Ética del IESBA.</w:t>
            </w:r>
          </w:p>
          <w:p>
            <w:pPr>
              <w:tabs>
                <w:tab w:pos="255" w:val="left"/>
              </w:tabs>
              <w:spacing w:before="0" w:after="0" w:line="240" w:lineRule="auto"/>
              <w:ind w:left="255" w:hanging="255"/>
              <w:jc w:val="both"/>
            </w:pPr>
            <w:r>
              <w:rPr>
                <w:rFonts w:ascii="Century Gothic" w:hAnsi="Century Gothic" w:cs="Century Gothic" w:eastAsia="Century Gothic"/>
                <w:sz w:val="20"/>
              </w:rPr>
              <w:t>▪</w:t>
              <w:tab/>
            </w:r>
            <w:r>
              <w:rPr>
                <w:rFonts w:ascii="Century Gothic" w:hAnsi="Century Gothic" w:cs="Century Gothic" w:eastAsia="Century Gothic"/>
                <w:b w:val="0"/>
                <w:i w:val="0"/>
                <w:sz w:val="20"/>
              </w:rPr>
              <w:t>Responsabilidad pública, transparencia y responsabilidad social.</w:t>
            </w:r>
          </w:p>
          <w:p>
            <w:pPr>
              <w:tabs>
                <w:tab w:pos="255" w:val="left"/>
              </w:tabs>
              <w:spacing w:before="0" w:after="0" w:line="240" w:lineRule="auto"/>
              <w:ind w:left="255" w:hanging="255"/>
              <w:jc w:val="both"/>
            </w:pPr>
            <w:r>
              <w:rPr>
                <w:rFonts w:ascii="Century Gothic" w:hAnsi="Century Gothic" w:cs="Century Gothic" w:eastAsia="Century Gothic"/>
                <w:sz w:val="20"/>
              </w:rPr>
              <w:t>▪</w:t>
              <w:tab/>
            </w:r>
            <w:r>
              <w:rPr>
                <w:rFonts w:ascii="Century Gothic" w:hAnsi="Century Gothic" w:cs="Century Gothic" w:eastAsia="Century Gothic"/>
                <w:b w:val="0"/>
                <w:i w:val="0"/>
                <w:sz w:val="20"/>
              </w:rPr>
              <w:t>Adaptabilidad y agilidad ante el cambio (Saber N°1).</w:t>
            </w:r>
          </w:p>
          <w:p>
            <w:pPr>
              <w:tabs>
                <w:tab w:pos="255" w:val="left"/>
              </w:tabs>
              <w:spacing w:before="0" w:after="0" w:line="240" w:lineRule="auto"/>
              <w:ind w:left="255" w:hanging="255"/>
              <w:jc w:val="both"/>
            </w:pPr>
            <w:r>
              <w:rPr>
                <w:rFonts w:ascii="Century Gothic" w:hAnsi="Century Gothic" w:cs="Century Gothic" w:eastAsia="Century Gothic"/>
                <w:sz w:val="20"/>
              </w:rPr>
              <w:t>▪</w:t>
              <w:tab/>
            </w:r>
            <w:r>
              <w:rPr>
                <w:rFonts w:ascii="Century Gothic" w:hAnsi="Century Gothic" w:cs="Century Gothic" w:eastAsia="Century Gothic"/>
                <w:b w:val="0"/>
                <w:i w:val="0"/>
                <w:sz w:val="20"/>
              </w:rPr>
              <w:t>Pensamiento crítico e investigación aplicados (78% brecha).</w:t>
            </w:r>
          </w:p>
          <w:p>
            <w:pPr>
              <w:tabs>
                <w:tab w:pos="255" w:val="left"/>
              </w:tabs>
              <w:spacing w:before="0" w:after="0" w:line="240" w:lineRule="auto"/>
              <w:ind w:left="255" w:hanging="255"/>
              <w:jc w:val="both"/>
            </w:pPr>
            <w:r>
              <w:rPr>
                <w:rFonts w:ascii="Century Gothic" w:hAnsi="Century Gothic" w:cs="Century Gothic" w:eastAsia="Century Gothic"/>
                <w:sz w:val="20"/>
              </w:rPr>
              <w:t>▪</w:t>
              <w:tab/>
            </w:r>
            <w:r>
              <w:rPr>
                <w:rFonts w:ascii="Century Gothic" w:hAnsi="Century Gothic" w:cs="Century Gothic" w:eastAsia="Century Gothic"/>
                <w:b w:val="0"/>
                <w:i w:val="0"/>
                <w:sz w:val="20"/>
              </w:rPr>
              <w:t>Comunicación efectiva en español e inglés técnico.</w:t>
            </w:r>
          </w:p>
        </w:tc>
        <w:tc>
          <w:tcPr>
            <w:tcW w:type="dxa" w:w="3024"/>
            <w:tcBorders>
              <w:top w:val="single" w:sz="4" w:space="0" w:color="8EAADB"/>
              <w:left w:val="single" w:sz="4" w:space="0" w:color="8EAADB"/>
              <w:bottom w:val="single" w:sz="4" w:space="0" w:color="8EAADB"/>
              <w:right w:val="single" w:sz="4" w:space="0" w:color="8EAADB"/>
            </w:tcBorders>
            <w:shd w:val="clear" w:color="auto" w:fill="D9E2F3"/>
            <w:vAlign w:val="top"/>
          </w:tcPr>
          <w:p>
            <w:pPr>
              <w:tabs>
                <w:tab w:pos="255" w:val="left"/>
              </w:tabs>
              <w:spacing w:before="0" w:after="0" w:line="240" w:lineRule="auto"/>
              <w:ind w:left="255" w:hanging="255"/>
              <w:jc w:val="both"/>
            </w:pPr>
            <w:r>
              <w:rPr>
                <w:rFonts w:ascii="Century Gothic" w:hAnsi="Century Gothic" w:cs="Century Gothic" w:eastAsia="Century Gothic"/>
                <w:sz w:val="20"/>
              </w:rPr>
              <w:t>▪</w:t>
              <w:tab/>
            </w:r>
            <w:r>
              <w:rPr>
                <w:rFonts w:ascii="Century Gothic" w:hAnsi="Century Gothic" w:cs="Century Gothic" w:eastAsia="Century Gothic"/>
                <w:b w:val="0"/>
                <w:i w:val="0"/>
                <w:sz w:val="20"/>
              </w:rPr>
              <w:t>82% demanda Ética Contable aplicada (FODA).</w:t>
            </w:r>
          </w:p>
          <w:p>
            <w:pPr>
              <w:tabs>
                <w:tab w:pos="255" w:val="left"/>
              </w:tabs>
              <w:spacing w:before="0" w:after="0" w:line="240" w:lineRule="auto"/>
              <w:ind w:left="255" w:hanging="255"/>
              <w:jc w:val="both"/>
            </w:pPr>
            <w:r>
              <w:rPr>
                <w:rFonts w:ascii="Century Gothic" w:hAnsi="Century Gothic" w:cs="Century Gothic" w:eastAsia="Century Gothic"/>
                <w:sz w:val="20"/>
              </w:rPr>
              <w:t>▪</w:t>
              <w:tab/>
            </w:r>
            <w:r>
              <w:rPr>
                <w:rFonts w:ascii="Century Gothic" w:hAnsi="Century Gothic" w:cs="Century Gothic" w:eastAsia="Century Gothic"/>
                <w:b w:val="0"/>
                <w:i w:val="0"/>
                <w:sz w:val="20"/>
              </w:rPr>
              <w:t>Adaptabilidad como saber actitudinal clave en mercado laboral</w:t>
            </w:r>
          </w:p>
          <w:p>
            <w:pPr>
              <w:tabs>
                <w:tab w:pos="255" w:val="left"/>
              </w:tabs>
              <w:spacing w:before="0" w:after="0" w:line="240" w:lineRule="auto"/>
              <w:ind w:left="255" w:hanging="255"/>
              <w:jc w:val="both"/>
            </w:pPr>
            <w:r>
              <w:rPr>
                <w:rFonts w:ascii="Century Gothic" w:hAnsi="Century Gothic" w:cs="Century Gothic" w:eastAsia="Century Gothic"/>
                <w:sz w:val="20"/>
              </w:rPr>
              <w:t>▪</w:t>
              <w:tab/>
            </w:r>
            <w:r>
              <w:rPr>
                <w:rFonts w:ascii="Century Gothic" w:hAnsi="Century Gothic" w:cs="Century Gothic" w:eastAsia="Century Gothic"/>
                <w:b w:val="0"/>
                <w:i w:val="0"/>
                <w:sz w:val="20"/>
              </w:rPr>
              <w:t>IES 4 (Valores y Ética Profesional) de IFAC</w:t>
            </w:r>
          </w:p>
        </w:tc>
      </w:tr>
    </w:tbl>
    <w:p>
      <w:pPr>
        <w:spacing w:before="0" w:after="120" w:line="240" w:lineRule="auto"/>
        <w:jc w:val="left"/>
      </w:pPr>
    </w:p>
    <w:p>
      <w:pPr>
        <w:keepNext/>
        <w:tabs>
          <w:tab w:pos="709" w:val="left"/>
        </w:tabs>
        <w:spacing w:before="120" w:after="200" w:line="240" w:lineRule="auto"/>
        <w:ind w:left="709" w:hanging="709"/>
        <w:jc w:val="left"/>
      </w:pPr>
      <w:r>
        <w:rPr>
          <w:rFonts w:ascii="Century Gothic" w:hAnsi="Century Gothic" w:cs="Century Gothic" w:eastAsia="Century Gothic"/>
          <w:b/>
          <w:i w:val="0"/>
          <w:sz w:val="24"/>
        </w:rPr>
        <w:t>4.2.7</w:t>
        <w:tab/>
      </w:r>
      <w:r>
        <w:rPr>
          <w:rFonts w:ascii="Century Gothic" w:hAnsi="Century Gothic" w:cs="Century Gothic" w:eastAsia="Century Gothic"/>
          <w:b/>
          <w:i w:val="0"/>
          <w:sz w:val="24"/>
        </w:rPr>
        <w:t>Perfil profesional</w:t>
      </w:r>
    </w:p>
    <w:p>
      <w:pPr>
        <w:spacing w:before="0" w:after="200" w:line="240" w:lineRule="auto"/>
        <w:jc w:val="both"/>
      </w:pPr>
      <w:r>
        <w:rPr>
          <w:rFonts w:ascii="Century Gothic" w:hAnsi="Century Gothic" w:cs="Century Gothic" w:eastAsia="Century Gothic"/>
          <w:b w:val="0"/>
          <w:i w:val="0"/>
          <w:sz w:val="20"/>
        </w:rPr>
        <w:t xml:space="preserve">Una vez desarrollada la fundamentación analítica en las seis dimensiones de la profesión (consideraciones, objeto, objetivos, entorno, acciones y competencias), corresponde estructurar el Perfil del Contador Público Autorizado, el cual constituye la </w:t>
      </w:r>
      <w:r>
        <w:rPr>
          <w:rFonts w:ascii="Century Gothic" w:hAnsi="Century Gothic" w:cs="Century Gothic" w:eastAsia="Century Gothic"/>
          <w:b/>
          <w:i w:val="0"/>
          <w:sz w:val="20"/>
        </w:rPr>
        <w:t>semblanza escrita e integrada</w:t>
      </w:r>
      <w:r>
        <w:rPr>
          <w:rFonts w:ascii="Century Gothic" w:hAnsi="Century Gothic" w:cs="Century Gothic" w:eastAsia="Century Gothic"/>
          <w:b w:val="0"/>
          <w:i w:val="0"/>
          <w:sz w:val="20"/>
        </w:rPr>
        <w:t xml:space="preserve"> del profesional que la Universidad Mayor de San Andrés (UMSA) entregará a la sociedad.</w:t>
      </w:r>
    </w:p>
    <w:p>
      <w:pPr>
        <w:spacing w:before="0" w:after="200" w:line="240" w:lineRule="auto"/>
        <w:jc w:val="both"/>
      </w:pPr>
      <w:r>
        <w:rPr>
          <w:rFonts w:ascii="Century Gothic" w:hAnsi="Century Gothic" w:cs="Century Gothic" w:eastAsia="Century Gothic"/>
          <w:b w:val="0"/>
          <w:i w:val="0"/>
          <w:sz w:val="20"/>
        </w:rPr>
        <w:t>Esta formulación traduce el marco analítico previo en la declaración oficial del Perfil Profesional, garantizando el cumplimiento del Reglamento de Innovación Curricular de la UMSA (Resolución HCU 032/2025) y el alineamiento con el perfil de Contador Público Autorizado aprobado por el Sistema de la Universidad Boliviana mediante Resolución Nª 07/2024 (III-XIII Reunión Sectorial de Carreras de Contaduría Pública del Sistema Universitario Boliviano).</w:t>
      </w:r>
    </w:p>
    <w:p>
      <w:pPr>
        <w:spacing w:before="0" w:after="200" w:line="240" w:lineRule="auto"/>
        <w:jc w:val="both"/>
      </w:pPr>
      <w:r>
        <w:rPr>
          <w:rFonts w:ascii="Century Gothic" w:hAnsi="Century Gothic" w:cs="Century Gothic" w:eastAsia="Century Gothic"/>
          <w:b w:val="0"/>
          <w:i w:val="0"/>
          <w:sz w:val="20"/>
        </w:rPr>
        <w:t>El Perfil Profesional del Contador Público Autorizado constituye la descripción explícita de las características, cualidades, habilidades y requisitos de calidad que debe reunir el graduado para responder a las demandas del mercado laboral y cumplir con su rol social. Integra las condiciones de excelencia académica y competitividad necesarias para la prestación de servicios de alto valor agregado en sectores públicos, privados, mixtos y en el ejercicio libre.</w:t>
      </w:r>
    </w:p>
    <w:p>
      <w:pPr>
        <w:spacing w:before="0" w:after="200" w:line="240" w:lineRule="auto"/>
        <w:jc w:val="both"/>
      </w:pPr>
      <w:r>
        <w:rPr>
          <w:rFonts w:ascii="Century Gothic" w:hAnsi="Century Gothic" w:cs="Century Gothic" w:eastAsia="Century Gothic"/>
          <w:b w:val="0"/>
          <w:i w:val="0"/>
          <w:sz w:val="20"/>
        </w:rPr>
        <w:t>Para cumplir con esta semblanza, el profesional formado en la Carrera de Contaduría Pública de la Universidad Mayor de San Andrés reúne cuatro requisitos fundamentales:</w:t>
      </w:r>
    </w:p>
    <w:p>
      <w:pPr>
        <w:numPr>
          <w:ilvl w:val="0"/>
          <w:numId w:val="953"/>
        </w:numPr>
        <w:spacing w:before="0" w:after="160" w:line="240" w:lineRule="auto"/>
        <w:jc w:val="both"/>
      </w:pPr>
      <w:r>
        <w:rPr>
          <w:rFonts w:ascii="Century Gothic" w:hAnsi="Century Gothic" w:cs="Century Gothic" w:eastAsia="Century Gothic"/>
          <w:b/>
          <w:i w:val="0"/>
          <w:sz w:val="20"/>
        </w:rPr>
        <w:t>Sólida Base Teórico-Práctica Especializada</w:t>
      </w:r>
      <w:r>
        <w:rPr>
          <w:rFonts w:ascii="Century Gothic" w:hAnsi="Century Gothic" w:cs="Century Gothic" w:eastAsia="Century Gothic"/>
          <w:b w:val="0"/>
          <w:i w:val="0"/>
          <w:sz w:val="20"/>
        </w:rPr>
        <w:t>: Posee un conjunto articulado de conocimientos científicos, técnicos y tecnológicos adquiridos en la educación superior que le brindan bases teóricas, técnicas y destrezas aplicadas para analizar, tomar decisiones y resolver problemas organizacionales complejos.</w:t>
      </w:r>
    </w:p>
    <w:p>
      <w:pPr>
        <w:numPr>
          <w:ilvl w:val="0"/>
          <w:numId w:val="953"/>
        </w:numPr>
        <w:spacing w:before="0" w:after="160" w:line="240" w:lineRule="auto"/>
        <w:jc w:val="both"/>
      </w:pPr>
      <w:r>
        <w:rPr>
          <w:rFonts w:ascii="Century Gothic" w:hAnsi="Century Gothic" w:cs="Century Gothic" w:eastAsia="Century Gothic"/>
          <w:b/>
          <w:i w:val="0"/>
          <w:sz w:val="20"/>
        </w:rPr>
        <w:t>Capacidad Analítica, Crítica y Propositiva</w:t>
      </w:r>
      <w:r>
        <w:rPr>
          <w:rFonts w:ascii="Century Gothic" w:hAnsi="Century Gothic" w:cs="Century Gothic" w:eastAsia="Century Gothic"/>
          <w:b w:val="0"/>
          <w:i w:val="0"/>
          <w:sz w:val="20"/>
        </w:rPr>
        <w:t>: Muestra una postura intelectual analítica, reflexiva, objetiva e innovadora, abierta a alternativas diversas, constituyéndose en una autoridad técnica en su campo.</w:t>
      </w:r>
    </w:p>
    <w:p>
      <w:pPr>
        <w:numPr>
          <w:ilvl w:val="0"/>
          <w:numId w:val="953"/>
        </w:numPr>
        <w:spacing w:before="0" w:after="160" w:line="240" w:lineRule="auto"/>
        <w:jc w:val="both"/>
      </w:pPr>
      <w:r>
        <w:rPr>
          <w:rFonts w:ascii="Century Gothic" w:hAnsi="Century Gothic" w:cs="Century Gothic" w:eastAsia="Century Gothic"/>
          <w:b/>
          <w:i w:val="0"/>
          <w:sz w:val="20"/>
        </w:rPr>
        <w:t>Vocación de Servicio e Impacto Socioeconómico</w:t>
      </w:r>
      <w:r>
        <w:rPr>
          <w:rFonts w:ascii="Century Gothic" w:hAnsi="Century Gothic" w:cs="Century Gothic" w:eastAsia="Century Gothic"/>
          <w:b w:val="0"/>
          <w:i w:val="0"/>
          <w:sz w:val="20"/>
        </w:rPr>
        <w:t>: Orienta su ejercicio al servicio de la comunidad, contribuyendo a la generación de riqueza intelectual y beneficio económico, a la transparencia pública, la seguridad jurídica y el desarrollo sostenible del país.</w:t>
      </w:r>
    </w:p>
    <w:p>
      <w:pPr>
        <w:numPr>
          <w:ilvl w:val="0"/>
          <w:numId w:val="953"/>
        </w:numPr>
        <w:spacing w:before="0" w:after="200" w:line="240" w:lineRule="auto"/>
        <w:jc w:val="both"/>
      </w:pPr>
      <w:r>
        <w:rPr>
          <w:rFonts w:ascii="Century Gothic" w:hAnsi="Century Gothic" w:cs="Century Gothic" w:eastAsia="Century Gothic"/>
          <w:b/>
          <w:i w:val="0"/>
          <w:sz w:val="20"/>
        </w:rPr>
        <w:t>Rigor Ético y Responsabilidad Pública</w:t>
      </w:r>
      <w:r>
        <w:rPr>
          <w:rFonts w:ascii="Century Gothic" w:hAnsi="Century Gothic" w:cs="Century Gothic" w:eastAsia="Century Gothic"/>
          <w:b w:val="0"/>
          <w:i w:val="0"/>
          <w:sz w:val="20"/>
        </w:rPr>
        <w:t>: Actúa con estricta responsabilidad social y moral, consciente de las implicaciones e impactos que sus opiniones, informes y decisiones tienen sobre las organizaciones y el interés público.</w:t>
      </w:r>
    </w:p>
    <w:p>
      <w:pPr>
        <w:keepNext/>
        <w:tabs>
          <w:tab w:pos="992" w:val="left"/>
        </w:tabs>
        <w:spacing w:before="80" w:after="200" w:line="240" w:lineRule="auto"/>
        <w:ind w:left="992" w:hanging="992"/>
        <w:jc w:val="left"/>
      </w:pPr>
      <w:r>
        <w:rPr>
          <w:rFonts w:ascii="Century Gothic" w:hAnsi="Century Gothic" w:cs="Century Gothic" w:eastAsia="Century Gothic"/>
          <w:b/>
          <w:i w:val="0"/>
          <w:sz w:val="22"/>
        </w:rPr>
        <w:t>4.2.7.1</w:t>
        <w:tab/>
      </w:r>
      <w:r>
        <w:rPr>
          <w:rFonts w:ascii="Century Gothic" w:hAnsi="Century Gothic" w:cs="Century Gothic" w:eastAsia="Century Gothic"/>
          <w:b/>
          <w:i w:val="0"/>
          <w:sz w:val="22"/>
        </w:rPr>
        <w:t>Declaración Sintética del Perfil Profesional del Contador Público</w:t>
      </w:r>
    </w:p>
    <w:tbl>
      <w:tblPr>
        <w:tblW w:type="auto" w:w="0"/>
        <w:jc w:val="center"/>
        <w:tblLook w:firstColumn="1" w:firstRow="1" w:lastColumn="0" w:lastRow="0" w:noHBand="0" w:noVBand="1" w:val="04A0"/>
      </w:tblPr>
      <w:tblGrid>
        <w:gridCol w:w="9405"/>
      </w:tblGrid>
      <w:tr>
        <w:tc>
          <w:tcPr>
            <w:tcW w:type="dxa" w:w="8787"/>
            <w:tcBorders>
              <w:top w:val="single" w:sz="6" w:space="0" w:color="404040"/>
              <w:left w:val="single" w:sz="6" w:space="0" w:color="404040"/>
              <w:bottom w:val="single" w:sz="6" w:space="0" w:color="404040"/>
              <w:right w:val="single" w:sz="6" w:space="0" w:color="404040"/>
            </w:tcBorders>
            <w:tcMar>
              <w:top w:w="140" w:type="dxa"/>
              <w:left w:w="140" w:type="dxa"/>
              <w:bottom w:w="140" w:type="dxa"/>
              <w:right w:w="140" w:type="dxa"/>
            </w:tcMar>
          </w:tcPr>
          <w:p>
            <w:pPr>
              <w:spacing w:before="60" w:after="60" w:line="240" w:lineRule="auto"/>
              <w:jc w:val="both"/>
            </w:pPr>
            <w:r>
              <w:rPr>
                <w:rFonts w:ascii="Century Gothic" w:hAnsi="Century Gothic" w:cs="Century Gothic" w:eastAsia="Century Gothic"/>
                <w:b/>
                <w:i/>
                <w:sz w:val="20"/>
              </w:rPr>
              <w:t>Perfil del Contador Público Autorizado de la UMSA</w:t>
            </w:r>
          </w:p>
          <w:p>
            <w:pPr>
              <w:spacing w:before="60" w:after="60" w:line="240" w:lineRule="auto"/>
              <w:jc w:val="both"/>
            </w:pPr>
            <w:r>
              <w:rPr>
                <w:rFonts w:ascii="Century Gothic" w:hAnsi="Century Gothic" w:cs="Century Gothic" w:eastAsia="Century Gothic"/>
                <w:b/>
                <w:i/>
                <w:sz w:val="20"/>
              </w:rPr>
              <w:t>El Contador Público Autorizado de la Universidad Mayor de San Andrés es un profesional integral y estratégico con sólida formación científica, técnica y humanística en las áreas de Contabilidad, Auditoría, Aseguramiento y Finanzas. Su perfil se complementa con un dominio multidisciplinario en administración, economía, derecho corporativo y tributario, control interno, gestión de riesgos, gobernanza digital e inteligencia de negocios.</w:t>
            </w:r>
          </w:p>
          <w:p>
            <w:pPr>
              <w:spacing w:before="60" w:after="60" w:line="240" w:lineRule="auto"/>
              <w:jc w:val="both"/>
            </w:pPr>
            <w:r>
              <w:rPr>
                <w:rFonts w:ascii="Century Gothic" w:hAnsi="Century Gothic" w:cs="Century Gothic" w:eastAsia="Century Gothic"/>
                <w:b/>
                <w:i/>
                <w:sz w:val="20"/>
              </w:rPr>
              <w:t>Está calificado para diseñar, operar, evaluar y auditar sistemas integrados de información económica, financiera y no financiera, incorporando estándares nacionales e internacionales para la preparación de información financiera y herramientas de tecnologías emergentes, tales como: Inteligencia Artificial, analítica de datos y automatización de procesos, para respaldar la toma de decisiones ejecutivas en entornos inciertos y complejos.</w:t>
            </w:r>
          </w:p>
          <w:p>
            <w:pPr>
              <w:spacing w:before="60" w:after="60" w:line="240" w:lineRule="auto"/>
              <w:jc w:val="both"/>
            </w:pPr>
            <w:r>
              <w:rPr>
                <w:rFonts w:ascii="Century Gothic" w:hAnsi="Century Gothic" w:cs="Century Gothic" w:eastAsia="Century Gothic"/>
                <w:b/>
                <w:i/>
                <w:sz w:val="20"/>
              </w:rPr>
              <w:t>Aporta un valor estratégico diferenciado a través de servicios de aseguramiento de la información (auditoría financiera, gubernamental, operativa, de sistemas, ambiental y forense), la evaluación de procesos de control interno y la consultoría en sostenibilidad y cumplimiento normativo. Su desempeño se sustenta en una conciencia crítica e investigativa, capacidad analítica, liderazgo, adaptabilidad, dominio del inglés técnico contable y una rigurosa ética profesional alineada al Código Internacional de Ética del IESBA, garantizando el interés público y la transparencia ante la sociedad y el Estado.</w:t>
            </w:r>
          </w:p>
        </w:tc>
      </w:tr>
    </w:tbl>
    <w:p>
      <w:pPr>
        <w:spacing w:before="0" w:after="120" w:line="240" w:lineRule="auto"/>
        <w:jc w:val="left"/>
      </w:pPr>
    </w:p>
    <w:p>
      <w:pPr>
        <w:keepNext/>
        <w:tabs>
          <w:tab w:pos="992" w:val="left"/>
        </w:tabs>
        <w:spacing w:before="80" w:after="200" w:line="240" w:lineRule="auto"/>
        <w:ind w:left="992" w:hanging="992"/>
        <w:jc w:val="left"/>
      </w:pPr>
      <w:r>
        <w:rPr>
          <w:rFonts w:ascii="Century Gothic" w:hAnsi="Century Gothic" w:cs="Century Gothic" w:eastAsia="Century Gothic"/>
          <w:b/>
          <w:i w:val="0"/>
          <w:sz w:val="22"/>
        </w:rPr>
        <w:t>4.2.7.1</w:t>
        <w:tab/>
      </w:r>
      <w:r>
        <w:rPr>
          <w:rFonts w:ascii="Century Gothic" w:hAnsi="Century Gothic" w:cs="Century Gothic" w:eastAsia="Century Gothic"/>
          <w:b/>
          <w:i w:val="0"/>
          <w:sz w:val="22"/>
        </w:rPr>
        <w:t>Declaración Sintética del Perfil Profesional</w:t>
      </w:r>
    </w:p>
    <w:tbl>
      <w:tblPr>
        <w:tblW w:type="auto" w:w="0"/>
        <w:jc w:val="center"/>
        <w:tblLayout w:type="fixed"/>
        <w:tblLook w:firstColumn="1" w:firstRow="1" w:lastColumn="0" w:lastRow="0" w:noHBand="0" w:noVBand="1" w:val="04A0"/>
      </w:tblPr>
      <w:tblGrid>
        <w:gridCol w:w="9071"/>
      </w:tblGrid>
      <w:tr>
        <w:trPr>
          <w:tblHeader/>
        </w:trPr>
        <w:tc>
          <w:tcPr>
            <w:tcW w:type="dxa" w:w="9071"/>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Perfil del Contador Público Autorizado de la UMSA</w:t>
            </w:r>
          </w:p>
        </w:tc>
      </w:tr>
      <w:tr>
        <w:tc>
          <w:tcPr>
            <w:tcW w:type="dxa" w:w="907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i/>
                <w:sz w:val="20"/>
              </w:rPr>
              <w:t>El Contador Público Autorizado de la Universidad Mayor de San Andrés es un profesional integral y estratégico con sólida formación científica, técnica y humanística en las áreas de Contabilidad, Auditoría, Aseguramiento y Finanzas. Su perfil se complementa con un dominio multidisciplinario en administración, economía, derecho corporativo y tributario, control interno, gestión de riesgos, gobernanza digital e inteligencia de negocios.</w:t>
            </w:r>
          </w:p>
          <w:p>
            <w:pPr>
              <w:spacing w:before="0" w:after="0" w:line="240" w:lineRule="auto"/>
              <w:jc w:val="left"/>
            </w:pPr>
          </w:p>
          <w:p>
            <w:pPr>
              <w:spacing w:before="0" w:after="0" w:line="240" w:lineRule="auto"/>
              <w:jc w:val="left"/>
            </w:pPr>
            <w:r>
              <w:rPr>
                <w:rFonts w:ascii="Century Gothic" w:hAnsi="Century Gothic" w:cs="Century Gothic" w:eastAsia="Century Gothic"/>
                <w:b/>
                <w:i/>
                <w:sz w:val="20"/>
              </w:rPr>
              <w:t>Está calificado para diseñar, operar, evaluar y auditar sistemas integrados de información económica, financiera y no financiera, incorporando estándares nacionales e internacionales para la preparación de información financiera y herramientas de tecnologías emergentes, tales como: Inteligencia Artificial, analítica de datos y automatización de procesos, para respaldar la toma de decisiones ejecutivas en entornos inciertos y complejos.</w:t>
            </w:r>
          </w:p>
          <w:p>
            <w:pPr>
              <w:spacing w:before="0" w:after="0" w:line="240" w:lineRule="auto"/>
              <w:jc w:val="left"/>
            </w:pPr>
          </w:p>
          <w:p>
            <w:pPr>
              <w:spacing w:before="0" w:after="0" w:line="240" w:lineRule="auto"/>
              <w:jc w:val="left"/>
            </w:pPr>
            <w:r>
              <w:rPr>
                <w:rFonts w:ascii="Century Gothic" w:hAnsi="Century Gothic" w:cs="Century Gothic" w:eastAsia="Century Gothic"/>
                <w:b/>
                <w:i/>
                <w:sz w:val="20"/>
              </w:rPr>
              <w:t>Aporta un valor estratégico diferenciado a través de servicios de aseguramiento de la información (auditoría financiera, gubernamental, operativa, de sistemas, ambiental y forense), la evaluación de procesos de control interno y la consultoría en sostenibilidad y cumplimiento normativo. Su desempeño se sustenta en una conciencia crítica e investigativa, capacidad analítica, liderazgo, adaptabilidad, dominio del inglés técnico contable y una rigurosa ética profesional alineada al Código Internacional de Ética del IESBA, garantizando el interés público y la transparencia ante la sociedad y el Estado.</w:t>
            </w:r>
          </w:p>
        </w:tc>
      </w:tr>
    </w:tbl>
    <w:p>
      <w:pPr>
        <w:spacing w:before="0" w:after="120" w:line="240" w:lineRule="auto"/>
        <w:jc w:val="left"/>
      </w:pPr>
    </w:p>
    <w:p>
      <w:pPr>
        <w:keepNext/>
        <w:tabs>
          <w:tab w:pos="992" w:val="left"/>
        </w:tabs>
        <w:spacing w:before="80" w:after="200" w:line="240" w:lineRule="auto"/>
        <w:ind w:left="992" w:hanging="992"/>
        <w:jc w:val="left"/>
      </w:pPr>
      <w:r>
        <w:rPr>
          <w:rFonts w:ascii="Century Gothic" w:hAnsi="Century Gothic" w:cs="Century Gothic" w:eastAsia="Century Gothic"/>
          <w:b/>
          <w:i w:val="0"/>
          <w:sz w:val="22"/>
        </w:rPr>
        <w:t>4.2.7.2</w:t>
        <w:tab/>
      </w:r>
      <w:r>
        <w:rPr>
          <w:rFonts w:ascii="Century Gothic" w:hAnsi="Century Gothic" w:cs="Century Gothic" w:eastAsia="Century Gothic"/>
          <w:b/>
          <w:i w:val="0"/>
          <w:sz w:val="22"/>
        </w:rPr>
        <w:t>Estructuración Integrada por Atributos del Egresado</w:t>
      </w:r>
    </w:p>
    <w:p>
      <w:pPr>
        <w:spacing w:before="0" w:after="200" w:line="240" w:lineRule="auto"/>
        <w:jc w:val="both"/>
      </w:pPr>
      <w:r>
        <w:rPr>
          <w:rFonts w:ascii="Century Gothic" w:hAnsi="Century Gothic" w:cs="Century Gothic" w:eastAsia="Century Gothic"/>
          <w:b w:val="0"/>
          <w:i w:val="0"/>
          <w:sz w:val="20"/>
        </w:rPr>
        <w:t>Para facilitar la evaluación ex-ante del plan de estudios y la construcción del Mapa de Competencias, la semblanza del perfil se operacionaliza en tres ejes de atributos integrados:</w:t>
      </w:r>
    </w:p>
    <w:p>
      <w:pPr>
        <w:keepNext/>
        <w:spacing w:before="40" w:after="200" w:line="240" w:lineRule="auto"/>
        <w:jc w:val="left"/>
      </w:pPr>
      <w:r>
        <w:rPr>
          <w:rFonts w:ascii="Century Gothic" w:hAnsi="Century Gothic" w:cs="Century Gothic" w:eastAsia="Century Gothic"/>
          <w:b/>
          <w:i w:val="0"/>
          <w:sz w:val="22"/>
        </w:rPr>
        <w:t>Atributos Académico – Disciplinares (Saber Conocer)</w:t>
      </w:r>
    </w:p>
    <w:p>
      <w:pPr>
        <w:numPr>
          <w:ilvl w:val="0"/>
          <w:numId w:val="944"/>
        </w:numPr>
        <w:spacing w:before="0" w:after="160" w:line="240" w:lineRule="auto"/>
        <w:jc w:val="both"/>
      </w:pPr>
      <w:r>
        <w:rPr>
          <w:rFonts w:ascii="Century Gothic" w:hAnsi="Century Gothic" w:cs="Century Gothic" w:eastAsia="Century Gothic"/>
          <w:b w:val="0"/>
          <w:i w:val="0"/>
          <w:sz w:val="20"/>
        </w:rPr>
        <w:t>Dominio riguroso de marcos de información financiera nacionales e internacionales para la preparación de estados financieros e informes de gestión en sectores público, privado y mixto.</w:t>
      </w:r>
    </w:p>
    <w:p>
      <w:pPr>
        <w:numPr>
          <w:ilvl w:val="0"/>
          <w:numId w:val="944"/>
        </w:numPr>
        <w:spacing w:before="0" w:after="160" w:line="240" w:lineRule="auto"/>
        <w:jc w:val="both"/>
      </w:pPr>
      <w:r>
        <w:rPr>
          <w:rFonts w:ascii="Century Gothic" w:hAnsi="Century Gothic" w:cs="Century Gothic" w:eastAsia="Century Gothic"/>
          <w:b w:val="0"/>
          <w:i w:val="0"/>
          <w:sz w:val="20"/>
        </w:rPr>
        <w:t>Solvencia técnica en normas de auditoría y aseguramiento para realizar auditorías sobre la razonabilidad de la información financiera de entidades del sector público y privado.; así como otros encargos de seguridad razonable.</w:t>
      </w:r>
    </w:p>
    <w:p>
      <w:pPr>
        <w:numPr>
          <w:ilvl w:val="0"/>
          <w:numId w:val="944"/>
        </w:numPr>
        <w:spacing w:before="0" w:after="160" w:line="240" w:lineRule="auto"/>
        <w:jc w:val="both"/>
      </w:pPr>
      <w:r>
        <w:rPr>
          <w:rFonts w:ascii="Century Gothic" w:hAnsi="Century Gothic" w:cs="Century Gothic" w:eastAsia="Century Gothic"/>
          <w:b w:val="0"/>
          <w:i w:val="0"/>
          <w:sz w:val="20"/>
        </w:rPr>
        <w:t>Conocimiento especializado en legislación fiscal, tributación, precios de transferencia y legislación comercial y laboral boliviana.</w:t>
      </w:r>
    </w:p>
    <w:p>
      <w:pPr>
        <w:numPr>
          <w:ilvl w:val="0"/>
          <w:numId w:val="944"/>
        </w:numPr>
        <w:spacing w:before="0" w:after="200" w:line="240" w:lineRule="auto"/>
        <w:jc w:val="both"/>
      </w:pPr>
      <w:r>
        <w:rPr>
          <w:rFonts w:ascii="Century Gothic" w:hAnsi="Century Gothic" w:cs="Century Gothic" w:eastAsia="Century Gothic"/>
          <w:b w:val="0"/>
          <w:i w:val="0"/>
          <w:sz w:val="20"/>
        </w:rPr>
        <w:t>Comprensión de modelos de finanzas corporativas, valoración de proyectos, control interno y gestión integral de riesgos empresariales.</w:t>
      </w:r>
    </w:p>
    <w:p>
      <w:pPr>
        <w:keepNext/>
        <w:spacing w:before="40" w:after="200" w:line="240" w:lineRule="auto"/>
        <w:jc w:val="left"/>
      </w:pPr>
      <w:r>
        <w:rPr>
          <w:rFonts w:ascii="Century Gothic" w:hAnsi="Century Gothic" w:cs="Century Gothic" w:eastAsia="Century Gothic"/>
          <w:b/>
          <w:i w:val="0"/>
          <w:sz w:val="22"/>
        </w:rPr>
        <w:t>Atributos Técnico-Digitales y de Innovación (Saber Hacer)</w:t>
      </w:r>
    </w:p>
    <w:p>
      <w:pPr>
        <w:numPr>
          <w:ilvl w:val="0"/>
          <w:numId w:val="944"/>
        </w:numPr>
        <w:spacing w:before="0" w:after="160" w:line="240" w:lineRule="auto"/>
        <w:jc w:val="both"/>
      </w:pPr>
      <w:r>
        <w:rPr>
          <w:rFonts w:ascii="Century Gothic" w:hAnsi="Century Gothic" w:cs="Century Gothic" w:eastAsia="Century Gothic"/>
          <w:b w:val="0"/>
          <w:i w:val="0"/>
          <w:sz w:val="20"/>
        </w:rPr>
        <w:t>Habilidad operativa en sistemas de planificación de recursos empresariales (ERP), softwares contables y plataformas tributarias oficiales.</w:t>
      </w:r>
    </w:p>
    <w:p>
      <w:pPr>
        <w:numPr>
          <w:ilvl w:val="0"/>
          <w:numId w:val="944"/>
        </w:numPr>
        <w:spacing w:before="0" w:after="160" w:line="240" w:lineRule="auto"/>
        <w:jc w:val="both"/>
      </w:pPr>
      <w:r>
        <w:rPr>
          <w:rFonts w:ascii="Century Gothic" w:hAnsi="Century Gothic" w:cs="Century Gothic" w:eastAsia="Century Gothic"/>
          <w:b w:val="0"/>
          <w:i w:val="0"/>
          <w:sz w:val="20"/>
        </w:rPr>
        <w:t>Destreza en el uso de herramientas de Business Intelligence, analítica cuantitativa y modelos de Inteligencia Artificial para el análisis prospectivo de datos financieros y la detección de irregularidades.</w:t>
      </w:r>
    </w:p>
    <w:p>
      <w:pPr>
        <w:numPr>
          <w:ilvl w:val="0"/>
          <w:numId w:val="944"/>
        </w:numPr>
        <w:spacing w:before="0" w:after="160" w:line="240" w:lineRule="auto"/>
        <w:jc w:val="both"/>
      </w:pPr>
      <w:r>
        <w:rPr>
          <w:rFonts w:ascii="Century Gothic" w:hAnsi="Century Gothic" w:cs="Century Gothic" w:eastAsia="Century Gothic"/>
          <w:b w:val="0"/>
          <w:i w:val="0"/>
          <w:sz w:val="20"/>
        </w:rPr>
        <w:t>Capacidad para diseñar e implementar procedimientos de encargos de auditoría forense, peritajes y auditorías de ciberseguridad y sistemas.</w:t>
      </w:r>
    </w:p>
    <w:p>
      <w:pPr>
        <w:numPr>
          <w:ilvl w:val="0"/>
          <w:numId w:val="944"/>
        </w:numPr>
        <w:spacing w:before="0" w:after="160" w:line="240" w:lineRule="auto"/>
        <w:jc w:val="both"/>
      </w:pPr>
      <w:r>
        <w:rPr>
          <w:rFonts w:ascii="Century Gothic" w:hAnsi="Century Gothic" w:cs="Century Gothic" w:eastAsia="Century Gothic"/>
          <w:b w:val="0"/>
          <w:i w:val="0"/>
          <w:sz w:val="20"/>
        </w:rPr>
        <w:t>Competencia procedimental para elaborar y auditar informes de sostenibilidad.</w:t>
      </w:r>
    </w:p>
    <w:p>
      <w:pPr>
        <w:numPr>
          <w:ilvl w:val="0"/>
          <w:numId w:val="944"/>
        </w:numPr>
        <w:spacing w:before="0" w:after="200" w:line="240" w:lineRule="auto"/>
        <w:jc w:val="both"/>
      </w:pPr>
      <w:r>
        <w:rPr>
          <w:rFonts w:ascii="Century Gothic" w:hAnsi="Century Gothic" w:cs="Century Gothic" w:eastAsia="Century Gothic"/>
          <w:b w:val="0"/>
          <w:i w:val="0"/>
          <w:sz w:val="20"/>
        </w:rPr>
        <w:t>Habilitación para la obtención de certificaciones intermedias modulares durante el pregrado, facilitando la articulación directa con los programas de Posgrado (Diplomados y Maestrías) de la Facultad de Ciencias Económicas y Financieras.</w:t>
      </w:r>
    </w:p>
    <w:p>
      <w:pPr>
        <w:keepNext/>
        <w:spacing w:before="40" w:after="200" w:line="240" w:lineRule="auto"/>
        <w:jc w:val="left"/>
      </w:pPr>
      <w:r>
        <w:rPr>
          <w:rFonts w:ascii="Century Gothic" w:hAnsi="Century Gothic" w:cs="Century Gothic" w:eastAsia="Century Gothic"/>
          <w:b/>
          <w:i w:val="0"/>
          <w:sz w:val="22"/>
        </w:rPr>
        <w:t>Atributos Éticos, Socioemocionales y de Responsabilidad Pública (Saber Ser y Convivir)</w:t>
      </w:r>
    </w:p>
    <w:p>
      <w:pPr>
        <w:numPr>
          <w:ilvl w:val="0"/>
          <w:numId w:val="944"/>
        </w:numPr>
        <w:spacing w:before="0" w:after="160" w:line="240" w:lineRule="auto"/>
        <w:jc w:val="both"/>
      </w:pPr>
      <w:r>
        <w:rPr>
          <w:rFonts w:ascii="Century Gothic" w:hAnsi="Century Gothic" w:cs="Century Gothic" w:eastAsia="Century Gothic"/>
          <w:b w:val="0"/>
          <w:i w:val="0"/>
          <w:sz w:val="20"/>
        </w:rPr>
        <w:t>Compromiso inquebrantable con la integridad, la independencia de criterio, la objetividad y la confidencialidad en conformidad con el Código de Ética del IESBA.</w:t>
      </w:r>
    </w:p>
    <w:p>
      <w:pPr>
        <w:numPr>
          <w:ilvl w:val="0"/>
          <w:numId w:val="944"/>
        </w:numPr>
        <w:spacing w:before="0" w:after="160" w:line="240" w:lineRule="auto"/>
        <w:jc w:val="both"/>
      </w:pPr>
      <w:r>
        <w:rPr>
          <w:rFonts w:ascii="Century Gothic" w:hAnsi="Century Gothic" w:cs="Century Gothic" w:eastAsia="Century Gothic"/>
          <w:b w:val="0"/>
          <w:i w:val="0"/>
          <w:sz w:val="20"/>
        </w:rPr>
        <w:t>Ejercicio del juicio profesional fundado en el pensamiento crítico, la investigación aplicada y la comprensión del entorno bajo la teoría del pensamiento complejo (contexto, globalidad, multidimensionalidad y complejidad).</w:t>
      </w:r>
    </w:p>
    <w:p>
      <w:pPr>
        <w:numPr>
          <w:ilvl w:val="0"/>
          <w:numId w:val="944"/>
        </w:numPr>
        <w:spacing w:before="0" w:after="160" w:line="240" w:lineRule="auto"/>
        <w:jc w:val="both"/>
      </w:pPr>
      <w:r>
        <w:rPr>
          <w:rFonts w:ascii="Century Gothic" w:hAnsi="Century Gothic" w:cs="Century Gothic" w:eastAsia="Century Gothic"/>
          <w:b w:val="0"/>
          <w:i w:val="0"/>
          <w:sz w:val="20"/>
        </w:rPr>
        <w:t>Capacidad de adaptabilidad y agilidad profesional frente a cambios normativos y tecnológicos.</w:t>
      </w:r>
    </w:p>
    <w:p>
      <w:pPr>
        <w:numPr>
          <w:ilvl w:val="0"/>
          <w:numId w:val="944"/>
        </w:numPr>
        <w:spacing w:before="0" w:after="200" w:line="240" w:lineRule="auto"/>
        <w:jc w:val="both"/>
      </w:pPr>
      <w:r>
        <w:rPr>
          <w:rFonts w:ascii="Century Gothic" w:hAnsi="Century Gothic" w:cs="Century Gothic" w:eastAsia="Century Gothic"/>
          <w:b w:val="0"/>
          <w:i w:val="0"/>
          <w:sz w:val="20"/>
        </w:rPr>
        <w:t>Liderazgo adaptativo, trabajo colaborativo en equipos multidisciplinarios y comunicación asertiva en español y en inglés técnico contable.</w:t>
      </w:r>
    </w:p>
    <w:p>
      <w:pPr>
        <w:keepNext/>
        <w:tabs>
          <w:tab w:pos="709" w:val="left"/>
        </w:tabs>
        <w:spacing w:before="160" w:after="200" w:line="240" w:lineRule="auto"/>
        <w:ind w:left="709" w:hanging="709"/>
        <w:jc w:val="left"/>
      </w:pPr>
      <w:r>
        <w:rPr>
          <w:rFonts w:ascii="Century Gothic" w:hAnsi="Century Gothic" w:cs="Century Gothic" w:eastAsia="Century Gothic"/>
          <w:b/>
          <w:i w:val="0"/>
          <w:sz w:val="24"/>
        </w:rPr>
        <w:t>4.3</w:t>
        <w:tab/>
      </w:r>
      <w:r>
        <w:rPr>
          <w:rFonts w:ascii="Century Gothic" w:hAnsi="Century Gothic" w:cs="Century Gothic" w:eastAsia="Century Gothic"/>
          <w:b/>
          <w:i w:val="0"/>
          <w:sz w:val="24"/>
        </w:rPr>
        <w:t>Plan de estudios propuesto</w:t>
      </w:r>
    </w:p>
    <w:p>
      <w:pPr>
        <w:keepNext/>
        <w:tabs>
          <w:tab w:pos="709" w:val="left"/>
        </w:tabs>
        <w:spacing w:before="120" w:after="200" w:line="240" w:lineRule="auto"/>
        <w:ind w:left="709" w:hanging="709"/>
        <w:jc w:val="left"/>
      </w:pPr>
      <w:r>
        <w:rPr>
          <w:rFonts w:ascii="Century Gothic" w:hAnsi="Century Gothic" w:cs="Century Gothic" w:eastAsia="Century Gothic"/>
          <w:b/>
          <w:i w:val="0"/>
          <w:sz w:val="24"/>
        </w:rPr>
        <w:t>4.3.3</w:t>
        <w:tab/>
      </w:r>
      <w:r>
        <w:rPr>
          <w:rFonts w:ascii="Century Gothic" w:hAnsi="Century Gothic" w:cs="Century Gothic" w:eastAsia="Century Gothic"/>
          <w:b/>
          <w:i w:val="0"/>
          <w:sz w:val="24"/>
        </w:rPr>
        <w:t>Objetivo general del diseño, rediseño o ajuste</w:t>
      </w:r>
    </w:p>
    <w:p>
      <w:pPr>
        <w:keepNext/>
        <w:tabs>
          <w:tab w:pos="992" w:val="left"/>
        </w:tabs>
        <w:spacing w:before="80" w:after="200" w:line="240" w:lineRule="auto"/>
        <w:ind w:left="992" w:hanging="992"/>
        <w:jc w:val="left"/>
      </w:pPr>
      <w:r>
        <w:rPr>
          <w:rFonts w:ascii="Century Gothic" w:hAnsi="Century Gothic" w:cs="Century Gothic" w:eastAsia="Century Gothic"/>
          <w:b/>
          <w:i w:val="0"/>
          <w:sz w:val="22"/>
        </w:rPr>
        <w:t>4.3.3.1</w:t>
        <w:tab/>
      </w:r>
      <w:r>
        <w:rPr>
          <w:rFonts w:ascii="Century Gothic" w:hAnsi="Century Gothic" w:cs="Century Gothic" w:eastAsia="Century Gothic"/>
          <w:b/>
          <w:i w:val="0"/>
          <w:sz w:val="22"/>
        </w:rPr>
        <w:t>Objetivo y Alcance de la Propuesta Curricular</w:t>
      </w:r>
    </w:p>
    <w:p>
      <w:pPr>
        <w:spacing w:before="0" w:after="200" w:line="240" w:lineRule="auto"/>
        <w:jc w:val="both"/>
      </w:pPr>
      <w:r>
        <w:rPr>
          <w:rFonts w:ascii="Century Gothic" w:hAnsi="Century Gothic" w:cs="Century Gothic" w:eastAsia="Century Gothic"/>
          <w:b w:val="0"/>
          <w:i w:val="0"/>
          <w:sz w:val="20"/>
        </w:rPr>
        <w:t xml:space="preserve">El objeto principal de la propuesta curricular es concretar el </w:t>
      </w:r>
      <w:r>
        <w:rPr>
          <w:rFonts w:ascii="Century Gothic" w:hAnsi="Century Gothic" w:cs="Century Gothic" w:eastAsia="Century Gothic"/>
          <w:b/>
          <w:i w:val="0"/>
          <w:sz w:val="20"/>
        </w:rPr>
        <w:t>cambio de paradigma profesional</w:t>
      </w:r>
      <w:r>
        <w:rPr>
          <w:rFonts w:ascii="Century Gothic" w:hAnsi="Century Gothic" w:cs="Century Gothic" w:eastAsia="Century Gothic"/>
          <w:b w:val="0"/>
          <w:i w:val="0"/>
          <w:sz w:val="20"/>
        </w:rPr>
        <w:t xml:space="preserve"> en la UMSA, evolucionando desde un perfil tradicional enfocado en el registro contable manual y la auditoría financiera clásica, hacia el modelo contemporáneo del </w:t>
      </w:r>
      <w:r>
        <w:rPr>
          <w:rFonts w:ascii="Century Gothic" w:hAnsi="Century Gothic" w:cs="Century Gothic" w:eastAsia="Century Gothic"/>
          <w:b/>
          <w:i w:val="0"/>
          <w:sz w:val="20"/>
        </w:rPr>
        <w:t>Contador Público Autorizado (CPA)</w:t>
      </w:r>
      <w:r>
        <w:rPr>
          <w:rFonts w:ascii="Century Gothic" w:hAnsi="Century Gothic" w:cs="Century Gothic" w:eastAsia="Century Gothic"/>
          <w:b w:val="0"/>
          <w:i w:val="0"/>
          <w:sz w:val="20"/>
        </w:rPr>
        <w:t>.</w:t>
      </w:r>
    </w:p>
    <w:p>
      <w:pPr>
        <w:spacing w:before="0" w:after="200" w:line="240" w:lineRule="auto"/>
        <w:jc w:val="both"/>
      </w:pPr>
      <w:r>
        <w:rPr>
          <w:rFonts w:ascii="Century Gothic" w:hAnsi="Century Gothic" w:cs="Century Gothic" w:eastAsia="Century Gothic"/>
          <w:b w:val="0"/>
          <w:i w:val="0"/>
          <w:sz w:val="20"/>
        </w:rPr>
        <w:t>Este nuevo paradigma mantiene la auditoría financiera como una competencia nuclear, pero extiende el ejercicio profesional hacia un portafolio de servicios estratégicos de alto valor agregado:</w:t>
      </w:r>
    </w:p>
    <w:p>
      <w:pPr>
        <w:numPr>
          <w:ilvl w:val="0"/>
          <w:numId w:val="973"/>
        </w:numPr>
        <w:spacing w:before="0" w:after="160" w:line="240" w:lineRule="auto"/>
        <w:jc w:val="both"/>
      </w:pPr>
      <w:r>
        <w:rPr>
          <w:rFonts w:ascii="Century Gothic" w:hAnsi="Century Gothic" w:cs="Century Gothic" w:eastAsia="Century Gothic"/>
          <w:b/>
          <w:i w:val="0"/>
          <w:sz w:val="20"/>
        </w:rPr>
        <w:t>Aseguramiento Integral de Información:</w:t>
      </w:r>
      <w:r>
        <w:rPr>
          <w:rFonts w:ascii="Century Gothic" w:hAnsi="Century Gothic" w:cs="Century Gothic" w:eastAsia="Century Gothic"/>
          <w:b w:val="0"/>
          <w:i w:val="0"/>
          <w:sz w:val="20"/>
        </w:rPr>
        <w:t xml:space="preserve"> Emisión de informes sobre información financiera y no financiera aplicando las Normas Internacionales de Auditoría (NIA), Normas Internacionales de Revisión (NIER) del IAASB, las Normas de Auditoría Gubernamental de la Contraloría General del Estado (CGE) y estándares de aseguramiento no financiero (NIEA 3000 y NIAS 5000 del IAASB) adoptadas plenamente en Bolivia.</w:t>
      </w:r>
    </w:p>
    <w:p>
      <w:pPr>
        <w:numPr>
          <w:ilvl w:val="0"/>
          <w:numId w:val="973"/>
        </w:numPr>
        <w:spacing w:before="0" w:after="160" w:line="240" w:lineRule="auto"/>
        <w:jc w:val="both"/>
      </w:pPr>
      <w:r>
        <w:rPr>
          <w:rFonts w:ascii="Century Gothic" w:hAnsi="Century Gothic" w:cs="Century Gothic" w:eastAsia="Century Gothic"/>
          <w:b/>
          <w:i w:val="0"/>
          <w:sz w:val="20"/>
        </w:rPr>
        <w:t>Transformación Digital e Inteligencia de Negocios:</w:t>
      </w:r>
      <w:r>
        <w:rPr>
          <w:rFonts w:ascii="Century Gothic" w:hAnsi="Century Gothic" w:cs="Century Gothic" w:eastAsia="Century Gothic"/>
          <w:b w:val="0"/>
          <w:i w:val="0"/>
          <w:sz w:val="20"/>
        </w:rPr>
        <w:t xml:space="preserve"> Empleo procedimental de Inteligencia Artificial aplicada a la contabilidad y auditoría, análisis de datos (Big Data Analytics), automatización robótica de procesos (RPA), sistemas ERP (SAP/Odoo) y ciberseguridad.</w:t>
      </w:r>
    </w:p>
    <w:p>
      <w:pPr>
        <w:numPr>
          <w:ilvl w:val="0"/>
          <w:numId w:val="973"/>
        </w:numPr>
        <w:spacing w:before="0" w:after="160" w:line="240" w:lineRule="auto"/>
        <w:jc w:val="both"/>
      </w:pPr>
      <w:r>
        <w:rPr>
          <w:rFonts w:ascii="Century Gothic" w:hAnsi="Century Gothic" w:cs="Century Gothic" w:eastAsia="Century Gothic"/>
          <w:b/>
          <w:i w:val="0"/>
          <w:sz w:val="20"/>
        </w:rPr>
        <w:t>Gestión Integral de Riesgos y Gobernanza</w:t>
      </w:r>
      <w:r>
        <w:rPr>
          <w:rFonts w:ascii="Century Gothic" w:hAnsi="Century Gothic" w:cs="Century Gothic" w:eastAsia="Century Gothic"/>
          <w:b w:val="0"/>
          <w:i w:val="0"/>
          <w:sz w:val="20"/>
        </w:rPr>
        <w:t>: Evaluación y diseño de estructuras de control interno (marcos COSO) y gestión de riesgos en organizaciones del sector público, privado y mixto.</w:t>
      </w:r>
    </w:p>
    <w:p>
      <w:pPr>
        <w:numPr>
          <w:ilvl w:val="0"/>
          <w:numId w:val="973"/>
        </w:numPr>
        <w:spacing w:before="0" w:after="160" w:line="240" w:lineRule="auto"/>
        <w:jc w:val="both"/>
      </w:pPr>
      <w:r>
        <w:rPr>
          <w:rFonts w:ascii="Century Gothic" w:hAnsi="Century Gothic" w:cs="Century Gothic" w:eastAsia="Century Gothic"/>
          <w:b/>
          <w:i w:val="0"/>
          <w:sz w:val="20"/>
        </w:rPr>
        <w:t>Sostenibilidad y Reportes ESG:</w:t>
      </w:r>
      <w:r>
        <w:rPr>
          <w:rFonts w:ascii="Century Gothic" w:hAnsi="Century Gothic" w:cs="Century Gothic" w:eastAsia="Century Gothic"/>
          <w:b w:val="0"/>
          <w:i w:val="0"/>
          <w:sz w:val="20"/>
        </w:rPr>
        <w:t xml:space="preserve"> Preparación y aseguramiento de reportes corporativos de sostenibilidad bajo los estándares NIIF S1 y NIIF S2 emitidos por el International Sustainability Standards Board (ISSB).</w:t>
      </w:r>
    </w:p>
    <w:p>
      <w:pPr>
        <w:numPr>
          <w:ilvl w:val="0"/>
          <w:numId w:val="973"/>
        </w:numPr>
        <w:spacing w:before="0" w:after="200" w:line="240" w:lineRule="auto"/>
        <w:jc w:val="both"/>
      </w:pPr>
      <w:r>
        <w:rPr>
          <w:rFonts w:ascii="Century Gothic" w:hAnsi="Century Gothic" w:cs="Century Gothic" w:eastAsia="Century Gothic"/>
          <w:b/>
          <w:i w:val="0"/>
          <w:sz w:val="20"/>
        </w:rPr>
        <w:t>Imperativo Ético y Responsabilidad Pública:</w:t>
      </w:r>
      <w:r>
        <w:rPr>
          <w:rFonts w:ascii="Century Gothic" w:hAnsi="Century Gothic" w:cs="Century Gothic" w:eastAsia="Century Gothic"/>
          <w:b w:val="0"/>
          <w:i w:val="0"/>
          <w:sz w:val="20"/>
        </w:rPr>
        <w:t xml:space="preserve"> Adopción plena del Código Internacional de Ética del IESBA, garantizando la independencia de criterio y la protección del interés público.</w:t>
      </w:r>
    </w:p>
    <w:p>
      <w:pPr>
        <w:spacing w:before="0" w:after="200" w:line="240" w:lineRule="auto"/>
        <w:jc w:val="both"/>
      </w:pPr>
      <w:r>
        <w:rPr>
          <w:rFonts w:ascii="Century Gothic" w:hAnsi="Century Gothic" w:cs="Century Gothic" w:eastAsia="Century Gothic"/>
          <w:b w:val="0"/>
          <w:i w:val="0"/>
          <w:sz w:val="20"/>
        </w:rPr>
        <w:t xml:space="preserve">El alcance de la propuesta abarca la reestructuración integral de la formación de grado para la obtención del título de </w:t>
      </w:r>
      <w:r>
        <w:rPr>
          <w:rFonts w:ascii="Century Gothic" w:hAnsi="Century Gothic" w:cs="Century Gothic" w:eastAsia="Century Gothic"/>
          <w:b/>
          <w:i w:val="0"/>
          <w:sz w:val="20"/>
        </w:rPr>
        <w:t>Licenciado en Contaduría Pública (Contador Público Autorizado - CPA)</w:t>
      </w:r>
      <w:r>
        <w:rPr>
          <w:rFonts w:ascii="Century Gothic" w:hAnsi="Century Gothic" w:cs="Century Gothic" w:eastAsia="Century Gothic"/>
          <w:b w:val="0"/>
          <w:i w:val="0"/>
          <w:sz w:val="20"/>
        </w:rPr>
        <w:t xml:space="preserve"> en una modalidad presencial de régimen anual con una duración de 5 años. Comprende una carga horaria total de </w:t>
      </w:r>
      <w:r>
        <w:rPr>
          <w:rFonts w:ascii="Century Gothic" w:hAnsi="Century Gothic" w:cs="Century Gothic" w:eastAsia="Century Gothic"/>
          <w:b/>
          <w:i w:val="0"/>
          <w:sz w:val="20"/>
        </w:rPr>
        <w:t>6.000 horas académicas</w:t>
      </w:r>
      <w:r>
        <w:rPr>
          <w:rFonts w:ascii="Century Gothic" w:hAnsi="Century Gothic" w:cs="Century Gothic" w:eastAsia="Century Gothic"/>
          <w:b w:val="0"/>
          <w:i w:val="0"/>
          <w:sz w:val="20"/>
        </w:rPr>
        <w:t xml:space="preserve"> distribuidas en </w:t>
      </w:r>
      <w:r>
        <w:rPr>
          <w:rFonts w:ascii="Century Gothic" w:hAnsi="Century Gothic" w:cs="Century Gothic" w:eastAsia="Century Gothic"/>
          <w:b/>
          <w:i w:val="0"/>
          <w:sz w:val="20"/>
        </w:rPr>
        <w:t>43 asignaturas</w:t>
      </w:r>
      <w:r>
        <w:rPr>
          <w:rFonts w:ascii="Century Gothic" w:hAnsi="Century Gothic" w:cs="Century Gothic" w:eastAsia="Century Gothic"/>
          <w:b w:val="0"/>
          <w:i w:val="0"/>
          <w:sz w:val="20"/>
        </w:rPr>
        <w:t xml:space="preserve"> (29 troncales y 14 contextuales), en estricta compatibilidad con la estructura aprobada por la Reunión Sectorial del Sistema Universitario Boliviano.</w:t>
      </w:r>
    </w:p>
    <w:p>
      <w:pPr>
        <w:keepNext/>
        <w:tabs>
          <w:tab w:pos="709" w:val="left"/>
        </w:tabs>
        <w:spacing w:before="120" w:after="200" w:line="240" w:lineRule="auto"/>
        <w:ind w:left="709" w:hanging="709"/>
        <w:jc w:val="left"/>
      </w:pPr>
      <w:r>
        <w:rPr>
          <w:rFonts w:ascii="Century Gothic" w:hAnsi="Century Gothic" w:cs="Century Gothic" w:eastAsia="Century Gothic"/>
          <w:b/>
          <w:i w:val="0"/>
          <w:sz w:val="24"/>
        </w:rPr>
        <w:t>4.3.4</w:t>
        <w:tab/>
      </w:r>
      <w:r>
        <w:rPr>
          <w:rFonts w:ascii="Century Gothic" w:hAnsi="Century Gothic" w:cs="Century Gothic" w:eastAsia="Century Gothic"/>
          <w:b/>
          <w:i w:val="0"/>
          <w:sz w:val="24"/>
        </w:rPr>
        <w:t>Objetivos específicos del diseño, rediseño o ajuste</w:t>
      </w:r>
    </w:p>
    <w:p>
      <w:pPr>
        <w:keepNext/>
        <w:tabs>
          <w:tab w:pos="992" w:val="left"/>
        </w:tabs>
        <w:spacing w:before="80" w:after="200" w:line="240" w:lineRule="auto"/>
        <w:ind w:left="992" w:hanging="992"/>
        <w:jc w:val="left"/>
      </w:pPr>
      <w:r>
        <w:rPr>
          <w:rFonts w:ascii="Century Gothic" w:hAnsi="Century Gothic" w:cs="Century Gothic" w:eastAsia="Century Gothic"/>
          <w:b/>
          <w:i w:val="0"/>
          <w:sz w:val="22"/>
        </w:rPr>
        <w:t>4.3.4.1</w:t>
        <w:tab/>
      </w:r>
      <w:r>
        <w:rPr>
          <w:rFonts w:ascii="Century Gothic" w:hAnsi="Century Gothic" w:cs="Century Gothic" w:eastAsia="Century Gothic"/>
          <w:b/>
          <w:i w:val="0"/>
          <w:sz w:val="22"/>
        </w:rPr>
        <w:t>Propósitos Formativos</w:t>
      </w:r>
    </w:p>
    <w:p>
      <w:pPr>
        <w:spacing w:before="0" w:after="200" w:line="240" w:lineRule="auto"/>
        <w:jc w:val="both"/>
      </w:pPr>
      <w:r>
        <w:rPr>
          <w:rFonts w:ascii="Century Gothic" w:hAnsi="Century Gothic" w:cs="Century Gothic" w:eastAsia="Century Gothic"/>
          <w:b w:val="0"/>
          <w:i w:val="0"/>
          <w:sz w:val="20"/>
        </w:rPr>
        <w:t>El desarrollo del Plan de Estudios persigue cuatro propósitos formativos centrales:</w:t>
      </w:r>
    </w:p>
    <w:p>
      <w:pPr>
        <w:numPr>
          <w:ilvl w:val="0"/>
          <w:numId w:val="974"/>
        </w:numPr>
        <w:spacing w:before="0" w:after="160" w:line="240" w:lineRule="auto"/>
        <w:jc w:val="both"/>
      </w:pPr>
      <w:r>
        <w:rPr>
          <w:rFonts w:ascii="Century Gothic" w:hAnsi="Century Gothic" w:cs="Century Gothic" w:eastAsia="Century Gothic"/>
          <w:b/>
          <w:i w:val="0"/>
          <w:sz w:val="20"/>
        </w:rPr>
        <w:t>Formación Académica Integral:</w:t>
      </w:r>
      <w:r>
        <w:rPr>
          <w:rFonts w:ascii="Century Gothic" w:hAnsi="Century Gothic" w:cs="Century Gothic" w:eastAsia="Century Gothic"/>
          <w:b w:val="0"/>
          <w:i w:val="0"/>
          <w:sz w:val="20"/>
        </w:rPr>
        <w:t xml:space="preserve"> Brindar al estudiante una sólida formación académica con conocimientos, actitudes, aptitudes y habilidades para entender y solucionar problemas financieros y no financieros de entidades públicas y privadas con visión holística.</w:t>
      </w:r>
    </w:p>
    <w:p>
      <w:pPr>
        <w:numPr>
          <w:ilvl w:val="0"/>
          <w:numId w:val="974"/>
        </w:numPr>
        <w:spacing w:before="0" w:after="160" w:line="240" w:lineRule="auto"/>
        <w:jc w:val="both"/>
      </w:pPr>
      <w:r>
        <w:rPr>
          <w:rFonts w:ascii="Century Gothic" w:hAnsi="Century Gothic" w:cs="Century Gothic" w:eastAsia="Century Gothic"/>
          <w:b/>
          <w:i w:val="0"/>
          <w:sz w:val="20"/>
        </w:rPr>
        <w:t>Desarrollo de Capacidades Operativas y Analíticas:</w:t>
      </w:r>
      <w:r>
        <w:rPr>
          <w:rFonts w:ascii="Century Gothic" w:hAnsi="Century Gothic" w:cs="Century Gothic" w:eastAsia="Century Gothic"/>
          <w:b w:val="0"/>
          <w:i w:val="0"/>
          <w:sz w:val="20"/>
        </w:rPr>
        <w:t xml:space="preserve"> Dotar al estudiante de habilidades avanzadas para la preparación y análisis de información financiera; el aseguramiento (examen y revisión) de información financiera y no financiera; el diseño y evaluación de sistemas de gestión, control interno (COSO), administración de riesgos (ERM) y gobierno corporativo mediante tecnologías de información; la detección de fraudes y auditoría forense; la preparación de información tributaria y la consultoría estratégica.</w:t>
      </w:r>
    </w:p>
    <w:p>
      <w:pPr>
        <w:numPr>
          <w:ilvl w:val="0"/>
          <w:numId w:val="974"/>
        </w:numPr>
        <w:spacing w:before="0" w:after="160" w:line="240" w:lineRule="auto"/>
        <w:jc w:val="both"/>
      </w:pPr>
      <w:r>
        <w:rPr>
          <w:rFonts w:ascii="Century Gothic" w:hAnsi="Century Gothic" w:cs="Century Gothic" w:eastAsia="Century Gothic"/>
          <w:b/>
          <w:i w:val="0"/>
          <w:sz w:val="20"/>
        </w:rPr>
        <w:t>Juicio Crítico y Reflexivo:</w:t>
      </w:r>
      <w:r>
        <w:rPr>
          <w:rFonts w:ascii="Century Gothic" w:hAnsi="Century Gothic" w:cs="Century Gothic" w:eastAsia="Century Gothic"/>
          <w:b w:val="0"/>
          <w:i w:val="0"/>
          <w:sz w:val="20"/>
        </w:rPr>
        <w:t xml:space="preserve"> Desarrollar una actitud crítica que permita integrar saberes multidisciplinarios para resolver objetivamente dilemas y problemas complejos en contextos cambiantes.</w:t>
      </w:r>
    </w:p>
    <w:p>
      <w:pPr>
        <w:numPr>
          <w:ilvl w:val="0"/>
          <w:numId w:val="974"/>
        </w:numPr>
        <w:spacing w:before="0" w:after="200" w:line="240" w:lineRule="auto"/>
        <w:jc w:val="both"/>
      </w:pPr>
      <w:r>
        <w:rPr>
          <w:rFonts w:ascii="Century Gothic" w:hAnsi="Century Gothic" w:cs="Century Gothic" w:eastAsia="Century Gothic"/>
          <w:b/>
          <w:i w:val="0"/>
          <w:sz w:val="20"/>
        </w:rPr>
        <w:t>Vocación de Servicio y Compromiso Social:</w:t>
      </w:r>
      <w:r>
        <w:rPr>
          <w:rFonts w:ascii="Century Gothic" w:hAnsi="Century Gothic" w:cs="Century Gothic" w:eastAsia="Century Gothic"/>
          <w:b w:val="0"/>
          <w:i w:val="0"/>
          <w:sz w:val="20"/>
        </w:rPr>
        <w:t xml:space="preserve"> Formar una actitud orientada al interés público para producir riqueza intelectual y material que contribuya al desarrollo sostenible, la transparencia institucional y el bienestar de la sociedad y el Estado.</w:t>
      </w:r>
    </w:p>
    <w:p>
      <w:pPr>
        <w:keepNext/>
        <w:tabs>
          <w:tab w:pos="709" w:val="left"/>
        </w:tabs>
        <w:spacing w:before="160" w:after="200" w:line="240" w:lineRule="auto"/>
        <w:ind w:left="709" w:hanging="709"/>
        <w:jc w:val="left"/>
      </w:pPr>
      <w:r>
        <w:rPr>
          <w:rFonts w:ascii="Century Gothic" w:hAnsi="Century Gothic" w:cs="Century Gothic" w:eastAsia="Century Gothic"/>
          <w:b/>
          <w:i w:val="0"/>
          <w:sz w:val="24"/>
        </w:rPr>
        <w:t>4.4</w:t>
        <w:tab/>
      </w:r>
      <w:r>
        <w:rPr>
          <w:rFonts w:ascii="Century Gothic" w:hAnsi="Century Gothic" w:cs="Century Gothic" w:eastAsia="Century Gothic"/>
          <w:b/>
          <w:i w:val="0"/>
          <w:sz w:val="24"/>
        </w:rPr>
        <w:t>Estructura curricular</w:t>
      </w:r>
    </w:p>
    <w:p>
      <w:pPr>
        <w:keepNext/>
        <w:tabs>
          <w:tab w:pos="709" w:val="left"/>
        </w:tabs>
        <w:spacing w:before="120" w:after="200" w:line="240" w:lineRule="auto"/>
        <w:ind w:left="709" w:hanging="709"/>
        <w:jc w:val="left"/>
      </w:pPr>
      <w:r>
        <w:rPr>
          <w:rFonts w:ascii="Century Gothic" w:hAnsi="Century Gothic" w:cs="Century Gothic" w:eastAsia="Century Gothic"/>
          <w:b/>
          <w:i w:val="0"/>
          <w:sz w:val="24"/>
        </w:rPr>
        <w:t>4.4.1</w:t>
        <w:tab/>
      </w:r>
      <w:r>
        <w:rPr>
          <w:rFonts w:ascii="Century Gothic" w:hAnsi="Century Gothic" w:cs="Century Gothic" w:eastAsia="Century Gothic"/>
          <w:b/>
          <w:i w:val="0"/>
          <w:sz w:val="24"/>
        </w:rPr>
        <w:t>Descripción de la organización curricular (organización de la asignatura por áreas o ejes de conocimiento)</w:t>
      </w:r>
    </w:p>
    <w:p>
      <w:pPr>
        <w:keepNext/>
        <w:tabs>
          <w:tab w:pos="992" w:val="left"/>
        </w:tabs>
        <w:spacing w:before="80" w:after="200" w:line="240" w:lineRule="auto"/>
        <w:ind w:left="992" w:hanging="992"/>
        <w:jc w:val="left"/>
      </w:pPr>
      <w:r>
        <w:rPr>
          <w:rFonts w:ascii="Century Gothic" w:hAnsi="Century Gothic" w:cs="Century Gothic" w:eastAsia="Century Gothic"/>
          <w:b/>
          <w:i w:val="0"/>
          <w:sz w:val="22"/>
        </w:rPr>
        <w:t>4.4.1.1</w:t>
        <w:tab/>
      </w:r>
      <w:r>
        <w:rPr>
          <w:rFonts w:ascii="Century Gothic" w:hAnsi="Century Gothic" w:cs="Century Gothic" w:eastAsia="Century Gothic"/>
          <w:b/>
          <w:i w:val="0"/>
          <w:sz w:val="22"/>
        </w:rPr>
        <w:t>Caracterización de las Áreas del Conocimiento y de Estudio</w:t>
      </w:r>
    </w:p>
    <w:p>
      <w:pPr>
        <w:spacing w:before="0" w:after="200" w:line="240" w:lineRule="auto"/>
        <w:jc w:val="both"/>
      </w:pPr>
      <w:r>
        <w:rPr>
          <w:rFonts w:ascii="Century Gothic" w:hAnsi="Century Gothic" w:cs="Century Gothic" w:eastAsia="Century Gothic"/>
          <w:b w:val="0"/>
          <w:i w:val="0"/>
          <w:sz w:val="20"/>
        </w:rPr>
        <w:t xml:space="preserve">e acuerdo con el modelo curricular por competencias del </w:t>
      </w:r>
      <w:r>
        <w:rPr>
          <w:rFonts w:ascii="Century Gothic" w:hAnsi="Century Gothic" w:cs="Century Gothic" w:eastAsia="Century Gothic"/>
          <w:b/>
          <w:i w:val="0"/>
          <w:sz w:val="20"/>
        </w:rPr>
        <w:t>Sistema de la Universidad Boliviana (SUB)</w:t>
      </w:r>
      <w:r>
        <w:rPr>
          <w:rFonts w:ascii="Century Gothic" w:hAnsi="Century Gothic" w:cs="Century Gothic" w:eastAsia="Century Gothic"/>
          <w:b w:val="0"/>
          <w:i w:val="0"/>
          <w:sz w:val="20"/>
        </w:rPr>
        <w:t xml:space="preserve"> y la </w:t>
      </w:r>
      <w:r>
        <w:rPr>
          <w:rFonts w:ascii="Century Gothic" w:hAnsi="Century Gothic" w:cs="Century Gothic" w:eastAsia="Century Gothic"/>
          <w:b/>
          <w:i w:val="0"/>
          <w:sz w:val="20"/>
        </w:rPr>
        <w:t>Norma Internacional de Educación Contable IES 2 de IFAC</w:t>
      </w:r>
      <w:r>
        <w:rPr>
          <w:rFonts w:ascii="Century Gothic" w:hAnsi="Century Gothic" w:cs="Century Gothic" w:eastAsia="Century Gothic"/>
          <w:b w:val="0"/>
          <w:i w:val="0"/>
          <w:sz w:val="20"/>
        </w:rPr>
        <w:t xml:space="preserve">, el Plan de Estudios 2027 organiza sus saberes en </w:t>
      </w:r>
      <w:r>
        <w:rPr>
          <w:rFonts w:ascii="Century Gothic" w:hAnsi="Century Gothic" w:cs="Century Gothic" w:eastAsia="Century Gothic"/>
          <w:b/>
          <w:i w:val="0"/>
          <w:sz w:val="20"/>
        </w:rPr>
        <w:t>seis áreas de conocimiento</w:t>
      </w:r>
      <w:r>
        <w:rPr>
          <w:rFonts w:ascii="Century Gothic" w:hAnsi="Century Gothic" w:cs="Century Gothic" w:eastAsia="Century Gothic"/>
          <w:b w:val="0"/>
          <w:i w:val="0"/>
          <w:sz w:val="20"/>
        </w:rPr>
        <w:t xml:space="preserve"> distribuidas en dos bloques funcionales:</w:t>
      </w:r>
    </w:p>
    <w:tbl>
      <w:tblPr>
        <w:tblW w:type="auto" w:w="0"/>
        <w:jc w:val="center"/>
        <w:tblLayout w:type="fixed"/>
        <w:tblLook w:firstColumn="1" w:firstRow="1" w:lastColumn="0" w:lastRow="0" w:noHBand="0" w:noVBand="1" w:val="04A0"/>
      </w:tblPr>
      <w:tblGrid>
        <w:gridCol w:w="4071"/>
        <w:gridCol w:w="1889"/>
        <w:gridCol w:w="1515"/>
        <w:gridCol w:w="1597"/>
      </w:tblGrid>
      <w:tr>
        <w:trPr>
          <w:tblHeader/>
        </w:trPr>
        <w:tc>
          <w:tcPr>
            <w:tcW w:type="dxa" w:w="4071"/>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Area</w:t>
            </w:r>
          </w:p>
        </w:tc>
        <w:tc>
          <w:tcPr>
            <w:tcW w:type="dxa" w:w="1889"/>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Asignaturas</w:t>
            </w:r>
          </w:p>
        </w:tc>
        <w:tc>
          <w:tcPr>
            <w:tcW w:type="dxa" w:w="1515"/>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Horas</w:t>
            </w:r>
          </w:p>
        </w:tc>
        <w:tc>
          <w:tcPr>
            <w:tcW w:type="dxa" w:w="1597"/>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Porcentaje</w:t>
            </w:r>
          </w:p>
        </w:tc>
      </w:tr>
      <w:tr>
        <w:tc>
          <w:tcPr>
            <w:tcW w:type="dxa" w:w="407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i w:val="0"/>
                <w:sz w:val="20"/>
              </w:rPr>
              <w:t>Áreas Troncales Formativas Especializadas</w:t>
            </w:r>
          </w:p>
        </w:tc>
        <w:tc>
          <w:tcPr>
            <w:tcW w:type="dxa" w:w="188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29 Asignaturas</w:t>
            </w:r>
          </w:p>
        </w:tc>
        <w:tc>
          <w:tcPr>
            <w:tcW w:type="dxa" w:w="1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4.000 hrs</w:t>
            </w:r>
          </w:p>
        </w:tc>
        <w:tc>
          <w:tcPr>
            <w:tcW w:type="dxa" w:w="159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66,67%</w:t>
            </w:r>
          </w:p>
        </w:tc>
      </w:tr>
      <w:tr>
        <w:tc>
          <w:tcPr>
            <w:tcW w:type="dxa" w:w="407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i w:val="0"/>
                <w:sz w:val="20"/>
              </w:rPr>
              <w:t>Área de Información Financiera Área de Servicios de Aseguramiento</w:t>
            </w:r>
          </w:p>
        </w:tc>
        <w:tc>
          <w:tcPr>
            <w:tcW w:type="dxa" w:w="188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16 asignaturas</w:t>
            </w:r>
          </w:p>
          <w:p>
            <w:pPr>
              <w:spacing w:before="0" w:after="0" w:line="240" w:lineRule="auto"/>
              <w:jc w:val="left"/>
            </w:pPr>
            <w:r>
              <w:rPr>
                <w:rFonts w:ascii="Century Gothic" w:hAnsi="Century Gothic" w:cs="Century Gothic" w:eastAsia="Century Gothic"/>
                <w:b w:val="0"/>
                <w:i w:val="0"/>
                <w:sz w:val="20"/>
              </w:rPr>
              <w:t>13 asignaturas</w:t>
            </w:r>
          </w:p>
        </w:tc>
        <w:tc>
          <w:tcPr>
            <w:tcW w:type="dxa" w:w="1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2.400 hrs</w:t>
            </w:r>
          </w:p>
          <w:p>
            <w:pPr>
              <w:spacing w:before="0" w:after="0" w:line="240" w:lineRule="auto"/>
              <w:jc w:val="left"/>
            </w:pPr>
            <w:r>
              <w:rPr>
                <w:rFonts w:ascii="Century Gothic" w:hAnsi="Century Gothic" w:cs="Century Gothic" w:eastAsia="Century Gothic"/>
                <w:b w:val="0"/>
                <w:i w:val="0"/>
                <w:sz w:val="20"/>
              </w:rPr>
              <w:t>1.600 hrs</w:t>
            </w:r>
          </w:p>
        </w:tc>
        <w:tc>
          <w:tcPr>
            <w:tcW w:type="dxa" w:w="159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40,00%</w:t>
            </w:r>
          </w:p>
          <w:p>
            <w:pPr>
              <w:spacing w:before="0" w:after="0" w:line="240" w:lineRule="auto"/>
              <w:jc w:val="left"/>
            </w:pPr>
            <w:r>
              <w:rPr>
                <w:rFonts w:ascii="Century Gothic" w:hAnsi="Century Gothic" w:cs="Century Gothic" w:eastAsia="Century Gothic"/>
                <w:b w:val="0"/>
                <w:i w:val="0"/>
                <w:sz w:val="20"/>
              </w:rPr>
              <w:t>26,67%</w:t>
            </w:r>
          </w:p>
        </w:tc>
      </w:tr>
      <w:tr>
        <w:tc>
          <w:tcPr>
            <w:tcW w:type="dxa" w:w="407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i w:val="0"/>
                <w:sz w:val="20"/>
              </w:rPr>
              <w:t>Áreas Contextuales Complementarias Multidisciplinarias</w:t>
            </w:r>
          </w:p>
        </w:tc>
        <w:tc>
          <w:tcPr>
            <w:tcW w:type="dxa" w:w="188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14 Asignaturas</w:t>
            </w:r>
          </w:p>
        </w:tc>
        <w:tc>
          <w:tcPr>
            <w:tcW w:type="dxa" w:w="1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2.000 hrs</w:t>
            </w:r>
          </w:p>
        </w:tc>
        <w:tc>
          <w:tcPr>
            <w:tcW w:type="dxa" w:w="159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32.33%</w:t>
            </w:r>
          </w:p>
        </w:tc>
      </w:tr>
      <w:tr>
        <w:tc>
          <w:tcPr>
            <w:tcW w:type="dxa" w:w="407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i w:val="0"/>
                <w:sz w:val="20"/>
              </w:rPr>
              <w:t>Área de Administración Área de Derecho</w:t>
            </w:r>
          </w:p>
          <w:p>
            <w:pPr>
              <w:spacing w:before="0" w:after="0" w:line="240" w:lineRule="auto"/>
              <w:jc w:val="left"/>
            </w:pPr>
            <w:r>
              <w:rPr>
                <w:rFonts w:ascii="Century Gothic" w:hAnsi="Century Gothic" w:cs="Century Gothic" w:eastAsia="Century Gothic"/>
                <w:b/>
                <w:i w:val="0"/>
                <w:sz w:val="20"/>
              </w:rPr>
              <w:t>Área de Economía Área de Matemáticas</w:t>
            </w:r>
          </w:p>
        </w:tc>
        <w:tc>
          <w:tcPr>
            <w:tcW w:type="dxa" w:w="188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3 asignaturas</w:t>
            </w:r>
          </w:p>
          <w:p>
            <w:pPr>
              <w:spacing w:before="0" w:after="0" w:line="240" w:lineRule="auto"/>
              <w:jc w:val="left"/>
            </w:pPr>
            <w:r>
              <w:rPr>
                <w:rFonts w:ascii="Century Gothic" w:hAnsi="Century Gothic" w:cs="Century Gothic" w:eastAsia="Century Gothic"/>
                <w:b w:val="0"/>
                <w:i w:val="0"/>
                <w:sz w:val="20"/>
              </w:rPr>
              <w:t>3 asignaturas</w:t>
            </w:r>
          </w:p>
          <w:p>
            <w:pPr>
              <w:spacing w:before="0" w:after="0" w:line="240" w:lineRule="auto"/>
              <w:jc w:val="left"/>
            </w:pPr>
            <w:r>
              <w:rPr>
                <w:rFonts w:ascii="Century Gothic" w:hAnsi="Century Gothic" w:cs="Century Gothic" w:eastAsia="Century Gothic"/>
                <w:b w:val="0"/>
                <w:i w:val="0"/>
                <w:sz w:val="20"/>
              </w:rPr>
              <w:t>3 asignaturas</w:t>
            </w:r>
          </w:p>
          <w:p>
            <w:pPr>
              <w:spacing w:before="0" w:after="0" w:line="240" w:lineRule="auto"/>
              <w:jc w:val="left"/>
            </w:pPr>
            <w:r>
              <w:rPr>
                <w:rFonts w:ascii="Century Gothic" w:hAnsi="Century Gothic" w:cs="Century Gothic" w:eastAsia="Century Gothic"/>
                <w:b w:val="0"/>
                <w:i w:val="0"/>
                <w:sz w:val="20"/>
              </w:rPr>
              <w:t>5 asignaturas</w:t>
            </w:r>
          </w:p>
        </w:tc>
        <w:tc>
          <w:tcPr>
            <w:tcW w:type="dxa" w:w="151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480 hrs</w:t>
            </w:r>
          </w:p>
          <w:p>
            <w:pPr>
              <w:spacing w:before="0" w:after="0" w:line="240" w:lineRule="auto"/>
              <w:jc w:val="left"/>
            </w:pPr>
            <w:r>
              <w:rPr>
                <w:rFonts w:ascii="Century Gothic" w:hAnsi="Century Gothic" w:cs="Century Gothic" w:eastAsia="Century Gothic"/>
                <w:b w:val="0"/>
                <w:i w:val="0"/>
                <w:sz w:val="20"/>
              </w:rPr>
              <w:t>320 hrs</w:t>
            </w:r>
          </w:p>
          <w:p>
            <w:pPr>
              <w:spacing w:before="0" w:after="0" w:line="240" w:lineRule="auto"/>
              <w:jc w:val="left"/>
            </w:pPr>
            <w:r>
              <w:rPr>
                <w:rFonts w:ascii="Century Gothic" w:hAnsi="Century Gothic" w:cs="Century Gothic" w:eastAsia="Century Gothic"/>
                <w:b w:val="0"/>
                <w:i w:val="0"/>
                <w:sz w:val="20"/>
              </w:rPr>
              <w:t>480 nrs</w:t>
            </w:r>
          </w:p>
          <w:p>
            <w:pPr>
              <w:spacing w:before="0" w:after="0" w:line="240" w:lineRule="auto"/>
              <w:jc w:val="left"/>
            </w:pPr>
            <w:r>
              <w:rPr>
                <w:rFonts w:ascii="Century Gothic" w:hAnsi="Century Gothic" w:cs="Century Gothic" w:eastAsia="Century Gothic"/>
                <w:b w:val="0"/>
                <w:i w:val="0"/>
                <w:sz w:val="20"/>
              </w:rPr>
              <w:t>720 hrs</w:t>
            </w:r>
          </w:p>
        </w:tc>
        <w:tc>
          <w:tcPr>
            <w:tcW w:type="dxa" w:w="159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8,00%</w:t>
            </w:r>
          </w:p>
          <w:p>
            <w:pPr>
              <w:spacing w:before="0" w:after="0" w:line="240" w:lineRule="auto"/>
              <w:jc w:val="left"/>
            </w:pPr>
            <w:r>
              <w:rPr>
                <w:rFonts w:ascii="Century Gothic" w:hAnsi="Century Gothic" w:cs="Century Gothic" w:eastAsia="Century Gothic"/>
                <w:b w:val="0"/>
                <w:i w:val="0"/>
                <w:sz w:val="20"/>
              </w:rPr>
              <w:t>5,33%</w:t>
            </w:r>
          </w:p>
          <w:p>
            <w:pPr>
              <w:spacing w:before="0" w:after="0" w:line="240" w:lineRule="auto"/>
              <w:jc w:val="left"/>
            </w:pPr>
            <w:r>
              <w:rPr>
                <w:rFonts w:ascii="Century Gothic" w:hAnsi="Century Gothic" w:cs="Century Gothic" w:eastAsia="Century Gothic"/>
                <w:b w:val="0"/>
                <w:i w:val="0"/>
                <w:sz w:val="20"/>
              </w:rPr>
              <w:t>8,00%</w:t>
            </w:r>
          </w:p>
          <w:p>
            <w:pPr>
              <w:spacing w:before="0" w:after="0" w:line="240" w:lineRule="auto"/>
              <w:jc w:val="left"/>
            </w:pPr>
            <w:r>
              <w:rPr>
                <w:rFonts w:ascii="Century Gothic" w:hAnsi="Century Gothic" w:cs="Century Gothic" w:eastAsia="Century Gothic"/>
                <w:b w:val="0"/>
                <w:i w:val="0"/>
                <w:sz w:val="20"/>
              </w:rPr>
              <w:t>12,00%</w:t>
            </w:r>
          </w:p>
        </w:tc>
      </w:tr>
    </w:tbl>
    <w:p>
      <w:pPr>
        <w:spacing w:before="0" w:after="120" w:line="240" w:lineRule="auto"/>
        <w:jc w:val="left"/>
      </w:pPr>
    </w:p>
    <w:p>
      <w:pPr>
        <w:keepNext/>
        <w:tabs>
          <w:tab w:pos="709" w:val="left"/>
        </w:tabs>
        <w:spacing w:before="40" w:after="200" w:line="240" w:lineRule="auto"/>
        <w:ind w:left="709" w:hanging="709"/>
        <w:jc w:val="left"/>
      </w:pPr>
      <w:r>
        <w:rPr>
          <w:rFonts w:ascii="Century Gothic" w:hAnsi="Century Gothic" w:cs="Century Gothic" w:eastAsia="Century Gothic"/>
          <w:b/>
          <w:i w:val="0"/>
          <w:sz w:val="22"/>
        </w:rPr>
        <w:t>a.</w:t>
        <w:tab/>
      </w:r>
      <w:r>
        <w:rPr>
          <w:rFonts w:ascii="Century Gothic" w:hAnsi="Century Gothic" w:cs="Century Gothic" w:eastAsia="Century Gothic"/>
          <w:b/>
          <w:i w:val="0"/>
          <w:sz w:val="22"/>
        </w:rPr>
        <w:t>Áreas Troncales (Formativas Especializadas)</w:t>
      </w:r>
    </w:p>
    <w:p>
      <w:pPr>
        <w:numPr>
          <w:ilvl w:val="0"/>
          <w:numId w:val="984"/>
        </w:numPr>
        <w:spacing w:before="0" w:after="160" w:line="240" w:lineRule="auto"/>
        <w:jc w:val="both"/>
      </w:pPr>
      <w:r>
        <w:rPr>
          <w:rFonts w:ascii="Century Gothic" w:hAnsi="Century Gothic" w:cs="Century Gothic" w:eastAsia="Century Gothic"/>
          <w:b/>
          <w:i w:val="0"/>
          <w:sz w:val="20"/>
        </w:rPr>
        <w:t>Área de Información Financiera:</w:t>
      </w:r>
      <w:r>
        <w:rPr>
          <w:rFonts w:ascii="Century Gothic" w:hAnsi="Century Gothic" w:cs="Century Gothic" w:eastAsia="Century Gothic"/>
          <w:b w:val="0"/>
          <w:i w:val="0"/>
          <w:sz w:val="20"/>
        </w:rPr>
        <w:t xml:space="preserve"> Desarrolla las competencias para diseñar, operar y evaluar sistemas contables orientados a la preparación de estados financieros e informes de gestión en sectores comerciales, industriales, extractivos (minería/petróleo), agropecuarios, financieros, de seguros y gubernamentales. Incluye la integración de Sistemas ERP, análisis de datos contables e investigación formativa.</w:t>
      </w:r>
    </w:p>
    <w:p>
      <w:pPr>
        <w:numPr>
          <w:ilvl w:val="0"/>
          <w:numId w:val="984"/>
        </w:numPr>
        <w:spacing w:before="0" w:after="200" w:line="240" w:lineRule="auto"/>
        <w:jc w:val="both"/>
      </w:pPr>
      <w:r>
        <w:rPr>
          <w:rFonts w:ascii="Century Gothic" w:hAnsi="Century Gothic" w:cs="Century Gothic" w:eastAsia="Century Gothic"/>
          <w:b/>
          <w:i w:val="0"/>
          <w:sz w:val="20"/>
        </w:rPr>
        <w:t>Área de Servicios de Aseguramiento:</w:t>
      </w:r>
      <w:r>
        <w:rPr>
          <w:rFonts w:ascii="Century Gothic" w:hAnsi="Century Gothic" w:cs="Century Gothic" w:eastAsia="Century Gothic"/>
          <w:b w:val="0"/>
          <w:i w:val="0"/>
          <w:sz w:val="20"/>
        </w:rPr>
        <w:t xml:space="preserve"> Proporciona la formación avanzada en teoría del aseguramiento, control interno, auditoría financiera, gubernamental, operativa, tributaria, digital/ciberseguridad, ambiental/ESG, forense y proyectos, complementada con el Taller de Grado y la Ética e Independencia Profesional.</w:t>
      </w:r>
    </w:p>
    <w:p>
      <w:pPr>
        <w:keepNext/>
        <w:tabs>
          <w:tab w:pos="709" w:val="left"/>
        </w:tabs>
        <w:spacing w:before="40" w:after="200" w:line="240" w:lineRule="auto"/>
        <w:ind w:left="709" w:hanging="709"/>
        <w:jc w:val="left"/>
      </w:pPr>
      <w:r>
        <w:rPr>
          <w:rFonts w:ascii="Century Gothic" w:hAnsi="Century Gothic" w:cs="Century Gothic" w:eastAsia="Century Gothic"/>
          <w:b/>
          <w:i w:val="0"/>
          <w:sz w:val="22"/>
        </w:rPr>
        <w:t>b.</w:t>
        <w:tab/>
      </w:r>
      <w:r>
        <w:rPr>
          <w:rFonts w:ascii="Century Gothic" w:hAnsi="Century Gothic" w:cs="Century Gothic" w:eastAsia="Century Gothic"/>
          <w:b/>
          <w:i w:val="0"/>
          <w:sz w:val="22"/>
        </w:rPr>
        <w:t>Áreas Contextuales (Complementarias Multidisciplinarias)</w:t>
      </w:r>
    </w:p>
    <w:p>
      <w:pPr>
        <w:numPr>
          <w:ilvl w:val="0"/>
          <w:numId w:val="984"/>
        </w:numPr>
        <w:spacing w:before="0" w:after="160" w:line="240" w:lineRule="auto"/>
        <w:jc w:val="both"/>
      </w:pPr>
      <w:r>
        <w:rPr>
          <w:rFonts w:ascii="Century Gothic" w:hAnsi="Century Gothic" w:cs="Century Gothic" w:eastAsia="Century Gothic"/>
          <w:b/>
          <w:i w:val="0"/>
          <w:sz w:val="20"/>
        </w:rPr>
        <w:t>Área de Administración:</w:t>
      </w:r>
      <w:r>
        <w:rPr>
          <w:rFonts w:ascii="Century Gothic" w:hAnsi="Century Gothic" w:cs="Century Gothic" w:eastAsia="Century Gothic"/>
          <w:b w:val="0"/>
          <w:i w:val="0"/>
          <w:sz w:val="20"/>
        </w:rPr>
        <w:t xml:space="preserve"> Aporta la comprensión del comportamiento organizacional, la teoría administrativa, los sistemas gerenciales y la toma de decisiones.</w:t>
      </w:r>
    </w:p>
    <w:p>
      <w:pPr>
        <w:numPr>
          <w:ilvl w:val="0"/>
          <w:numId w:val="984"/>
        </w:numPr>
        <w:spacing w:before="0" w:after="160" w:line="240" w:lineRule="auto"/>
        <w:jc w:val="both"/>
      </w:pPr>
      <w:r>
        <w:rPr>
          <w:rFonts w:ascii="Century Gothic" w:hAnsi="Century Gothic" w:cs="Century Gothic" w:eastAsia="Century Gothic"/>
          <w:b/>
          <w:i w:val="0"/>
          <w:sz w:val="20"/>
        </w:rPr>
        <w:t>Área de Derecho:</w:t>
      </w:r>
      <w:r>
        <w:rPr>
          <w:rFonts w:ascii="Century Gothic" w:hAnsi="Century Gothic" w:cs="Century Gothic" w:eastAsia="Century Gothic"/>
          <w:b w:val="0"/>
          <w:i w:val="0"/>
          <w:sz w:val="20"/>
        </w:rPr>
        <w:t xml:space="preserve"> Garantiza el sustento jurídico en derecho comercial, corporativo, laboral, seguridad social, tributario y aduanero.</w:t>
      </w:r>
    </w:p>
    <w:p>
      <w:pPr>
        <w:numPr>
          <w:ilvl w:val="0"/>
          <w:numId w:val="984"/>
        </w:numPr>
        <w:spacing w:before="0" w:after="160" w:line="240" w:lineRule="auto"/>
        <w:jc w:val="both"/>
      </w:pPr>
      <w:r>
        <w:rPr>
          <w:rFonts w:ascii="Century Gothic" w:hAnsi="Century Gothic" w:cs="Century Gothic" w:eastAsia="Century Gothic"/>
          <w:b/>
          <w:i w:val="0"/>
          <w:sz w:val="20"/>
        </w:rPr>
        <w:t>Área de Economía:</w:t>
      </w:r>
      <w:r>
        <w:rPr>
          <w:rFonts w:ascii="Century Gothic" w:hAnsi="Century Gothic" w:cs="Century Gothic" w:eastAsia="Century Gothic"/>
          <w:b w:val="0"/>
          <w:i w:val="0"/>
          <w:sz w:val="20"/>
        </w:rPr>
        <w:t xml:space="preserve"> Proporciona el marco de análisis microeconómico, macroeconómico y la formulación y evaluación de proyectos de inversión.</w:t>
      </w:r>
    </w:p>
    <w:p>
      <w:pPr>
        <w:numPr>
          <w:ilvl w:val="0"/>
          <w:numId w:val="984"/>
        </w:numPr>
        <w:spacing w:before="0" w:after="200" w:line="240" w:lineRule="auto"/>
        <w:jc w:val="both"/>
      </w:pPr>
      <w:r>
        <w:rPr>
          <w:rFonts w:ascii="Century Gothic" w:hAnsi="Century Gothic" w:cs="Century Gothic" w:eastAsia="Century Gothic"/>
          <w:b/>
          <w:i w:val="0"/>
          <w:sz w:val="20"/>
        </w:rPr>
        <w:t>Área de Matemáticas:</w:t>
      </w:r>
      <w:r>
        <w:rPr>
          <w:rFonts w:ascii="Century Gothic" w:hAnsi="Century Gothic" w:cs="Century Gothic" w:eastAsia="Century Gothic"/>
          <w:b w:val="0"/>
          <w:i w:val="0"/>
          <w:sz w:val="20"/>
        </w:rPr>
        <w:t xml:space="preserve"> Desarrolla el razonamiento lógico-deductivo a través del cálculo, álgebra lineal, programación operativa, matemáticas financieras, estadística y matemática actuarial.</w:t>
      </w:r>
    </w:p>
    <w:p>
      <w:pPr>
        <w:keepNext/>
        <w:tabs>
          <w:tab w:pos="992" w:val="left"/>
        </w:tabs>
        <w:spacing w:before="80" w:after="200" w:line="240" w:lineRule="auto"/>
        <w:ind w:left="992" w:hanging="992"/>
        <w:jc w:val="left"/>
      </w:pPr>
      <w:r>
        <w:rPr>
          <w:rFonts w:ascii="Century Gothic" w:hAnsi="Century Gothic" w:cs="Century Gothic" w:eastAsia="Century Gothic"/>
          <w:b/>
          <w:i w:val="0"/>
          <w:sz w:val="22"/>
        </w:rPr>
        <w:t>4.4.1.2</w:t>
        <w:tab/>
      </w:r>
      <w:r>
        <w:rPr>
          <w:rFonts w:ascii="Century Gothic" w:hAnsi="Century Gothic" w:cs="Century Gothic" w:eastAsia="Century Gothic"/>
          <w:b/>
          <w:i w:val="0"/>
          <w:sz w:val="22"/>
        </w:rPr>
        <w:t>Clasificación de Asignaturas</w:t>
      </w:r>
    </w:p>
    <w:p>
      <w:pPr>
        <w:spacing w:before="0" w:after="200" w:line="240" w:lineRule="auto"/>
        <w:jc w:val="both"/>
      </w:pPr>
      <w:r>
        <w:rPr>
          <w:rFonts w:ascii="Century Gothic" w:hAnsi="Century Gothic" w:cs="Century Gothic" w:eastAsia="Century Gothic"/>
          <w:b w:val="0"/>
          <w:i w:val="0"/>
          <w:sz w:val="20"/>
        </w:rPr>
        <w:t xml:space="preserve">En cumplimiento de las resoluciones del Sistema de la Universidad Boliviana (SUB) y el modelo por competencias de la UMSA, el Plan de Estudios 2027 organiza sus </w:t>
      </w:r>
      <w:r>
        <w:rPr>
          <w:rFonts w:ascii="Century Gothic" w:hAnsi="Century Gothic" w:cs="Century Gothic" w:eastAsia="Century Gothic"/>
          <w:b/>
          <w:i w:val="0"/>
          <w:sz w:val="20"/>
        </w:rPr>
        <w:t>43 asignaturas</w:t>
      </w:r>
      <w:r>
        <w:rPr>
          <w:rFonts w:ascii="Century Gothic" w:hAnsi="Century Gothic" w:cs="Century Gothic" w:eastAsia="Century Gothic"/>
          <w:b w:val="0"/>
          <w:i w:val="0"/>
          <w:sz w:val="20"/>
        </w:rPr>
        <w:t xml:space="preserve"> en dos categorías funcionales:</w:t>
      </w:r>
    </w:p>
    <w:p>
      <w:pPr>
        <w:numPr>
          <w:ilvl w:val="0"/>
          <w:numId w:val="985"/>
        </w:numPr>
        <w:spacing w:before="0" w:after="160" w:line="240" w:lineRule="auto"/>
        <w:jc w:val="both"/>
      </w:pPr>
      <w:r>
        <w:rPr>
          <w:rFonts w:ascii="Century Gothic" w:hAnsi="Century Gothic" w:cs="Century Gothic" w:eastAsia="Century Gothic"/>
          <w:b/>
          <w:i w:val="0"/>
          <w:sz w:val="20"/>
        </w:rPr>
        <w:t>Asignaturas Troncales (Formativas Principales - 29 Asignaturas / 66.67%):</w:t>
      </w:r>
      <w:r>
        <w:rPr>
          <w:rFonts w:ascii="Century Gothic" w:hAnsi="Century Gothic" w:cs="Century Gothic" w:eastAsia="Century Gothic"/>
          <w:b w:val="0"/>
          <w:i w:val="0"/>
          <w:sz w:val="20"/>
        </w:rPr>
        <w:t xml:space="preserve"> Constituyen el núcleo duro e insustituible de la profesión en las áreas de </w:t>
      </w:r>
      <w:r>
        <w:rPr>
          <w:rFonts w:ascii="Century Gothic" w:hAnsi="Century Gothic" w:cs="Century Gothic" w:eastAsia="Century Gothic"/>
          <w:b/>
          <w:i w:val="0"/>
          <w:sz w:val="20"/>
        </w:rPr>
        <w:t>Información Financiera</w:t>
      </w:r>
      <w:r>
        <w:rPr>
          <w:rFonts w:ascii="Century Gothic" w:hAnsi="Century Gothic" w:cs="Century Gothic" w:eastAsia="Century Gothic"/>
          <w:b w:val="0"/>
          <w:i w:val="0"/>
          <w:sz w:val="20"/>
        </w:rPr>
        <w:t xml:space="preserve"> (16 materias / 2.400 horas) y </w:t>
      </w:r>
      <w:r>
        <w:rPr>
          <w:rFonts w:ascii="Century Gothic" w:hAnsi="Century Gothic" w:cs="Century Gothic" w:eastAsia="Century Gothic"/>
          <w:b/>
          <w:i w:val="0"/>
          <w:sz w:val="20"/>
        </w:rPr>
        <w:t>Servicios de Aseguramiento</w:t>
      </w:r>
      <w:r>
        <w:rPr>
          <w:rFonts w:ascii="Century Gothic" w:hAnsi="Century Gothic" w:cs="Century Gothic" w:eastAsia="Century Gothic"/>
          <w:b w:val="0"/>
          <w:i w:val="0"/>
          <w:sz w:val="20"/>
        </w:rPr>
        <w:t xml:space="preserve"> (13 materias / 1.600 horas), sumando un total de </w:t>
      </w:r>
      <w:r>
        <w:rPr>
          <w:rFonts w:ascii="Century Gothic" w:hAnsi="Century Gothic" w:cs="Century Gothic" w:eastAsia="Century Gothic"/>
          <w:b/>
          <w:i w:val="0"/>
          <w:sz w:val="20"/>
        </w:rPr>
        <w:t>4.000 horas académicas</w:t>
      </w:r>
      <w:r>
        <w:rPr>
          <w:rFonts w:ascii="Century Gothic" w:hAnsi="Century Gothic" w:cs="Century Gothic" w:eastAsia="Century Gothic"/>
          <w:b w:val="0"/>
          <w:i w:val="0"/>
          <w:sz w:val="20"/>
        </w:rPr>
        <w:t>.</w:t>
      </w:r>
    </w:p>
    <w:p>
      <w:pPr>
        <w:numPr>
          <w:ilvl w:val="0"/>
          <w:numId w:val="985"/>
        </w:numPr>
        <w:spacing w:before="0" w:after="200" w:line="240" w:lineRule="auto"/>
        <w:jc w:val="both"/>
      </w:pPr>
      <w:r>
        <w:rPr>
          <w:rFonts w:ascii="Century Gothic" w:hAnsi="Century Gothic" w:cs="Century Gothic" w:eastAsia="Century Gothic"/>
          <w:b/>
          <w:i w:val="0"/>
          <w:sz w:val="20"/>
        </w:rPr>
        <w:t>Asignaturas Contextuales (Complementarias - 14 Asignaturas / 32.33%):</w:t>
      </w:r>
      <w:r>
        <w:rPr>
          <w:rFonts w:ascii="Century Gothic" w:hAnsi="Century Gothic" w:cs="Century Gothic" w:eastAsia="Century Gothic"/>
          <w:b w:val="0"/>
          <w:i w:val="0"/>
          <w:sz w:val="20"/>
        </w:rPr>
        <w:t xml:space="preserve"> Proveen el sustento multidisciplinario e interdisciplinario indispensable en </w:t>
      </w:r>
      <w:r>
        <w:rPr>
          <w:rFonts w:ascii="Century Gothic" w:hAnsi="Century Gothic" w:cs="Century Gothic" w:eastAsia="Century Gothic"/>
          <w:b/>
          <w:i w:val="0"/>
          <w:sz w:val="20"/>
        </w:rPr>
        <w:t>Administración</w:t>
      </w:r>
      <w:r>
        <w:rPr>
          <w:rFonts w:ascii="Century Gothic" w:hAnsi="Century Gothic" w:cs="Century Gothic" w:eastAsia="Century Gothic"/>
          <w:b w:val="0"/>
          <w:i w:val="0"/>
          <w:sz w:val="20"/>
        </w:rPr>
        <w:t xml:space="preserve"> (3 materias / 480 horas), </w:t>
      </w:r>
      <w:r>
        <w:rPr>
          <w:rFonts w:ascii="Century Gothic" w:hAnsi="Century Gothic" w:cs="Century Gothic" w:eastAsia="Century Gothic"/>
          <w:b/>
          <w:i w:val="0"/>
          <w:sz w:val="20"/>
        </w:rPr>
        <w:t>Derecho</w:t>
      </w:r>
      <w:r>
        <w:rPr>
          <w:rFonts w:ascii="Century Gothic" w:hAnsi="Century Gothic" w:cs="Century Gothic" w:eastAsia="Century Gothic"/>
          <w:b w:val="0"/>
          <w:i w:val="0"/>
          <w:sz w:val="20"/>
        </w:rPr>
        <w:t xml:space="preserve"> (3 materias / 320 horas), </w:t>
      </w:r>
      <w:r>
        <w:rPr>
          <w:rFonts w:ascii="Century Gothic" w:hAnsi="Century Gothic" w:cs="Century Gothic" w:eastAsia="Century Gothic"/>
          <w:b/>
          <w:i w:val="0"/>
          <w:sz w:val="20"/>
        </w:rPr>
        <w:t>Economía</w:t>
      </w:r>
      <w:r>
        <w:rPr>
          <w:rFonts w:ascii="Century Gothic" w:hAnsi="Century Gothic" w:cs="Century Gothic" w:eastAsia="Century Gothic"/>
          <w:b w:val="0"/>
          <w:i w:val="0"/>
          <w:sz w:val="20"/>
        </w:rPr>
        <w:t xml:space="preserve"> (3 materias / 480 horas) y </w:t>
      </w:r>
      <w:r>
        <w:rPr>
          <w:rFonts w:ascii="Century Gothic" w:hAnsi="Century Gothic" w:cs="Century Gothic" w:eastAsia="Century Gothic"/>
          <w:b/>
          <w:i w:val="0"/>
          <w:sz w:val="20"/>
        </w:rPr>
        <w:t>Matemáticas</w:t>
      </w:r>
      <w:r>
        <w:rPr>
          <w:rFonts w:ascii="Century Gothic" w:hAnsi="Century Gothic" w:cs="Century Gothic" w:eastAsia="Century Gothic"/>
          <w:b w:val="0"/>
          <w:i w:val="0"/>
          <w:sz w:val="20"/>
        </w:rPr>
        <w:t xml:space="preserve"> (5 materias / 720 horas), completando </w:t>
      </w:r>
      <w:r>
        <w:rPr>
          <w:rFonts w:ascii="Century Gothic" w:hAnsi="Century Gothic" w:cs="Century Gothic" w:eastAsia="Century Gothic"/>
          <w:b/>
          <w:i w:val="0"/>
          <w:sz w:val="20"/>
        </w:rPr>
        <w:t>2.000 horas académicas.</w:t>
      </w:r>
    </w:p>
    <w:p>
      <w:pPr>
        <w:keepNext/>
        <w:tabs>
          <w:tab w:pos="992" w:val="left"/>
        </w:tabs>
        <w:spacing w:before="80" w:after="200" w:line="240" w:lineRule="auto"/>
        <w:ind w:left="992" w:hanging="992"/>
        <w:jc w:val="left"/>
      </w:pPr>
      <w:r>
        <w:rPr>
          <w:rFonts w:ascii="Century Gothic" w:hAnsi="Century Gothic" w:cs="Century Gothic" w:eastAsia="Century Gothic"/>
          <w:b/>
          <w:i w:val="0"/>
          <w:sz w:val="22"/>
        </w:rPr>
        <w:t>4.4.1.3</w:t>
        <w:tab/>
      </w:r>
      <w:r>
        <w:rPr>
          <w:rFonts w:ascii="Century Gothic" w:hAnsi="Century Gothic" w:cs="Century Gothic" w:eastAsia="Century Gothic"/>
          <w:b/>
          <w:i w:val="0"/>
          <w:sz w:val="22"/>
        </w:rPr>
        <w:t>Ejes Transversales del Plan de Estudios 2027</w:t>
      </w:r>
    </w:p>
    <w:p>
      <w:pPr>
        <w:spacing w:before="0" w:after="200" w:line="240" w:lineRule="auto"/>
        <w:jc w:val="both"/>
      </w:pPr>
      <w:r>
        <w:rPr>
          <w:rFonts w:ascii="Century Gothic" w:hAnsi="Century Gothic" w:cs="Century Gothic" w:eastAsia="Century Gothic"/>
          <w:b w:val="0"/>
          <w:i w:val="0"/>
          <w:sz w:val="20"/>
        </w:rPr>
        <w:t>La malla curricular articula cuatro ejes transversales que atraviesan los cinco años de formación:</w:t>
      </w:r>
    </w:p>
    <w:p>
      <w:pPr>
        <w:numPr>
          <w:ilvl w:val="0"/>
          <w:numId w:val="986"/>
        </w:numPr>
        <w:spacing w:before="0" w:after="160" w:line="240" w:lineRule="auto"/>
        <w:jc w:val="both"/>
      </w:pPr>
      <w:r>
        <w:rPr>
          <w:rFonts w:ascii="Century Gothic" w:hAnsi="Century Gothic" w:cs="Century Gothic" w:eastAsia="Century Gothic"/>
          <w:b/>
          <w:i w:val="0"/>
          <w:sz w:val="20"/>
        </w:rPr>
        <w:t>Tecnología e Inteligencia de Negocios:</w:t>
      </w:r>
      <w:r>
        <w:rPr>
          <w:rFonts w:ascii="Century Gothic" w:hAnsi="Century Gothic" w:cs="Century Gothic" w:eastAsia="Century Gothic"/>
          <w:b w:val="0"/>
          <w:i w:val="0"/>
          <w:sz w:val="20"/>
        </w:rPr>
        <w:t xml:space="preserve"> Transita desde CPA-102 Herramientas Digitales, pasando por CPA-305 Sistemas ERP y Analítica de Datos hasta CPA-505 Auditoría Digital y Ciberseguridad.</w:t>
      </w:r>
    </w:p>
    <w:p>
      <w:pPr>
        <w:numPr>
          <w:ilvl w:val="0"/>
          <w:numId w:val="986"/>
        </w:numPr>
        <w:spacing w:before="0" w:after="160" w:line="240" w:lineRule="auto"/>
        <w:jc w:val="both"/>
      </w:pPr>
      <w:r>
        <w:rPr>
          <w:rFonts w:ascii="Century Gothic" w:hAnsi="Century Gothic" w:cs="Century Gothic" w:eastAsia="Century Gothic"/>
          <w:b/>
          <w:i w:val="0"/>
          <w:sz w:val="20"/>
        </w:rPr>
        <w:t>Sostenibilidad y Reportes ESG:</w:t>
      </w:r>
      <w:r>
        <w:rPr>
          <w:rFonts w:ascii="Century Gothic" w:hAnsi="Century Gothic" w:cs="Century Gothic" w:eastAsia="Century Gothic"/>
          <w:b w:val="0"/>
          <w:i w:val="0"/>
          <w:sz w:val="20"/>
        </w:rPr>
        <w:t xml:space="preserve"> Articula el marco de las Normas NIIF de Sostenibilidad del ISSB e ISSA 5000 en la materia CPA-506 y en los contenidos de contabilidad de gestión.</w:t>
      </w:r>
    </w:p>
    <w:p>
      <w:pPr>
        <w:numPr>
          <w:ilvl w:val="0"/>
          <w:numId w:val="986"/>
        </w:numPr>
        <w:spacing w:before="0" w:after="160" w:line="240" w:lineRule="auto"/>
        <w:jc w:val="both"/>
      </w:pPr>
      <w:r>
        <w:rPr>
          <w:rFonts w:ascii="Century Gothic" w:hAnsi="Century Gothic" w:cs="Century Gothic" w:eastAsia="Century Gothic"/>
          <w:b/>
          <w:i w:val="0"/>
          <w:sz w:val="20"/>
        </w:rPr>
        <w:t>Ética Profesional e Independencia:</w:t>
      </w:r>
      <w:r>
        <w:rPr>
          <w:rFonts w:ascii="Century Gothic" w:hAnsi="Century Gothic" w:cs="Century Gothic" w:eastAsia="Century Gothic"/>
          <w:b w:val="0"/>
          <w:i w:val="0"/>
          <w:sz w:val="20"/>
        </w:rPr>
        <w:t xml:space="preserve"> Impartida con carácter obligatorio e insustituible en CPA-406 bajo el Código Internacional de Ética del IESBA.</w:t>
      </w:r>
    </w:p>
    <w:p>
      <w:pPr>
        <w:numPr>
          <w:ilvl w:val="0"/>
          <w:numId w:val="986"/>
        </w:numPr>
        <w:spacing w:before="0" w:after="200" w:line="240" w:lineRule="auto"/>
        <w:jc w:val="both"/>
      </w:pPr>
      <w:r>
        <w:rPr>
          <w:rFonts w:ascii="Century Gothic" w:hAnsi="Century Gothic" w:cs="Century Gothic" w:eastAsia="Century Gothic"/>
          <w:b/>
          <w:i w:val="0"/>
          <w:sz w:val="20"/>
        </w:rPr>
        <w:t>Investigación Formativa e Integración:</w:t>
      </w:r>
      <w:r>
        <w:rPr>
          <w:rFonts w:ascii="Century Gothic" w:hAnsi="Century Gothic" w:cs="Century Gothic" w:eastAsia="Century Gothic"/>
          <w:b w:val="0"/>
          <w:i w:val="0"/>
          <w:sz w:val="20"/>
        </w:rPr>
        <w:t xml:space="preserve"> Guiada metodológicamente por CPA-204 Métodos de Investigación y culminada en CPA-510 Taller de Grado.</w:t>
      </w:r>
    </w:p>
    <w:p>
      <w:pPr>
        <w:keepNext/>
        <w:tabs>
          <w:tab w:pos="709" w:val="left"/>
        </w:tabs>
        <w:spacing w:before="120" w:after="200" w:line="240" w:lineRule="auto"/>
        <w:ind w:left="709" w:hanging="709"/>
        <w:jc w:val="left"/>
      </w:pPr>
      <w:r>
        <w:rPr>
          <w:rFonts w:ascii="Century Gothic" w:hAnsi="Century Gothic" w:cs="Century Gothic" w:eastAsia="Century Gothic"/>
          <w:b/>
          <w:i w:val="0"/>
          <w:sz w:val="24"/>
        </w:rPr>
        <w:t>4.4.2</w:t>
        <w:tab/>
      </w:r>
      <w:r>
        <w:rPr>
          <w:rFonts w:ascii="Century Gothic" w:hAnsi="Century Gothic" w:cs="Century Gothic" w:eastAsia="Century Gothic"/>
          <w:b/>
          <w:i w:val="0"/>
          <w:sz w:val="24"/>
        </w:rPr>
        <w:t>Mapa de competencia (competencia y unidades de competencia)</w:t>
      </w:r>
    </w:p>
    <w:p>
      <w:pPr>
        <w:keepNext/>
        <w:tabs>
          <w:tab w:pos="992" w:val="left"/>
        </w:tabs>
        <w:spacing w:before="80" w:after="200" w:line="240" w:lineRule="auto"/>
        <w:ind w:left="992" w:hanging="992"/>
        <w:jc w:val="left"/>
      </w:pPr>
      <w:r>
        <w:rPr>
          <w:rFonts w:ascii="Century Gothic" w:hAnsi="Century Gothic" w:cs="Century Gothic" w:eastAsia="Century Gothic"/>
          <w:b/>
          <w:i w:val="0"/>
          <w:sz w:val="22"/>
        </w:rPr>
        <w:t>4.4.2.1</w:t>
        <w:tab/>
      </w:r>
      <w:r>
        <w:rPr>
          <w:rFonts w:ascii="Century Gothic" w:hAnsi="Century Gothic" w:cs="Century Gothic" w:eastAsia="Century Gothic"/>
          <w:b/>
          <w:i w:val="0"/>
          <w:sz w:val="22"/>
        </w:rPr>
        <w:t>Estructuración Integrada por Atributos del Egresado (Mapa de Competencias)</w:t>
      </w:r>
    </w:p>
    <w:p>
      <w:pPr>
        <w:spacing w:before="0" w:after="200" w:line="240" w:lineRule="auto"/>
        <w:jc w:val="both"/>
      </w:pPr>
      <w:r>
        <w:rPr>
          <w:rFonts w:ascii="Century Gothic" w:hAnsi="Century Gothic" w:cs="Century Gothic" w:eastAsia="Century Gothic"/>
          <w:b w:val="0"/>
          <w:i w:val="0"/>
          <w:sz w:val="20"/>
        </w:rPr>
        <w:t>Conforme al Reglamento de Innovación Curricular de la UMSA (Resolución HCU 032/2025) y los acuerdos del Sistema de la Universidad Boliviana (Resolución Nº 07/2024 de la VI Conferencia Nacional de Universidades), el perfil se operacionaliza en tres ejes de atributos integrados:</w:t>
      </w:r>
    </w:p>
    <w:p>
      <w:pPr>
        <w:keepNext/>
        <w:spacing w:before="40" w:after="200" w:line="240" w:lineRule="auto"/>
        <w:jc w:val="left"/>
      </w:pPr>
      <w:r>
        <w:rPr>
          <w:rFonts w:ascii="Century Gothic" w:hAnsi="Century Gothic" w:cs="Century Gothic" w:eastAsia="Century Gothic"/>
          <w:b/>
          <w:i w:val="0"/>
          <w:sz w:val="22"/>
        </w:rPr>
        <w:t>Atributos del Egresado – Mapa de Competencias</w:t>
      </w:r>
    </w:p>
    <w:tbl>
      <w:tblPr>
        <w:tblW w:type="auto" w:w="0"/>
        <w:jc w:val="center"/>
        <w:tblLayout w:type="fixed"/>
        <w:tblLook w:firstColumn="1" w:firstRow="1" w:lastColumn="0" w:lastRow="0" w:noHBand="0" w:noVBand="1" w:val="04A0"/>
      </w:tblPr>
      <w:tblGrid>
        <w:gridCol w:w="9071"/>
      </w:tblGrid>
      <w:tr>
        <w:tc>
          <w:tcPr>
            <w:tcW w:type="dxa" w:w="9071"/>
            <w:tcBorders>
              <w:top w:val="single" w:sz="4" w:space="0" w:color="8EAADB"/>
              <w:left w:val="single" w:sz="4" w:space="0" w:color="8EAADB"/>
              <w:bottom w:val="single" w:sz="4" w:space="0" w:color="8EAADB"/>
              <w:right w:val="single" w:sz="4" w:space="0" w:color="8EAADB"/>
            </w:tcBorders>
            <w:shd w:val="clear" w:color="auto" w:fill="D9E2F3"/>
            <w:vAlign w:val="top"/>
          </w:tcPr>
          <w:p>
            <w:pPr>
              <w:tabs>
                <w:tab w:pos="255" w:val="left"/>
              </w:tabs>
              <w:spacing w:before="0" w:after="0" w:line="240" w:lineRule="auto"/>
              <w:ind w:left="255" w:hanging="255"/>
              <w:jc w:val="left"/>
            </w:pPr>
            <w:r>
              <w:rPr>
                <w:rFonts w:ascii="Century Gothic" w:hAnsi="Century Gothic" w:cs="Century Gothic" w:eastAsia="Century Gothic"/>
                <w:sz w:val="20"/>
              </w:rPr>
              <w:t>▪</w:t>
              <w:tab/>
            </w:r>
            <w:r>
              <w:rPr>
                <w:rFonts w:ascii="Century Gothic" w:hAnsi="Century Gothic" w:cs="Century Gothic" w:eastAsia="Century Gothic"/>
                <w:b/>
                <w:i w:val="0"/>
                <w:sz w:val="20"/>
              </w:rPr>
              <w:t>Atributos Académico - Disciplinares (Saber Conocer)</w:t>
            </w:r>
          </w:p>
          <w:p>
            <w:pPr>
              <w:tabs>
                <w:tab w:pos="255" w:val="left"/>
              </w:tabs>
              <w:spacing w:before="0" w:after="0" w:line="240" w:lineRule="auto"/>
              <w:ind w:left="255" w:hanging="255"/>
              <w:jc w:val="left"/>
            </w:pPr>
            <w:r>
              <w:rPr>
                <w:rFonts w:ascii="Century Gothic" w:hAnsi="Century Gothic" w:cs="Century Gothic" w:eastAsia="Century Gothic"/>
                <w:sz w:val="20"/>
              </w:rPr>
              <w:t>▪</w:t>
              <w:tab/>
            </w:r>
            <w:r>
              <w:rPr>
                <w:rFonts w:ascii="Century Gothic" w:hAnsi="Century Gothic" w:cs="Century Gothic" w:eastAsia="Century Gothic"/>
                <w:b w:val="0"/>
                <w:i w:val="0"/>
                <w:sz w:val="20"/>
              </w:rPr>
              <w:t>Dominio de marcos contables nacionales e internacionales (NCGA, Normas NIIF de Contabilidad, NIIF para las PYMES, Sistema de Contabilidad Gubernamental Integrado y NICSP) para la emisión de estados financieros e informes de gestión de entidades públicas y privadas.</w:t>
            </w:r>
          </w:p>
          <w:p>
            <w:pPr>
              <w:tabs>
                <w:tab w:pos="255" w:val="left"/>
              </w:tabs>
              <w:spacing w:before="0" w:after="0" w:line="240" w:lineRule="auto"/>
              <w:ind w:left="255" w:hanging="255"/>
              <w:jc w:val="left"/>
            </w:pPr>
            <w:r>
              <w:rPr>
                <w:rFonts w:ascii="Century Gothic" w:hAnsi="Century Gothic" w:cs="Century Gothic" w:eastAsia="Century Gothic"/>
                <w:sz w:val="20"/>
              </w:rPr>
              <w:t>▪</w:t>
              <w:tab/>
            </w:r>
            <w:r>
              <w:rPr>
                <w:rFonts w:ascii="Century Gothic" w:hAnsi="Century Gothic" w:cs="Century Gothic" w:eastAsia="Century Gothic"/>
                <w:b w:val="0"/>
                <w:i w:val="0"/>
                <w:sz w:val="20"/>
              </w:rPr>
              <w:t>Solvencia en el manejo de normas de auditoría y aseguramiento (NAGA, Normas de Auditoría Gubernamental de la CGR e ISSAI, NIA, NIEA, NISR y NIAS) para emitir informes independientes sobre información financiera y no financiera.</w:t>
            </w:r>
          </w:p>
          <w:p>
            <w:pPr>
              <w:tabs>
                <w:tab w:pos="255" w:val="left"/>
              </w:tabs>
              <w:spacing w:before="0" w:after="0" w:line="240" w:lineRule="auto"/>
              <w:ind w:left="255" w:hanging="255"/>
              <w:jc w:val="left"/>
            </w:pPr>
            <w:r>
              <w:rPr>
                <w:rFonts w:ascii="Century Gothic" w:hAnsi="Century Gothic" w:cs="Century Gothic" w:eastAsia="Century Gothic"/>
                <w:sz w:val="20"/>
              </w:rPr>
              <w:t>▪</w:t>
              <w:tab/>
            </w:r>
            <w:r>
              <w:rPr>
                <w:rFonts w:ascii="Century Gothic" w:hAnsi="Century Gothic" w:cs="Century Gothic" w:eastAsia="Century Gothic"/>
                <w:b w:val="0"/>
                <w:i w:val="0"/>
                <w:sz w:val="20"/>
              </w:rPr>
              <w:t>Especialización en legislación fiscal, tributación, precios de transferencia y marcos legal-comerciales y laborales bolivianos.</w:t>
            </w:r>
          </w:p>
          <w:p>
            <w:pPr>
              <w:tabs>
                <w:tab w:pos="255" w:val="left"/>
              </w:tabs>
              <w:spacing w:before="0" w:after="0" w:line="240" w:lineRule="auto"/>
              <w:ind w:left="255" w:hanging="255"/>
              <w:jc w:val="left"/>
            </w:pPr>
            <w:r>
              <w:rPr>
                <w:rFonts w:ascii="Century Gothic" w:hAnsi="Century Gothic" w:cs="Century Gothic" w:eastAsia="Century Gothic"/>
                <w:sz w:val="20"/>
              </w:rPr>
              <w:t>▪</w:t>
              <w:tab/>
            </w:r>
            <w:r>
              <w:rPr>
                <w:rFonts w:ascii="Century Gothic" w:hAnsi="Century Gothic" w:cs="Century Gothic" w:eastAsia="Century Gothic"/>
                <w:b w:val="0"/>
                <w:i w:val="0"/>
                <w:sz w:val="20"/>
              </w:rPr>
              <w:t>Comprensión de modelos de finanzas corporativas, valoración de proyectos, control interno (COSO), gestión de riesgos (ERM), gobernanza digital y Normas NIIF de Sostenibilidad.</w:t>
            </w:r>
          </w:p>
        </w:tc>
      </w:tr>
      <w:tr>
        <w:tc>
          <w:tcPr>
            <w:tcW w:type="dxa" w:w="9071"/>
            <w:tcBorders>
              <w:top w:val="single" w:sz="4" w:space="0" w:color="8EAADB"/>
              <w:left w:val="single" w:sz="4" w:space="0" w:color="8EAADB"/>
              <w:bottom w:val="single" w:sz="4" w:space="0" w:color="8EAADB"/>
              <w:right w:val="single" w:sz="4" w:space="0" w:color="8EAADB"/>
            </w:tcBorders>
            <w:shd w:val="clear" w:color="auto" w:fill="D9E2F3"/>
            <w:vAlign w:val="top"/>
          </w:tcPr>
          <w:p>
            <w:pPr>
              <w:tabs>
                <w:tab w:pos="255" w:val="left"/>
              </w:tabs>
              <w:spacing w:before="0" w:after="0" w:line="240" w:lineRule="auto"/>
              <w:ind w:left="255" w:hanging="255"/>
              <w:jc w:val="left"/>
            </w:pPr>
            <w:r>
              <w:rPr>
                <w:rFonts w:ascii="Century Gothic" w:hAnsi="Century Gothic" w:cs="Century Gothic" w:eastAsia="Century Gothic"/>
                <w:sz w:val="20"/>
              </w:rPr>
              <w:t>▪</w:t>
              <w:tab/>
            </w:r>
            <w:r>
              <w:rPr>
                <w:rFonts w:ascii="Century Gothic" w:hAnsi="Century Gothic" w:cs="Century Gothic" w:eastAsia="Century Gothic"/>
                <w:b/>
                <w:i w:val="0"/>
                <w:sz w:val="20"/>
              </w:rPr>
              <w:t>Atributos Técnico – Digitales y de Innovación (Saber Hacer)</w:t>
            </w:r>
          </w:p>
          <w:p>
            <w:pPr>
              <w:tabs>
                <w:tab w:pos="255" w:val="left"/>
              </w:tabs>
              <w:spacing w:before="0" w:after="0" w:line="240" w:lineRule="auto"/>
              <w:ind w:left="255" w:hanging="255"/>
              <w:jc w:val="left"/>
            </w:pPr>
            <w:r>
              <w:rPr>
                <w:rFonts w:ascii="Century Gothic" w:hAnsi="Century Gothic" w:cs="Century Gothic" w:eastAsia="Century Gothic"/>
                <w:sz w:val="20"/>
              </w:rPr>
              <w:t>▪</w:t>
              <w:tab/>
            </w:r>
            <w:r>
              <w:rPr>
                <w:rFonts w:ascii="Century Gothic" w:hAnsi="Century Gothic" w:cs="Century Gothic" w:eastAsia="Century Gothic"/>
                <w:b w:val="0"/>
                <w:i w:val="0"/>
                <w:sz w:val="20"/>
              </w:rPr>
              <w:t>Operación procedimental de sistemas ERP (SAP, Oracle, Odoo), software contable y plataformas tributarias del Servicio de Impuestos Nacionales (SIN).</w:t>
            </w:r>
          </w:p>
          <w:p>
            <w:pPr>
              <w:tabs>
                <w:tab w:pos="255" w:val="left"/>
              </w:tabs>
              <w:spacing w:before="0" w:after="0" w:line="240" w:lineRule="auto"/>
              <w:ind w:left="255" w:hanging="255"/>
              <w:jc w:val="left"/>
            </w:pPr>
            <w:r>
              <w:rPr>
                <w:rFonts w:ascii="Century Gothic" w:hAnsi="Century Gothic" w:cs="Century Gothic" w:eastAsia="Century Gothic"/>
                <w:sz w:val="20"/>
              </w:rPr>
              <w:t>▪</w:t>
              <w:tab/>
            </w:r>
            <w:r>
              <w:rPr>
                <w:rFonts w:ascii="Century Gothic" w:hAnsi="Century Gothic" w:cs="Century Gothic" w:eastAsia="Century Gothic"/>
                <w:b w:val="0"/>
                <w:i w:val="0"/>
                <w:sz w:val="20"/>
              </w:rPr>
              <w:t>Destreza en Business Intelligence (Power BI/Tableau), analítica cuantitativa (Python/R) y soluciones de Inteligencia Artificial para análisis de datos y detección de anomalías o fraude.</w:t>
            </w:r>
          </w:p>
          <w:p>
            <w:pPr>
              <w:tabs>
                <w:tab w:pos="255" w:val="left"/>
              </w:tabs>
              <w:spacing w:before="0" w:after="0" w:line="240" w:lineRule="auto"/>
              <w:ind w:left="255" w:hanging="255"/>
              <w:jc w:val="left"/>
            </w:pPr>
            <w:r>
              <w:rPr>
                <w:rFonts w:ascii="Century Gothic" w:hAnsi="Century Gothic" w:cs="Century Gothic" w:eastAsia="Century Gothic"/>
                <w:sz w:val="20"/>
              </w:rPr>
              <w:t>▪</w:t>
              <w:tab/>
            </w:r>
            <w:r>
              <w:rPr>
                <w:rFonts w:ascii="Century Gothic" w:hAnsi="Century Gothic" w:cs="Century Gothic" w:eastAsia="Century Gothic"/>
                <w:b w:val="0"/>
                <w:i w:val="0"/>
                <w:sz w:val="20"/>
              </w:rPr>
              <w:t>Capacidad para ejecutar auditorías basadas en riesgos, pruebas con CAATTs, auditoría forense, peritajes contables y auditorías de ciberseguridad.</w:t>
            </w:r>
          </w:p>
          <w:p>
            <w:pPr>
              <w:tabs>
                <w:tab w:pos="255" w:val="left"/>
              </w:tabs>
              <w:spacing w:before="0" w:after="0" w:line="240" w:lineRule="auto"/>
              <w:ind w:left="255" w:hanging="255"/>
              <w:jc w:val="left"/>
            </w:pPr>
            <w:r>
              <w:rPr>
                <w:rFonts w:ascii="Century Gothic" w:hAnsi="Century Gothic" w:cs="Century Gothic" w:eastAsia="Century Gothic"/>
                <w:sz w:val="20"/>
              </w:rPr>
              <w:t>▪</w:t>
              <w:tab/>
            </w:r>
            <w:r>
              <w:rPr>
                <w:rFonts w:ascii="Century Gothic" w:hAnsi="Century Gothic" w:cs="Century Gothic" w:eastAsia="Century Gothic"/>
                <w:b w:val="0"/>
                <w:i w:val="0"/>
                <w:sz w:val="20"/>
              </w:rPr>
              <w:t>Competencia para elaborar y auditar informes de sostenibilidad bajo NIEA 3000 y NIAS 5000.</w:t>
            </w:r>
          </w:p>
        </w:tc>
      </w:tr>
      <w:tr>
        <w:tc>
          <w:tcPr>
            <w:tcW w:type="dxa" w:w="9071"/>
            <w:tcBorders>
              <w:top w:val="single" w:sz="4" w:space="0" w:color="8EAADB"/>
              <w:left w:val="single" w:sz="4" w:space="0" w:color="8EAADB"/>
              <w:bottom w:val="single" w:sz="4" w:space="0" w:color="8EAADB"/>
              <w:right w:val="single" w:sz="4" w:space="0" w:color="8EAADB"/>
            </w:tcBorders>
            <w:shd w:val="clear" w:color="auto" w:fill="D9E2F3"/>
            <w:vAlign w:val="top"/>
          </w:tcPr>
          <w:p>
            <w:pPr>
              <w:tabs>
                <w:tab w:pos="255" w:val="left"/>
              </w:tabs>
              <w:spacing w:before="0" w:after="0" w:line="240" w:lineRule="auto"/>
              <w:ind w:left="255" w:hanging="255"/>
              <w:jc w:val="left"/>
            </w:pPr>
            <w:r>
              <w:rPr>
                <w:rFonts w:ascii="Century Gothic" w:hAnsi="Century Gothic" w:cs="Century Gothic" w:eastAsia="Century Gothic"/>
                <w:sz w:val="20"/>
              </w:rPr>
              <w:t>▪</w:t>
              <w:tab/>
            </w:r>
            <w:r>
              <w:rPr>
                <w:rFonts w:ascii="Century Gothic" w:hAnsi="Century Gothic" w:cs="Century Gothic" w:eastAsia="Century Gothic"/>
                <w:b/>
                <w:i w:val="0"/>
                <w:sz w:val="20"/>
              </w:rPr>
              <w:t>Atributos Éticos, Socioemocionales y de Responsabilidad Pública (Saber Ser / Convivir)</w:t>
            </w:r>
          </w:p>
          <w:p>
            <w:pPr>
              <w:tabs>
                <w:tab w:pos="255" w:val="left"/>
              </w:tabs>
              <w:spacing w:before="0" w:after="0" w:line="240" w:lineRule="auto"/>
              <w:ind w:left="255" w:hanging="255"/>
              <w:jc w:val="left"/>
            </w:pPr>
            <w:r>
              <w:rPr>
                <w:rFonts w:ascii="Century Gothic" w:hAnsi="Century Gothic" w:cs="Century Gothic" w:eastAsia="Century Gothic"/>
                <w:sz w:val="20"/>
              </w:rPr>
              <w:t>▪</w:t>
              <w:tab/>
            </w:r>
            <w:r>
              <w:rPr>
                <w:rFonts w:ascii="Century Gothic" w:hAnsi="Century Gothic" w:cs="Century Gothic" w:eastAsia="Century Gothic"/>
                <w:b w:val="0"/>
                <w:i w:val="0"/>
                <w:sz w:val="20"/>
              </w:rPr>
              <w:t>Compromiso inquebrantable con la integridad, objetividad, confidencialidad e independencia de criterio conforme al Código Internacional de Ética del IESBA.</w:t>
            </w:r>
          </w:p>
          <w:p>
            <w:pPr>
              <w:tabs>
                <w:tab w:pos="255" w:val="left"/>
              </w:tabs>
              <w:spacing w:before="0" w:after="0" w:line="240" w:lineRule="auto"/>
              <w:ind w:left="255" w:hanging="255"/>
              <w:jc w:val="left"/>
            </w:pPr>
            <w:r>
              <w:rPr>
                <w:rFonts w:ascii="Century Gothic" w:hAnsi="Century Gothic" w:cs="Century Gothic" w:eastAsia="Century Gothic"/>
                <w:sz w:val="20"/>
              </w:rPr>
              <w:t>▪</w:t>
              <w:tab/>
            </w:r>
            <w:r>
              <w:rPr>
                <w:rFonts w:ascii="Century Gothic" w:hAnsi="Century Gothic" w:cs="Century Gothic" w:eastAsia="Century Gothic"/>
                <w:b w:val="0"/>
                <w:i w:val="0"/>
                <w:sz w:val="20"/>
              </w:rPr>
              <w:t>Ejercicio del juicio profesional guiado por el pensamiento crítico, la investigación aplicada y el enfoque del pensamiento complejo (contexto, globalidad, multidimensionalidad y complejidad).</w:t>
            </w:r>
          </w:p>
          <w:p>
            <w:pPr>
              <w:tabs>
                <w:tab w:pos="255" w:val="left"/>
              </w:tabs>
              <w:spacing w:before="0" w:after="0" w:line="240" w:lineRule="auto"/>
              <w:ind w:left="255" w:hanging="255"/>
              <w:jc w:val="left"/>
            </w:pPr>
            <w:r>
              <w:rPr>
                <w:rFonts w:ascii="Century Gothic" w:hAnsi="Century Gothic" w:cs="Century Gothic" w:eastAsia="Century Gothic"/>
                <w:sz w:val="20"/>
              </w:rPr>
              <w:t>▪</w:t>
              <w:tab/>
            </w:r>
            <w:r>
              <w:rPr>
                <w:rFonts w:ascii="Century Gothic" w:hAnsi="Century Gothic" w:cs="Century Gothic" w:eastAsia="Century Gothic"/>
                <w:b w:val="0"/>
                <w:i w:val="0"/>
                <w:sz w:val="20"/>
              </w:rPr>
              <w:t>Adaptabilidad y agilidad profesional ante reformas normativas, tecnológicas y económicas.</w:t>
            </w:r>
          </w:p>
          <w:p>
            <w:pPr>
              <w:tabs>
                <w:tab w:pos="255" w:val="left"/>
              </w:tabs>
              <w:spacing w:before="0" w:after="0" w:line="240" w:lineRule="auto"/>
              <w:ind w:left="255" w:hanging="255"/>
              <w:jc w:val="left"/>
            </w:pPr>
            <w:r>
              <w:rPr>
                <w:rFonts w:ascii="Century Gothic" w:hAnsi="Century Gothic" w:cs="Century Gothic" w:eastAsia="Century Gothic"/>
                <w:sz w:val="20"/>
              </w:rPr>
              <w:t>▪</w:t>
              <w:tab/>
            </w:r>
            <w:r>
              <w:rPr>
                <w:rFonts w:ascii="Century Gothic" w:hAnsi="Century Gothic" w:cs="Century Gothic" w:eastAsia="Century Gothic"/>
                <w:b w:val="0"/>
                <w:i w:val="0"/>
                <w:sz w:val="20"/>
              </w:rPr>
              <w:t>Liderazgo adaptativo, trabajo en equipos multidisciplinarios y comunicación asertiva en español e inglés técnico contable.</w:t>
            </w:r>
          </w:p>
        </w:tc>
      </w:tr>
    </w:tbl>
    <w:p>
      <w:pPr>
        <w:spacing w:before="0" w:after="120" w:line="240" w:lineRule="auto"/>
        <w:jc w:val="left"/>
      </w:pPr>
    </w:p>
    <w:p>
      <w:pPr>
        <w:keepNext/>
        <w:tabs>
          <w:tab w:pos="709" w:val="left"/>
        </w:tabs>
        <w:spacing w:before="120" w:after="200" w:line="240" w:lineRule="auto"/>
        <w:ind w:left="709" w:hanging="709"/>
        <w:jc w:val="left"/>
      </w:pPr>
      <w:r>
        <w:rPr>
          <w:rFonts w:ascii="Century Gothic" w:hAnsi="Century Gothic" w:cs="Century Gothic" w:eastAsia="Century Gothic"/>
          <w:b/>
          <w:i w:val="0"/>
          <w:sz w:val="24"/>
        </w:rPr>
        <w:t>4.4.3</w:t>
        <w:tab/>
      </w:r>
      <w:r>
        <w:rPr>
          <w:rFonts w:ascii="Century Gothic" w:hAnsi="Century Gothic" w:cs="Century Gothic" w:eastAsia="Century Gothic"/>
          <w:b/>
          <w:i w:val="0"/>
          <w:sz w:val="24"/>
        </w:rPr>
        <w:t>Malla curricular (siglas, nombres de la asignatura, carga horaria, créditos, prerrequisitos) por ciclos y semestres/año</w:t>
      </w:r>
    </w:p>
    <w:p>
      <w:pPr>
        <w:keepNext/>
        <w:tabs>
          <w:tab w:pos="992" w:val="left"/>
        </w:tabs>
        <w:spacing w:before="80" w:after="200" w:line="240" w:lineRule="auto"/>
        <w:ind w:left="992" w:hanging="992"/>
        <w:jc w:val="left"/>
      </w:pPr>
      <w:r>
        <w:rPr>
          <w:rFonts w:ascii="Century Gothic" w:hAnsi="Century Gothic" w:cs="Century Gothic" w:eastAsia="Century Gothic"/>
          <w:b/>
          <w:i w:val="0"/>
          <w:sz w:val="22"/>
        </w:rPr>
        <w:t>4.4.3.1</w:t>
        <w:tab/>
      </w:r>
      <w:r>
        <w:rPr>
          <w:rFonts w:ascii="Century Gothic" w:hAnsi="Century Gothic" w:cs="Century Gothic" w:eastAsia="Century Gothic"/>
          <w:b/>
          <w:i w:val="0"/>
          <w:sz w:val="22"/>
        </w:rPr>
        <w:t>Malla Curricular 2027 (Plan de Estudios Oficial CPA – UMSA)</w:t>
      </w:r>
    </w:p>
    <w:p>
      <w:pPr>
        <w:spacing w:before="0" w:after="200" w:line="240" w:lineRule="auto"/>
        <w:jc w:val="both"/>
      </w:pPr>
      <w:r>
        <w:rPr>
          <w:rFonts w:ascii="Century Gothic" w:hAnsi="Century Gothic" w:cs="Century Gothic" w:eastAsia="Century Gothic"/>
          <w:b w:val="0"/>
          <w:i w:val="0"/>
          <w:sz w:val="20"/>
        </w:rPr>
        <w:t xml:space="preserve">A continuación, se detalla la estructura secuencial de las 43 asignaturas del </w:t>
      </w:r>
      <w:r>
        <w:rPr>
          <w:rFonts w:ascii="Century Gothic" w:hAnsi="Century Gothic" w:cs="Century Gothic" w:eastAsia="Century Gothic"/>
          <w:b/>
          <w:i w:val="0"/>
          <w:sz w:val="20"/>
        </w:rPr>
        <w:t>Plan de Estudios 2027:</w:t>
      </w:r>
    </w:p>
    <w:tbl>
      <w:tblPr>
        <w:tblW w:type="auto" w:w="0"/>
        <w:jc w:val="center"/>
        <w:tblLayout w:type="fixed"/>
        <w:tblLook w:firstColumn="1" w:firstRow="1" w:lastColumn="0" w:lastRow="0" w:noHBand="0" w:noVBand="1" w:val="04A0"/>
      </w:tblPr>
      <w:tblGrid>
        <w:gridCol w:w="1850"/>
        <w:gridCol w:w="2962"/>
        <w:gridCol w:w="1668"/>
        <w:gridCol w:w="1295"/>
        <w:gridCol w:w="1295"/>
      </w:tblGrid>
      <w:tr>
        <w:trPr>
          <w:tblHeader/>
        </w:trPr>
        <w:tc>
          <w:tcPr>
            <w:tcW w:type="dxa" w:w="9070"/>
            <w:gridSpan w:val="5"/>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Primer Año</w:t>
            </w:r>
          </w:p>
        </w:tc>
      </w:tr>
      <w:tr>
        <w:tc>
          <w:tcPr>
            <w:tcW w:type="dxa" w:w="1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i w:val="0"/>
                <w:sz w:val="20"/>
              </w:rPr>
              <w:t>Código</w:t>
            </w:r>
          </w:p>
        </w:tc>
        <w:tc>
          <w:tcPr>
            <w:tcW w:type="dxa" w:w="296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i w:val="0"/>
                <w:sz w:val="20"/>
              </w:rPr>
              <w:t>Asignatura</w:t>
            </w:r>
          </w:p>
        </w:tc>
        <w:tc>
          <w:tcPr>
            <w:tcW w:type="dxa" w:w="16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i w:val="0"/>
                <w:sz w:val="20"/>
              </w:rPr>
              <w:t>Prerrequisito</w:t>
            </w:r>
          </w:p>
        </w:tc>
        <w:tc>
          <w:tcPr>
            <w:tcW w:type="dxa" w:w="129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i w:val="0"/>
                <w:sz w:val="20"/>
              </w:rPr>
              <w:t>Hrs/Sem</w:t>
            </w:r>
          </w:p>
        </w:tc>
        <w:tc>
          <w:tcPr>
            <w:tcW w:type="dxa" w:w="129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i w:val="0"/>
                <w:sz w:val="20"/>
              </w:rPr>
              <w:t>Hrs/Año</w:t>
            </w:r>
          </w:p>
        </w:tc>
      </w:tr>
      <w:tr>
        <w:tc>
          <w:tcPr>
            <w:tcW w:type="dxa" w:w="1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CPA-101</w:t>
            </w:r>
          </w:p>
        </w:tc>
        <w:tc>
          <w:tcPr>
            <w:tcW w:type="dxa" w:w="296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Contabilidad Básica</w:t>
            </w:r>
          </w:p>
        </w:tc>
        <w:tc>
          <w:tcPr>
            <w:tcW w:type="dxa" w:w="16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AE, CPF o PSA</w:t>
            </w:r>
          </w:p>
        </w:tc>
        <w:tc>
          <w:tcPr>
            <w:tcW w:type="dxa" w:w="129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4</w:t>
            </w:r>
          </w:p>
        </w:tc>
        <w:tc>
          <w:tcPr>
            <w:tcW w:type="dxa" w:w="129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160</w:t>
            </w:r>
          </w:p>
        </w:tc>
      </w:tr>
      <w:tr>
        <w:tc>
          <w:tcPr>
            <w:tcW w:type="dxa" w:w="1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CPA-102</w:t>
            </w:r>
          </w:p>
        </w:tc>
        <w:tc>
          <w:tcPr>
            <w:tcW w:type="dxa" w:w="296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Tecnologías de Información y Herramientas</w:t>
            </w:r>
          </w:p>
          <w:p>
            <w:pPr>
              <w:spacing w:before="0" w:after="0" w:line="240" w:lineRule="auto"/>
              <w:jc w:val="left"/>
            </w:pPr>
            <w:r>
              <w:rPr>
                <w:rFonts w:ascii="Century Gothic" w:hAnsi="Century Gothic" w:cs="Century Gothic" w:eastAsia="Century Gothic"/>
                <w:b w:val="0"/>
                <w:i w:val="0"/>
                <w:sz w:val="20"/>
              </w:rPr>
              <w:t>Digitales</w:t>
            </w:r>
          </w:p>
        </w:tc>
        <w:tc>
          <w:tcPr>
            <w:tcW w:type="dxa" w:w="16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AE, CPF o PSA</w:t>
            </w:r>
          </w:p>
        </w:tc>
        <w:tc>
          <w:tcPr>
            <w:tcW w:type="dxa" w:w="129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2</w:t>
            </w:r>
          </w:p>
        </w:tc>
        <w:tc>
          <w:tcPr>
            <w:tcW w:type="dxa" w:w="129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80</w:t>
            </w:r>
          </w:p>
        </w:tc>
      </w:tr>
      <w:tr>
        <w:tc>
          <w:tcPr>
            <w:tcW w:type="dxa" w:w="1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ADM-101</w:t>
            </w:r>
          </w:p>
        </w:tc>
        <w:tc>
          <w:tcPr>
            <w:tcW w:type="dxa" w:w="296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Administración General</w:t>
            </w:r>
          </w:p>
        </w:tc>
        <w:tc>
          <w:tcPr>
            <w:tcW w:type="dxa" w:w="16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AE, CPF o PSA</w:t>
            </w:r>
          </w:p>
        </w:tc>
        <w:tc>
          <w:tcPr>
            <w:tcW w:type="dxa" w:w="129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4</w:t>
            </w:r>
          </w:p>
        </w:tc>
        <w:tc>
          <w:tcPr>
            <w:tcW w:type="dxa" w:w="129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160</w:t>
            </w:r>
          </w:p>
        </w:tc>
      </w:tr>
      <w:tr>
        <w:tc>
          <w:tcPr>
            <w:tcW w:type="dxa" w:w="1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DER-101</w:t>
            </w:r>
          </w:p>
        </w:tc>
        <w:tc>
          <w:tcPr>
            <w:tcW w:type="dxa" w:w="296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Derecho Comercial y Corporativo</w:t>
            </w:r>
          </w:p>
        </w:tc>
        <w:tc>
          <w:tcPr>
            <w:tcW w:type="dxa" w:w="16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AE, CPF o PSA</w:t>
            </w:r>
          </w:p>
        </w:tc>
        <w:tc>
          <w:tcPr>
            <w:tcW w:type="dxa" w:w="129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2</w:t>
            </w:r>
          </w:p>
        </w:tc>
        <w:tc>
          <w:tcPr>
            <w:tcW w:type="dxa" w:w="129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80</w:t>
            </w:r>
          </w:p>
        </w:tc>
      </w:tr>
      <w:tr>
        <w:tc>
          <w:tcPr>
            <w:tcW w:type="dxa" w:w="1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DER-102</w:t>
            </w:r>
          </w:p>
        </w:tc>
        <w:tc>
          <w:tcPr>
            <w:tcW w:type="dxa" w:w="296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Derecho Laboral y Seguridad Social</w:t>
            </w:r>
          </w:p>
        </w:tc>
        <w:tc>
          <w:tcPr>
            <w:tcW w:type="dxa" w:w="16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AE, CPF o PSA</w:t>
            </w:r>
          </w:p>
        </w:tc>
        <w:tc>
          <w:tcPr>
            <w:tcW w:type="dxa" w:w="129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2</w:t>
            </w:r>
          </w:p>
        </w:tc>
        <w:tc>
          <w:tcPr>
            <w:tcW w:type="dxa" w:w="129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80</w:t>
            </w:r>
          </w:p>
        </w:tc>
      </w:tr>
      <w:tr>
        <w:tc>
          <w:tcPr>
            <w:tcW w:type="dxa" w:w="1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ECO-101</w:t>
            </w:r>
          </w:p>
        </w:tc>
        <w:tc>
          <w:tcPr>
            <w:tcW w:type="dxa" w:w="296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Microeconomía</w:t>
            </w:r>
          </w:p>
        </w:tc>
        <w:tc>
          <w:tcPr>
            <w:tcW w:type="dxa" w:w="16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AE, CPF o PSA</w:t>
            </w:r>
          </w:p>
        </w:tc>
        <w:tc>
          <w:tcPr>
            <w:tcW w:type="dxa" w:w="129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4</w:t>
            </w:r>
          </w:p>
        </w:tc>
        <w:tc>
          <w:tcPr>
            <w:tcW w:type="dxa" w:w="129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160</w:t>
            </w:r>
          </w:p>
        </w:tc>
      </w:tr>
      <w:tr>
        <w:tc>
          <w:tcPr>
            <w:tcW w:type="dxa" w:w="1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MAT-101</w:t>
            </w:r>
          </w:p>
        </w:tc>
        <w:tc>
          <w:tcPr>
            <w:tcW w:type="dxa" w:w="296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Cálculo</w:t>
            </w:r>
          </w:p>
        </w:tc>
        <w:tc>
          <w:tcPr>
            <w:tcW w:type="dxa" w:w="16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AE, CPF o PSA</w:t>
            </w:r>
          </w:p>
        </w:tc>
        <w:tc>
          <w:tcPr>
            <w:tcW w:type="dxa" w:w="129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4</w:t>
            </w:r>
          </w:p>
        </w:tc>
        <w:tc>
          <w:tcPr>
            <w:tcW w:type="dxa" w:w="129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160</w:t>
            </w:r>
          </w:p>
        </w:tc>
      </w:tr>
      <w:tr>
        <w:tc>
          <w:tcPr>
            <w:tcW w:type="dxa" w:w="1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MAT-102</w:t>
            </w:r>
          </w:p>
        </w:tc>
        <w:tc>
          <w:tcPr>
            <w:tcW w:type="dxa" w:w="296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Matemáticas Financieras</w:t>
            </w:r>
          </w:p>
        </w:tc>
        <w:tc>
          <w:tcPr>
            <w:tcW w:type="dxa" w:w="16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AE, CPF o PSA</w:t>
            </w:r>
          </w:p>
        </w:tc>
        <w:tc>
          <w:tcPr>
            <w:tcW w:type="dxa" w:w="129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4</w:t>
            </w:r>
          </w:p>
        </w:tc>
        <w:tc>
          <w:tcPr>
            <w:tcW w:type="dxa" w:w="129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160</w:t>
            </w:r>
          </w:p>
        </w:tc>
      </w:tr>
      <w:tr>
        <w:tc>
          <w:tcPr>
            <w:tcW w:type="dxa" w:w="185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i w:val="0"/>
                <w:sz w:val="20"/>
              </w:rPr>
              <w:t>Total Primer Año</w:t>
            </w:r>
          </w:p>
        </w:tc>
        <w:tc>
          <w:tcPr>
            <w:tcW w:type="dxa" w:w="296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i w:val="0"/>
                <w:sz w:val="20"/>
              </w:rPr>
              <w:t>26</w:t>
            </w:r>
          </w:p>
        </w:tc>
        <w:tc>
          <w:tcPr>
            <w:tcW w:type="dxa" w:w="16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i w:val="0"/>
                <w:sz w:val="20"/>
              </w:rPr>
              <w:t>1.040</w:t>
            </w:r>
          </w:p>
        </w:tc>
        <w:tc>
          <w:tcPr>
            <w:tcW w:type="dxa" w:w="129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p>
        </w:tc>
        <w:tc>
          <w:tcPr>
            <w:tcW w:type="dxa" w:w="129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p>
        </w:tc>
      </w:tr>
    </w:tbl>
    <w:p>
      <w:pPr>
        <w:spacing w:before="0" w:after="120" w:line="240" w:lineRule="auto"/>
        <w:jc w:val="left"/>
      </w:pPr>
    </w:p>
    <w:tbl>
      <w:tblPr>
        <w:tblW w:type="auto" w:w="0"/>
        <w:jc w:val="center"/>
        <w:tblLayout w:type="fixed"/>
        <w:tblLook w:firstColumn="1" w:firstRow="1" w:lastColumn="0" w:lastRow="0" w:noHBand="0" w:noVBand="1" w:val="04A0"/>
      </w:tblPr>
      <w:tblGrid>
        <w:gridCol w:w="1727"/>
        <w:gridCol w:w="3324"/>
        <w:gridCol w:w="1675"/>
        <w:gridCol w:w="1173"/>
        <w:gridCol w:w="1173"/>
      </w:tblGrid>
      <w:tr>
        <w:trPr>
          <w:tblHeader/>
        </w:trPr>
        <w:tc>
          <w:tcPr>
            <w:tcW w:type="dxa" w:w="9072"/>
            <w:gridSpan w:val="5"/>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Segundo Año</w:t>
            </w:r>
          </w:p>
        </w:tc>
      </w:tr>
      <w:tr>
        <w:tc>
          <w:tcPr>
            <w:tcW w:type="dxa" w:w="172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i w:val="0"/>
                <w:sz w:val="20"/>
              </w:rPr>
              <w:t>Código</w:t>
            </w:r>
          </w:p>
        </w:tc>
        <w:tc>
          <w:tcPr>
            <w:tcW w:type="dxa" w:w="33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i w:val="0"/>
                <w:sz w:val="20"/>
              </w:rPr>
              <w:t>Asignatura</w:t>
            </w:r>
          </w:p>
        </w:tc>
        <w:tc>
          <w:tcPr>
            <w:tcW w:type="dxa" w:w="16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i w:val="0"/>
                <w:sz w:val="20"/>
              </w:rPr>
              <w:t>Prerrequisito</w:t>
            </w:r>
          </w:p>
        </w:tc>
        <w:tc>
          <w:tcPr>
            <w:tcW w:type="dxa" w:w="117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i w:val="0"/>
                <w:sz w:val="20"/>
              </w:rPr>
              <w:t>Hrs/Sem</w:t>
            </w:r>
          </w:p>
        </w:tc>
        <w:tc>
          <w:tcPr>
            <w:tcW w:type="dxa" w:w="117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i w:val="0"/>
                <w:sz w:val="20"/>
              </w:rPr>
              <w:t>Hrs/Año</w:t>
            </w:r>
          </w:p>
        </w:tc>
      </w:tr>
      <w:tr>
        <w:tc>
          <w:tcPr>
            <w:tcW w:type="dxa" w:w="172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CPA-201</w:t>
            </w:r>
          </w:p>
        </w:tc>
        <w:tc>
          <w:tcPr>
            <w:tcW w:type="dxa" w:w="33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Contabilidad Intermedia</w:t>
            </w:r>
          </w:p>
        </w:tc>
        <w:tc>
          <w:tcPr>
            <w:tcW w:type="dxa" w:w="16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CPA-101</w:t>
            </w:r>
          </w:p>
        </w:tc>
        <w:tc>
          <w:tcPr>
            <w:tcW w:type="dxa" w:w="117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4</w:t>
            </w:r>
          </w:p>
        </w:tc>
        <w:tc>
          <w:tcPr>
            <w:tcW w:type="dxa" w:w="117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160</w:t>
            </w:r>
          </w:p>
        </w:tc>
      </w:tr>
      <w:tr>
        <w:tc>
          <w:tcPr>
            <w:tcW w:type="dxa" w:w="172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CPA-202</w:t>
            </w:r>
          </w:p>
        </w:tc>
        <w:tc>
          <w:tcPr>
            <w:tcW w:type="dxa" w:w="33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Contabilidad de Sociedades</w:t>
            </w:r>
          </w:p>
        </w:tc>
        <w:tc>
          <w:tcPr>
            <w:tcW w:type="dxa" w:w="16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CPA-101</w:t>
            </w:r>
          </w:p>
        </w:tc>
        <w:tc>
          <w:tcPr>
            <w:tcW w:type="dxa" w:w="117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4</w:t>
            </w:r>
          </w:p>
        </w:tc>
        <w:tc>
          <w:tcPr>
            <w:tcW w:type="dxa" w:w="117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160</w:t>
            </w:r>
          </w:p>
        </w:tc>
      </w:tr>
      <w:tr>
        <w:tc>
          <w:tcPr>
            <w:tcW w:type="dxa" w:w="172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CPA-203</w:t>
            </w:r>
          </w:p>
        </w:tc>
        <w:tc>
          <w:tcPr>
            <w:tcW w:type="dxa" w:w="33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Contabilidad de Tributos</w:t>
            </w:r>
          </w:p>
        </w:tc>
        <w:tc>
          <w:tcPr>
            <w:tcW w:type="dxa" w:w="16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CPA-101</w:t>
            </w:r>
          </w:p>
        </w:tc>
        <w:tc>
          <w:tcPr>
            <w:tcW w:type="dxa" w:w="117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4</w:t>
            </w:r>
          </w:p>
        </w:tc>
        <w:tc>
          <w:tcPr>
            <w:tcW w:type="dxa" w:w="117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160</w:t>
            </w:r>
          </w:p>
        </w:tc>
      </w:tr>
      <w:tr>
        <w:tc>
          <w:tcPr>
            <w:tcW w:type="dxa" w:w="172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CPA-204</w:t>
            </w:r>
          </w:p>
        </w:tc>
        <w:tc>
          <w:tcPr>
            <w:tcW w:type="dxa" w:w="33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Métodos y Técnicas de Investigación</w:t>
            </w:r>
          </w:p>
        </w:tc>
        <w:tc>
          <w:tcPr>
            <w:tcW w:type="dxa" w:w="16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CPA-101</w:t>
            </w:r>
          </w:p>
        </w:tc>
        <w:tc>
          <w:tcPr>
            <w:tcW w:type="dxa" w:w="117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2</w:t>
            </w:r>
          </w:p>
        </w:tc>
        <w:tc>
          <w:tcPr>
            <w:tcW w:type="dxa" w:w="117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80</w:t>
            </w:r>
          </w:p>
        </w:tc>
      </w:tr>
      <w:tr>
        <w:tc>
          <w:tcPr>
            <w:tcW w:type="dxa" w:w="172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ADM-201</w:t>
            </w:r>
          </w:p>
        </w:tc>
        <w:tc>
          <w:tcPr>
            <w:tcW w:type="dxa" w:w="33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Administración de Sistemas Gerenciales</w:t>
            </w:r>
          </w:p>
        </w:tc>
        <w:tc>
          <w:tcPr>
            <w:tcW w:type="dxa" w:w="16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ADM-101</w:t>
            </w:r>
          </w:p>
        </w:tc>
        <w:tc>
          <w:tcPr>
            <w:tcW w:type="dxa" w:w="117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4</w:t>
            </w:r>
          </w:p>
        </w:tc>
        <w:tc>
          <w:tcPr>
            <w:tcW w:type="dxa" w:w="117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160</w:t>
            </w:r>
          </w:p>
        </w:tc>
      </w:tr>
      <w:tr>
        <w:tc>
          <w:tcPr>
            <w:tcW w:type="dxa" w:w="172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DER-201</w:t>
            </w:r>
          </w:p>
        </w:tc>
        <w:tc>
          <w:tcPr>
            <w:tcW w:type="dxa" w:w="33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Derecho Tributario y Legislación Aduanera</w:t>
            </w:r>
          </w:p>
        </w:tc>
        <w:tc>
          <w:tcPr>
            <w:tcW w:type="dxa" w:w="16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DER-101, DER-102</w:t>
            </w:r>
          </w:p>
        </w:tc>
        <w:tc>
          <w:tcPr>
            <w:tcW w:type="dxa" w:w="117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4</w:t>
            </w:r>
          </w:p>
        </w:tc>
        <w:tc>
          <w:tcPr>
            <w:tcW w:type="dxa" w:w="117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160</w:t>
            </w:r>
          </w:p>
        </w:tc>
      </w:tr>
      <w:tr>
        <w:tc>
          <w:tcPr>
            <w:tcW w:type="dxa" w:w="172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ECO-201</w:t>
            </w:r>
          </w:p>
        </w:tc>
        <w:tc>
          <w:tcPr>
            <w:tcW w:type="dxa" w:w="33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Macroeconomía</w:t>
            </w:r>
          </w:p>
        </w:tc>
        <w:tc>
          <w:tcPr>
            <w:tcW w:type="dxa" w:w="16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ECO-101</w:t>
            </w:r>
          </w:p>
        </w:tc>
        <w:tc>
          <w:tcPr>
            <w:tcW w:type="dxa" w:w="117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4</w:t>
            </w:r>
          </w:p>
        </w:tc>
        <w:tc>
          <w:tcPr>
            <w:tcW w:type="dxa" w:w="117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160</w:t>
            </w:r>
          </w:p>
        </w:tc>
      </w:tr>
      <w:tr>
        <w:tc>
          <w:tcPr>
            <w:tcW w:type="dxa" w:w="172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MAT-201</w:t>
            </w:r>
          </w:p>
        </w:tc>
        <w:tc>
          <w:tcPr>
            <w:tcW w:type="dxa" w:w="33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Álgebra Lineal y Programación Operativa Aplicada a los Negocios</w:t>
            </w:r>
          </w:p>
        </w:tc>
        <w:tc>
          <w:tcPr>
            <w:tcW w:type="dxa" w:w="16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MAT-101</w:t>
            </w:r>
          </w:p>
        </w:tc>
        <w:tc>
          <w:tcPr>
            <w:tcW w:type="dxa" w:w="117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4</w:t>
            </w:r>
          </w:p>
        </w:tc>
        <w:tc>
          <w:tcPr>
            <w:tcW w:type="dxa" w:w="117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160</w:t>
            </w:r>
          </w:p>
        </w:tc>
      </w:tr>
      <w:tr>
        <w:tc>
          <w:tcPr>
            <w:tcW w:type="dxa" w:w="172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i w:val="0"/>
                <w:sz w:val="20"/>
              </w:rPr>
              <w:t>Total Segundo Año</w:t>
            </w:r>
          </w:p>
        </w:tc>
        <w:tc>
          <w:tcPr>
            <w:tcW w:type="dxa" w:w="33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i w:val="0"/>
                <w:sz w:val="20"/>
              </w:rPr>
              <w:t>30</w:t>
            </w:r>
          </w:p>
        </w:tc>
        <w:tc>
          <w:tcPr>
            <w:tcW w:type="dxa" w:w="16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i w:val="0"/>
                <w:sz w:val="20"/>
              </w:rPr>
              <w:t>1.200</w:t>
            </w:r>
          </w:p>
        </w:tc>
        <w:tc>
          <w:tcPr>
            <w:tcW w:type="dxa" w:w="117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p>
        </w:tc>
        <w:tc>
          <w:tcPr>
            <w:tcW w:type="dxa" w:w="117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p>
        </w:tc>
      </w:tr>
    </w:tbl>
    <w:p>
      <w:pPr>
        <w:spacing w:before="0" w:after="120" w:line="240" w:lineRule="auto"/>
        <w:jc w:val="left"/>
      </w:pPr>
    </w:p>
    <w:tbl>
      <w:tblPr>
        <w:tblW w:type="auto" w:w="0"/>
        <w:jc w:val="center"/>
        <w:tblLayout w:type="fixed"/>
        <w:tblLook w:firstColumn="1" w:firstRow="1" w:lastColumn="0" w:lastRow="0" w:noHBand="0" w:noVBand="1" w:val="04A0"/>
      </w:tblPr>
      <w:tblGrid>
        <w:gridCol w:w="1579"/>
        <w:gridCol w:w="2980"/>
        <w:gridCol w:w="2302"/>
        <w:gridCol w:w="1105"/>
        <w:gridCol w:w="1105"/>
      </w:tblGrid>
      <w:tr>
        <w:trPr>
          <w:tblHeader/>
        </w:trPr>
        <w:tc>
          <w:tcPr>
            <w:tcW w:type="dxa" w:w="9071"/>
            <w:gridSpan w:val="5"/>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Tercer Año</w:t>
            </w:r>
          </w:p>
        </w:tc>
      </w:tr>
      <w:tr>
        <w:tc>
          <w:tcPr>
            <w:tcW w:type="dxa" w:w="15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i w:val="0"/>
                <w:sz w:val="20"/>
              </w:rPr>
              <w:t>Código</w:t>
            </w:r>
          </w:p>
        </w:tc>
        <w:tc>
          <w:tcPr>
            <w:tcW w:type="dxa" w:w="298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i w:val="0"/>
                <w:sz w:val="20"/>
              </w:rPr>
              <w:t>Asignatura</w:t>
            </w:r>
          </w:p>
        </w:tc>
        <w:tc>
          <w:tcPr>
            <w:tcW w:type="dxa" w:w="230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i w:val="0"/>
                <w:sz w:val="20"/>
              </w:rPr>
              <w:t>Prerrequisito</w:t>
            </w:r>
          </w:p>
        </w:tc>
        <w:tc>
          <w:tcPr>
            <w:tcW w:type="dxa" w:w="110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i w:val="0"/>
                <w:sz w:val="20"/>
              </w:rPr>
              <w:t>Hrs/Sem</w:t>
            </w:r>
          </w:p>
        </w:tc>
        <w:tc>
          <w:tcPr>
            <w:tcW w:type="dxa" w:w="110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i w:val="0"/>
                <w:sz w:val="20"/>
              </w:rPr>
              <w:t>Hrs/Año</w:t>
            </w:r>
          </w:p>
        </w:tc>
      </w:tr>
      <w:tr>
        <w:tc>
          <w:tcPr>
            <w:tcW w:type="dxa" w:w="15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CPA-301</w:t>
            </w:r>
          </w:p>
        </w:tc>
        <w:tc>
          <w:tcPr>
            <w:tcW w:type="dxa" w:w="298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Contabilidad Internacional</w:t>
            </w:r>
          </w:p>
        </w:tc>
        <w:tc>
          <w:tcPr>
            <w:tcW w:type="dxa" w:w="230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CPA-201, CPA-202, CPA-203</w:t>
            </w:r>
          </w:p>
        </w:tc>
        <w:tc>
          <w:tcPr>
            <w:tcW w:type="dxa" w:w="110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4</w:t>
            </w:r>
          </w:p>
        </w:tc>
        <w:tc>
          <w:tcPr>
            <w:tcW w:type="dxa" w:w="110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160</w:t>
            </w:r>
          </w:p>
        </w:tc>
      </w:tr>
      <w:tr>
        <w:tc>
          <w:tcPr>
            <w:tcW w:type="dxa" w:w="15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CPA-302</w:t>
            </w:r>
          </w:p>
        </w:tc>
        <w:tc>
          <w:tcPr>
            <w:tcW w:type="dxa" w:w="298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Contabilidad de Costos y Gestión</w:t>
            </w:r>
          </w:p>
        </w:tc>
        <w:tc>
          <w:tcPr>
            <w:tcW w:type="dxa" w:w="230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CPA-201, CPA-202, CPA-203</w:t>
            </w:r>
          </w:p>
        </w:tc>
        <w:tc>
          <w:tcPr>
            <w:tcW w:type="dxa" w:w="110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4</w:t>
            </w:r>
          </w:p>
        </w:tc>
        <w:tc>
          <w:tcPr>
            <w:tcW w:type="dxa" w:w="110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160</w:t>
            </w:r>
          </w:p>
        </w:tc>
      </w:tr>
      <w:tr>
        <w:tc>
          <w:tcPr>
            <w:tcW w:type="dxa" w:w="15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CPA-303</w:t>
            </w:r>
          </w:p>
        </w:tc>
        <w:tc>
          <w:tcPr>
            <w:tcW w:type="dxa" w:w="298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Contabilidad de Bancos y Entidades Financieras</w:t>
            </w:r>
          </w:p>
        </w:tc>
        <w:tc>
          <w:tcPr>
            <w:tcW w:type="dxa" w:w="230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CPA-201, CPA-202, CPA-203</w:t>
            </w:r>
          </w:p>
        </w:tc>
        <w:tc>
          <w:tcPr>
            <w:tcW w:type="dxa" w:w="110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4</w:t>
            </w:r>
          </w:p>
        </w:tc>
        <w:tc>
          <w:tcPr>
            <w:tcW w:type="dxa" w:w="110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160</w:t>
            </w:r>
          </w:p>
        </w:tc>
      </w:tr>
      <w:tr>
        <w:tc>
          <w:tcPr>
            <w:tcW w:type="dxa" w:w="15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CPA-304</w:t>
            </w:r>
          </w:p>
        </w:tc>
        <w:tc>
          <w:tcPr>
            <w:tcW w:type="dxa" w:w="298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Contabilidad y Presupuestos Gubernamental</w:t>
            </w:r>
          </w:p>
        </w:tc>
        <w:tc>
          <w:tcPr>
            <w:tcW w:type="dxa" w:w="230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CPA-201, CPA-202, CPA-203</w:t>
            </w:r>
          </w:p>
        </w:tc>
        <w:tc>
          <w:tcPr>
            <w:tcW w:type="dxa" w:w="110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4</w:t>
            </w:r>
          </w:p>
        </w:tc>
        <w:tc>
          <w:tcPr>
            <w:tcW w:type="dxa" w:w="110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160</w:t>
            </w:r>
          </w:p>
        </w:tc>
      </w:tr>
      <w:tr>
        <w:tc>
          <w:tcPr>
            <w:tcW w:type="dxa" w:w="15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CPA-305</w:t>
            </w:r>
          </w:p>
        </w:tc>
        <w:tc>
          <w:tcPr>
            <w:tcW w:type="dxa" w:w="298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Sistemas Contables ERP y Análisis de Datos</w:t>
            </w:r>
          </w:p>
        </w:tc>
        <w:tc>
          <w:tcPr>
            <w:tcW w:type="dxa" w:w="230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CPA-102, CPA-201, CPA-202, CPA-203</w:t>
            </w:r>
          </w:p>
        </w:tc>
        <w:tc>
          <w:tcPr>
            <w:tcW w:type="dxa" w:w="110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4</w:t>
            </w:r>
          </w:p>
        </w:tc>
        <w:tc>
          <w:tcPr>
            <w:tcW w:type="dxa" w:w="110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160</w:t>
            </w:r>
          </w:p>
        </w:tc>
      </w:tr>
      <w:tr>
        <w:tc>
          <w:tcPr>
            <w:tcW w:type="dxa" w:w="15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ADM-301</w:t>
            </w:r>
          </w:p>
        </w:tc>
        <w:tc>
          <w:tcPr>
            <w:tcW w:type="dxa" w:w="298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Desarrollo Organizacional y Comportamiento Organizacional</w:t>
            </w:r>
          </w:p>
        </w:tc>
        <w:tc>
          <w:tcPr>
            <w:tcW w:type="dxa" w:w="230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ADM-201</w:t>
            </w:r>
          </w:p>
        </w:tc>
        <w:tc>
          <w:tcPr>
            <w:tcW w:type="dxa" w:w="110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4</w:t>
            </w:r>
          </w:p>
        </w:tc>
        <w:tc>
          <w:tcPr>
            <w:tcW w:type="dxa" w:w="110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160</w:t>
            </w:r>
          </w:p>
        </w:tc>
      </w:tr>
      <w:tr>
        <w:tc>
          <w:tcPr>
            <w:tcW w:type="dxa" w:w="15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ECO-301</w:t>
            </w:r>
          </w:p>
        </w:tc>
        <w:tc>
          <w:tcPr>
            <w:tcW w:type="dxa" w:w="298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Preparación y Evaluación de Proyectos</w:t>
            </w:r>
          </w:p>
        </w:tc>
        <w:tc>
          <w:tcPr>
            <w:tcW w:type="dxa" w:w="230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ECO-201</w:t>
            </w:r>
          </w:p>
        </w:tc>
        <w:tc>
          <w:tcPr>
            <w:tcW w:type="dxa" w:w="110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4</w:t>
            </w:r>
          </w:p>
        </w:tc>
        <w:tc>
          <w:tcPr>
            <w:tcW w:type="dxa" w:w="110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160</w:t>
            </w:r>
          </w:p>
        </w:tc>
      </w:tr>
      <w:tr>
        <w:tc>
          <w:tcPr>
            <w:tcW w:type="dxa" w:w="15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MAT-301</w:t>
            </w:r>
          </w:p>
        </w:tc>
        <w:tc>
          <w:tcPr>
            <w:tcW w:type="dxa" w:w="298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Estadística</w:t>
            </w:r>
          </w:p>
        </w:tc>
        <w:tc>
          <w:tcPr>
            <w:tcW w:type="dxa" w:w="230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MAT-201</w:t>
            </w:r>
          </w:p>
        </w:tc>
        <w:tc>
          <w:tcPr>
            <w:tcW w:type="dxa" w:w="110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4</w:t>
            </w:r>
          </w:p>
        </w:tc>
        <w:tc>
          <w:tcPr>
            <w:tcW w:type="dxa" w:w="110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160</w:t>
            </w:r>
          </w:p>
        </w:tc>
      </w:tr>
      <w:tr>
        <w:tc>
          <w:tcPr>
            <w:tcW w:type="dxa" w:w="157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i w:val="0"/>
                <w:sz w:val="20"/>
              </w:rPr>
              <w:t>Total Tercer Año</w:t>
            </w:r>
          </w:p>
        </w:tc>
        <w:tc>
          <w:tcPr>
            <w:tcW w:type="dxa" w:w="298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i w:val="0"/>
                <w:sz w:val="20"/>
              </w:rPr>
              <w:t>32</w:t>
            </w:r>
          </w:p>
        </w:tc>
        <w:tc>
          <w:tcPr>
            <w:tcW w:type="dxa" w:w="230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i w:val="0"/>
                <w:sz w:val="20"/>
              </w:rPr>
              <w:t>1.280</w:t>
            </w:r>
          </w:p>
        </w:tc>
        <w:tc>
          <w:tcPr>
            <w:tcW w:type="dxa" w:w="110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p>
        </w:tc>
        <w:tc>
          <w:tcPr>
            <w:tcW w:type="dxa" w:w="110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p>
        </w:tc>
      </w:tr>
    </w:tbl>
    <w:p>
      <w:pPr>
        <w:spacing w:before="0" w:after="120" w:line="240" w:lineRule="auto"/>
        <w:jc w:val="left"/>
      </w:pPr>
    </w:p>
    <w:tbl>
      <w:tblPr>
        <w:tblW w:type="auto" w:w="0"/>
        <w:jc w:val="center"/>
        <w:tblLayout w:type="fixed"/>
        <w:tblLook w:firstColumn="1" w:firstRow="1" w:lastColumn="0" w:lastRow="0" w:noHBand="0" w:noVBand="1" w:val="04A0"/>
      </w:tblPr>
      <w:tblGrid>
        <w:gridCol w:w="1716"/>
        <w:gridCol w:w="3182"/>
        <w:gridCol w:w="1769"/>
        <w:gridCol w:w="1201"/>
        <w:gridCol w:w="1201"/>
      </w:tblGrid>
      <w:tr>
        <w:trPr>
          <w:tblHeader/>
        </w:trPr>
        <w:tc>
          <w:tcPr>
            <w:tcW w:type="dxa" w:w="9069"/>
            <w:gridSpan w:val="5"/>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Cuarto Año</w:t>
            </w:r>
          </w:p>
        </w:tc>
      </w:tr>
      <w:tr>
        <w:tc>
          <w:tcPr>
            <w:tcW w:type="dxa" w:w="171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i w:val="0"/>
                <w:sz w:val="20"/>
              </w:rPr>
              <w:t>Código</w:t>
            </w:r>
          </w:p>
        </w:tc>
        <w:tc>
          <w:tcPr>
            <w:tcW w:type="dxa" w:w="318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i w:val="0"/>
                <w:sz w:val="20"/>
              </w:rPr>
              <w:t>Asignatura</w:t>
            </w:r>
          </w:p>
        </w:tc>
        <w:tc>
          <w:tcPr>
            <w:tcW w:type="dxa" w:w="17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i w:val="0"/>
                <w:sz w:val="20"/>
              </w:rPr>
              <w:t>Pre-requisito</w:t>
            </w:r>
          </w:p>
        </w:tc>
        <w:tc>
          <w:tcPr>
            <w:tcW w:type="dxa" w:w="12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i w:val="0"/>
                <w:sz w:val="20"/>
              </w:rPr>
              <w:t>Hrs/Sem</w:t>
            </w:r>
          </w:p>
        </w:tc>
        <w:tc>
          <w:tcPr>
            <w:tcW w:type="dxa" w:w="12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i w:val="0"/>
                <w:sz w:val="20"/>
              </w:rPr>
              <w:t>Hrs/Año</w:t>
            </w:r>
          </w:p>
        </w:tc>
      </w:tr>
      <w:tr>
        <w:tc>
          <w:tcPr>
            <w:tcW w:type="dxa" w:w="171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CPA-401</w:t>
            </w:r>
          </w:p>
        </w:tc>
        <w:tc>
          <w:tcPr>
            <w:tcW w:type="dxa" w:w="318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Contabilidad Minera y Petrolera</w:t>
            </w:r>
          </w:p>
        </w:tc>
        <w:tc>
          <w:tcPr>
            <w:tcW w:type="dxa" w:w="17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CPA-301, CPA-302</w:t>
            </w:r>
          </w:p>
        </w:tc>
        <w:tc>
          <w:tcPr>
            <w:tcW w:type="dxa" w:w="12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4</w:t>
            </w:r>
          </w:p>
        </w:tc>
        <w:tc>
          <w:tcPr>
            <w:tcW w:type="dxa" w:w="12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160</w:t>
            </w:r>
          </w:p>
        </w:tc>
      </w:tr>
      <w:tr>
        <w:tc>
          <w:tcPr>
            <w:tcW w:type="dxa" w:w="171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CPA-402</w:t>
            </w:r>
          </w:p>
        </w:tc>
        <w:tc>
          <w:tcPr>
            <w:tcW w:type="dxa" w:w="318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Contabilidad Agrícola y Ganadera</w:t>
            </w:r>
          </w:p>
        </w:tc>
        <w:tc>
          <w:tcPr>
            <w:tcW w:type="dxa" w:w="17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CPA-301, CPA-302</w:t>
            </w:r>
          </w:p>
        </w:tc>
        <w:tc>
          <w:tcPr>
            <w:tcW w:type="dxa" w:w="12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4</w:t>
            </w:r>
          </w:p>
        </w:tc>
        <w:tc>
          <w:tcPr>
            <w:tcW w:type="dxa" w:w="12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160</w:t>
            </w:r>
          </w:p>
        </w:tc>
      </w:tr>
      <w:tr>
        <w:tc>
          <w:tcPr>
            <w:tcW w:type="dxa" w:w="171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CPA-403</w:t>
            </w:r>
          </w:p>
        </w:tc>
        <w:tc>
          <w:tcPr>
            <w:tcW w:type="dxa" w:w="318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Contabilidad de Seguros: Privado y Social</w:t>
            </w:r>
          </w:p>
        </w:tc>
        <w:tc>
          <w:tcPr>
            <w:tcW w:type="dxa" w:w="17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CPA-301, CPA-302</w:t>
            </w:r>
          </w:p>
        </w:tc>
        <w:tc>
          <w:tcPr>
            <w:tcW w:type="dxa" w:w="12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4</w:t>
            </w:r>
          </w:p>
        </w:tc>
        <w:tc>
          <w:tcPr>
            <w:tcW w:type="dxa" w:w="12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160</w:t>
            </w:r>
          </w:p>
        </w:tc>
      </w:tr>
      <w:tr>
        <w:tc>
          <w:tcPr>
            <w:tcW w:type="dxa" w:w="171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CPA-404</w:t>
            </w:r>
          </w:p>
        </w:tc>
        <w:tc>
          <w:tcPr>
            <w:tcW w:type="dxa" w:w="318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Diseño e Implantación de Sistemas de Contabilidad</w:t>
            </w:r>
          </w:p>
        </w:tc>
        <w:tc>
          <w:tcPr>
            <w:tcW w:type="dxa" w:w="17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CPA-301 a CPA-305</w:t>
            </w:r>
          </w:p>
        </w:tc>
        <w:tc>
          <w:tcPr>
            <w:tcW w:type="dxa" w:w="12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4</w:t>
            </w:r>
          </w:p>
        </w:tc>
        <w:tc>
          <w:tcPr>
            <w:tcW w:type="dxa" w:w="12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160</w:t>
            </w:r>
          </w:p>
        </w:tc>
      </w:tr>
      <w:tr>
        <w:tc>
          <w:tcPr>
            <w:tcW w:type="dxa" w:w="171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CPA-405</w:t>
            </w:r>
          </w:p>
        </w:tc>
        <w:tc>
          <w:tcPr>
            <w:tcW w:type="dxa" w:w="318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Finanzas Corporativas</w:t>
            </w:r>
          </w:p>
        </w:tc>
        <w:tc>
          <w:tcPr>
            <w:tcW w:type="dxa" w:w="17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CPA-301 a CPA-304</w:t>
            </w:r>
          </w:p>
        </w:tc>
        <w:tc>
          <w:tcPr>
            <w:tcW w:type="dxa" w:w="12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4</w:t>
            </w:r>
          </w:p>
        </w:tc>
        <w:tc>
          <w:tcPr>
            <w:tcW w:type="dxa" w:w="12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160</w:t>
            </w:r>
          </w:p>
        </w:tc>
      </w:tr>
      <w:tr>
        <w:tc>
          <w:tcPr>
            <w:tcW w:type="dxa" w:w="171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CPA-406</w:t>
            </w:r>
          </w:p>
        </w:tc>
        <w:tc>
          <w:tcPr>
            <w:tcW w:type="dxa" w:w="318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Ética e Independencia Profesional</w:t>
            </w:r>
          </w:p>
        </w:tc>
        <w:tc>
          <w:tcPr>
            <w:tcW w:type="dxa" w:w="17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CPA-301 a CPA-304</w:t>
            </w:r>
          </w:p>
        </w:tc>
        <w:tc>
          <w:tcPr>
            <w:tcW w:type="dxa" w:w="12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2</w:t>
            </w:r>
          </w:p>
        </w:tc>
        <w:tc>
          <w:tcPr>
            <w:tcW w:type="dxa" w:w="12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80</w:t>
            </w:r>
          </w:p>
        </w:tc>
      </w:tr>
      <w:tr>
        <w:tc>
          <w:tcPr>
            <w:tcW w:type="dxa" w:w="171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CPA-407</w:t>
            </w:r>
          </w:p>
        </w:tc>
        <w:tc>
          <w:tcPr>
            <w:tcW w:type="dxa" w:w="318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Auditoría Financiera</w:t>
            </w:r>
          </w:p>
        </w:tc>
        <w:tc>
          <w:tcPr>
            <w:tcW w:type="dxa" w:w="17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CPA-301 a CPA-</w:t>
            </w:r>
          </w:p>
          <w:p>
            <w:pPr>
              <w:spacing w:before="0" w:after="0" w:line="240" w:lineRule="auto"/>
              <w:jc w:val="left"/>
            </w:pPr>
            <w:r>
              <w:rPr>
                <w:rFonts w:ascii="Century Gothic" w:hAnsi="Century Gothic" w:cs="Century Gothic" w:eastAsia="Century Gothic"/>
                <w:b w:val="0"/>
                <w:i w:val="0"/>
                <w:sz w:val="20"/>
              </w:rPr>
              <w:t>304</w:t>
            </w:r>
          </w:p>
        </w:tc>
        <w:tc>
          <w:tcPr>
            <w:tcW w:type="dxa" w:w="12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4</w:t>
            </w:r>
          </w:p>
        </w:tc>
        <w:tc>
          <w:tcPr>
            <w:tcW w:type="dxa" w:w="12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160</w:t>
            </w:r>
          </w:p>
        </w:tc>
      </w:tr>
      <w:tr>
        <w:tc>
          <w:tcPr>
            <w:tcW w:type="dxa" w:w="171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CPA-408</w:t>
            </w:r>
          </w:p>
        </w:tc>
        <w:tc>
          <w:tcPr>
            <w:tcW w:type="dxa" w:w="318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Auditoría Interna, Control Interno y Gestión de Riesgos</w:t>
            </w:r>
          </w:p>
        </w:tc>
        <w:tc>
          <w:tcPr>
            <w:tcW w:type="dxa" w:w="17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CPA-301 a CPA-304</w:t>
            </w:r>
          </w:p>
        </w:tc>
        <w:tc>
          <w:tcPr>
            <w:tcW w:type="dxa" w:w="12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4</w:t>
            </w:r>
          </w:p>
        </w:tc>
        <w:tc>
          <w:tcPr>
            <w:tcW w:type="dxa" w:w="12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160</w:t>
            </w:r>
          </w:p>
        </w:tc>
      </w:tr>
      <w:tr>
        <w:tc>
          <w:tcPr>
            <w:tcW w:type="dxa" w:w="171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MAT-401</w:t>
            </w:r>
          </w:p>
        </w:tc>
        <w:tc>
          <w:tcPr>
            <w:tcW w:type="dxa" w:w="318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Matemáticas Actuariales y Técnicas Financieras</w:t>
            </w:r>
          </w:p>
        </w:tc>
        <w:tc>
          <w:tcPr>
            <w:tcW w:type="dxa" w:w="17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MAT-102, MAT-301</w:t>
            </w:r>
          </w:p>
        </w:tc>
        <w:tc>
          <w:tcPr>
            <w:tcW w:type="dxa" w:w="12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2</w:t>
            </w:r>
          </w:p>
        </w:tc>
        <w:tc>
          <w:tcPr>
            <w:tcW w:type="dxa" w:w="12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80</w:t>
            </w:r>
          </w:p>
        </w:tc>
      </w:tr>
      <w:tr>
        <w:tc>
          <w:tcPr>
            <w:tcW w:type="dxa" w:w="171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i w:val="0"/>
                <w:sz w:val="20"/>
              </w:rPr>
              <w:t>Total Cuarto Año</w:t>
            </w:r>
          </w:p>
        </w:tc>
        <w:tc>
          <w:tcPr>
            <w:tcW w:type="dxa" w:w="318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i w:val="0"/>
                <w:sz w:val="20"/>
              </w:rPr>
              <w:t>32</w:t>
            </w:r>
          </w:p>
        </w:tc>
        <w:tc>
          <w:tcPr>
            <w:tcW w:type="dxa" w:w="17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i w:val="0"/>
                <w:sz w:val="20"/>
              </w:rPr>
              <w:t>1.280</w:t>
            </w:r>
          </w:p>
        </w:tc>
        <w:tc>
          <w:tcPr>
            <w:tcW w:type="dxa" w:w="12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p>
        </w:tc>
        <w:tc>
          <w:tcPr>
            <w:tcW w:type="dxa" w:w="12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p>
        </w:tc>
      </w:tr>
    </w:tbl>
    <w:p>
      <w:pPr>
        <w:spacing w:before="0" w:after="120" w:line="240" w:lineRule="auto"/>
        <w:jc w:val="left"/>
      </w:pPr>
    </w:p>
    <w:tbl>
      <w:tblPr>
        <w:tblW w:type="auto" w:w="0"/>
        <w:jc w:val="center"/>
        <w:tblLayout w:type="fixed"/>
        <w:tblLook w:firstColumn="1" w:firstRow="1" w:lastColumn="0" w:lastRow="0" w:noHBand="0" w:noVBand="1" w:val="04A0"/>
      </w:tblPr>
      <w:tblGrid>
        <w:gridCol w:w="1670"/>
        <w:gridCol w:w="3341"/>
        <w:gridCol w:w="1722"/>
        <w:gridCol w:w="1169"/>
        <w:gridCol w:w="1169"/>
      </w:tblGrid>
      <w:tr>
        <w:trPr>
          <w:tblHeader/>
        </w:trPr>
        <w:tc>
          <w:tcPr>
            <w:tcW w:type="dxa" w:w="9071"/>
            <w:gridSpan w:val="5"/>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Quinto Año</w:t>
            </w:r>
          </w:p>
        </w:tc>
      </w:tr>
      <w:tr>
        <w:tc>
          <w:tcPr>
            <w:tcW w:type="dxa" w:w="167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i w:val="0"/>
                <w:sz w:val="20"/>
              </w:rPr>
              <w:t>Código</w:t>
            </w:r>
          </w:p>
        </w:tc>
        <w:tc>
          <w:tcPr>
            <w:tcW w:type="dxa" w:w="33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i w:val="0"/>
                <w:sz w:val="20"/>
              </w:rPr>
              <w:t>Asignatura</w:t>
            </w:r>
          </w:p>
        </w:tc>
        <w:tc>
          <w:tcPr>
            <w:tcW w:type="dxa" w:w="17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i w:val="0"/>
                <w:sz w:val="20"/>
              </w:rPr>
              <w:t>Pre-requisito</w:t>
            </w:r>
          </w:p>
        </w:tc>
        <w:tc>
          <w:tcPr>
            <w:tcW w:type="dxa" w:w="11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i w:val="0"/>
                <w:sz w:val="20"/>
              </w:rPr>
              <w:t>Hrs/Sem</w:t>
            </w:r>
          </w:p>
        </w:tc>
        <w:tc>
          <w:tcPr>
            <w:tcW w:type="dxa" w:w="11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i w:val="0"/>
                <w:sz w:val="20"/>
              </w:rPr>
              <w:t>Hrs/Año</w:t>
            </w:r>
          </w:p>
        </w:tc>
      </w:tr>
      <w:tr>
        <w:tc>
          <w:tcPr>
            <w:tcW w:type="dxa" w:w="167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CPA-501</w:t>
            </w:r>
          </w:p>
        </w:tc>
        <w:tc>
          <w:tcPr>
            <w:tcW w:type="dxa" w:w="33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Auditoría Operativa</w:t>
            </w:r>
          </w:p>
        </w:tc>
        <w:tc>
          <w:tcPr>
            <w:tcW w:type="dxa" w:w="17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CPA-401 a CPA-408</w:t>
            </w:r>
          </w:p>
        </w:tc>
        <w:tc>
          <w:tcPr>
            <w:tcW w:type="dxa" w:w="11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4</w:t>
            </w:r>
          </w:p>
        </w:tc>
        <w:tc>
          <w:tcPr>
            <w:tcW w:type="dxa" w:w="11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160</w:t>
            </w:r>
          </w:p>
        </w:tc>
      </w:tr>
      <w:tr>
        <w:tc>
          <w:tcPr>
            <w:tcW w:type="dxa" w:w="167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CPA-502</w:t>
            </w:r>
          </w:p>
        </w:tc>
        <w:tc>
          <w:tcPr>
            <w:tcW w:type="dxa" w:w="33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Gabinete de Auditoría Financiera</w:t>
            </w:r>
          </w:p>
        </w:tc>
        <w:tc>
          <w:tcPr>
            <w:tcW w:type="dxa" w:w="17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CPA-401 a CPA-408</w:t>
            </w:r>
          </w:p>
        </w:tc>
        <w:tc>
          <w:tcPr>
            <w:tcW w:type="dxa" w:w="11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4</w:t>
            </w:r>
          </w:p>
        </w:tc>
        <w:tc>
          <w:tcPr>
            <w:tcW w:type="dxa" w:w="11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160</w:t>
            </w:r>
          </w:p>
        </w:tc>
      </w:tr>
      <w:tr>
        <w:tc>
          <w:tcPr>
            <w:tcW w:type="dxa" w:w="167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CPA-503</w:t>
            </w:r>
          </w:p>
        </w:tc>
        <w:tc>
          <w:tcPr>
            <w:tcW w:type="dxa" w:w="33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Auditoría Tributaria</w:t>
            </w:r>
          </w:p>
        </w:tc>
        <w:tc>
          <w:tcPr>
            <w:tcW w:type="dxa" w:w="17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CPA-401 a CPA-408</w:t>
            </w:r>
          </w:p>
        </w:tc>
        <w:tc>
          <w:tcPr>
            <w:tcW w:type="dxa" w:w="11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4</w:t>
            </w:r>
          </w:p>
        </w:tc>
        <w:tc>
          <w:tcPr>
            <w:tcW w:type="dxa" w:w="11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160</w:t>
            </w:r>
          </w:p>
        </w:tc>
      </w:tr>
      <w:tr>
        <w:tc>
          <w:tcPr>
            <w:tcW w:type="dxa" w:w="167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CPA-504</w:t>
            </w:r>
          </w:p>
        </w:tc>
        <w:tc>
          <w:tcPr>
            <w:tcW w:type="dxa" w:w="33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Auditoría Gubernamental</w:t>
            </w:r>
          </w:p>
        </w:tc>
        <w:tc>
          <w:tcPr>
            <w:tcW w:type="dxa" w:w="17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CPA-401 a CPA-408</w:t>
            </w:r>
          </w:p>
        </w:tc>
        <w:tc>
          <w:tcPr>
            <w:tcW w:type="dxa" w:w="11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4</w:t>
            </w:r>
          </w:p>
        </w:tc>
        <w:tc>
          <w:tcPr>
            <w:tcW w:type="dxa" w:w="11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160</w:t>
            </w:r>
          </w:p>
        </w:tc>
      </w:tr>
      <w:tr>
        <w:tc>
          <w:tcPr>
            <w:tcW w:type="dxa" w:w="167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CPA-505</w:t>
            </w:r>
          </w:p>
        </w:tc>
        <w:tc>
          <w:tcPr>
            <w:tcW w:type="dxa" w:w="33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Auditoría Digital, Ciberseguridad y Tecnologías Emergentes</w:t>
            </w:r>
          </w:p>
        </w:tc>
        <w:tc>
          <w:tcPr>
            <w:tcW w:type="dxa" w:w="17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CPA-401 a CPA-408</w:t>
            </w:r>
          </w:p>
        </w:tc>
        <w:tc>
          <w:tcPr>
            <w:tcW w:type="dxa" w:w="11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4</w:t>
            </w:r>
          </w:p>
        </w:tc>
        <w:tc>
          <w:tcPr>
            <w:tcW w:type="dxa" w:w="11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160</w:t>
            </w:r>
          </w:p>
        </w:tc>
      </w:tr>
      <w:tr>
        <w:tc>
          <w:tcPr>
            <w:tcW w:type="dxa" w:w="167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CPA-506</w:t>
            </w:r>
          </w:p>
        </w:tc>
        <w:tc>
          <w:tcPr>
            <w:tcW w:type="dxa" w:w="33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Reportes y Aseguramiento de Sostenibilidad y Auditoría Ambiental</w:t>
            </w:r>
          </w:p>
        </w:tc>
        <w:tc>
          <w:tcPr>
            <w:tcW w:type="dxa" w:w="17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CPA-401 a CPA-408</w:t>
            </w:r>
          </w:p>
        </w:tc>
        <w:tc>
          <w:tcPr>
            <w:tcW w:type="dxa" w:w="11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2</w:t>
            </w:r>
          </w:p>
        </w:tc>
        <w:tc>
          <w:tcPr>
            <w:tcW w:type="dxa" w:w="11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80</w:t>
            </w:r>
          </w:p>
        </w:tc>
      </w:tr>
      <w:tr>
        <w:tc>
          <w:tcPr>
            <w:tcW w:type="dxa" w:w="167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CPA-507</w:t>
            </w:r>
          </w:p>
        </w:tc>
        <w:tc>
          <w:tcPr>
            <w:tcW w:type="dxa" w:w="33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Auditoría de Proyectos Público y Privado</w:t>
            </w:r>
          </w:p>
        </w:tc>
        <w:tc>
          <w:tcPr>
            <w:tcW w:type="dxa" w:w="17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CPA-401 a CPA-408</w:t>
            </w:r>
          </w:p>
        </w:tc>
        <w:tc>
          <w:tcPr>
            <w:tcW w:type="dxa" w:w="11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2</w:t>
            </w:r>
          </w:p>
        </w:tc>
        <w:tc>
          <w:tcPr>
            <w:tcW w:type="dxa" w:w="11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80</w:t>
            </w:r>
          </w:p>
        </w:tc>
      </w:tr>
      <w:tr>
        <w:tc>
          <w:tcPr>
            <w:tcW w:type="dxa" w:w="167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CPA-508</w:t>
            </w:r>
          </w:p>
        </w:tc>
        <w:tc>
          <w:tcPr>
            <w:tcW w:type="dxa" w:w="33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Auditoría Forense, Peritaje y Prevención de Delitos Económicos</w:t>
            </w:r>
          </w:p>
        </w:tc>
        <w:tc>
          <w:tcPr>
            <w:tcW w:type="dxa" w:w="17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CPA-401 a CPA-408</w:t>
            </w:r>
          </w:p>
        </w:tc>
        <w:tc>
          <w:tcPr>
            <w:tcW w:type="dxa" w:w="11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2</w:t>
            </w:r>
          </w:p>
        </w:tc>
        <w:tc>
          <w:tcPr>
            <w:tcW w:type="dxa" w:w="11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80</w:t>
            </w:r>
          </w:p>
        </w:tc>
      </w:tr>
      <w:tr>
        <w:tc>
          <w:tcPr>
            <w:tcW w:type="dxa" w:w="167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CPA-509</w:t>
            </w:r>
          </w:p>
        </w:tc>
        <w:tc>
          <w:tcPr>
            <w:tcW w:type="dxa" w:w="33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Auditoría de Entidades Financieras y Servicios Relacionados</w:t>
            </w:r>
          </w:p>
        </w:tc>
        <w:tc>
          <w:tcPr>
            <w:tcW w:type="dxa" w:w="17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CPA-401 a CPA-408</w:t>
            </w:r>
          </w:p>
        </w:tc>
        <w:tc>
          <w:tcPr>
            <w:tcW w:type="dxa" w:w="11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2</w:t>
            </w:r>
          </w:p>
        </w:tc>
        <w:tc>
          <w:tcPr>
            <w:tcW w:type="dxa" w:w="11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80</w:t>
            </w:r>
          </w:p>
        </w:tc>
      </w:tr>
      <w:tr>
        <w:tc>
          <w:tcPr>
            <w:tcW w:type="dxa" w:w="167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CPA-510</w:t>
            </w:r>
          </w:p>
        </w:tc>
        <w:tc>
          <w:tcPr>
            <w:tcW w:type="dxa" w:w="33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Taller de Grado</w:t>
            </w:r>
          </w:p>
        </w:tc>
        <w:tc>
          <w:tcPr>
            <w:tcW w:type="dxa" w:w="17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CPA-401 a CPA-408</w:t>
            </w:r>
          </w:p>
        </w:tc>
        <w:tc>
          <w:tcPr>
            <w:tcW w:type="dxa" w:w="11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2</w:t>
            </w:r>
          </w:p>
        </w:tc>
        <w:tc>
          <w:tcPr>
            <w:tcW w:type="dxa" w:w="11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80</w:t>
            </w:r>
          </w:p>
        </w:tc>
      </w:tr>
      <w:tr>
        <w:tc>
          <w:tcPr>
            <w:tcW w:type="dxa" w:w="167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i w:val="0"/>
                <w:sz w:val="20"/>
              </w:rPr>
              <w:t>Total Quinto Año</w:t>
            </w:r>
          </w:p>
        </w:tc>
        <w:tc>
          <w:tcPr>
            <w:tcW w:type="dxa" w:w="33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i w:val="0"/>
                <w:sz w:val="20"/>
              </w:rPr>
              <w:t>30</w:t>
            </w:r>
          </w:p>
        </w:tc>
        <w:tc>
          <w:tcPr>
            <w:tcW w:type="dxa" w:w="17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i w:val="0"/>
                <w:sz w:val="20"/>
              </w:rPr>
              <w:t>1.200</w:t>
            </w:r>
          </w:p>
        </w:tc>
        <w:tc>
          <w:tcPr>
            <w:tcW w:type="dxa" w:w="11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p>
        </w:tc>
        <w:tc>
          <w:tcPr>
            <w:tcW w:type="dxa" w:w="11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p>
        </w:tc>
      </w:tr>
    </w:tbl>
    <w:p>
      <w:pPr>
        <w:spacing w:before="0" w:after="120" w:line="240" w:lineRule="auto"/>
        <w:jc w:val="left"/>
      </w:pPr>
    </w:p>
    <w:tbl>
      <w:tblPr>
        <w:tblW w:type="auto" w:w="0"/>
        <w:jc w:val="center"/>
        <w:tblLayout w:type="fixed"/>
        <w:tblLook w:firstColumn="1" w:firstRow="1" w:lastColumn="0" w:lastRow="0" w:noHBand="0" w:noVBand="1" w:val="04A0"/>
      </w:tblPr>
      <w:tblGrid>
        <w:gridCol w:w="6601"/>
        <w:gridCol w:w="2470"/>
      </w:tblGrid>
      <w:tr>
        <w:trPr>
          <w:tblHeader/>
        </w:trPr>
        <w:tc>
          <w:tcPr>
            <w:tcW w:type="dxa" w:w="6601"/>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Total Carga Horaria – Licenciatura en Contaduría Pública</w:t>
            </w:r>
          </w:p>
        </w:tc>
        <w:tc>
          <w:tcPr>
            <w:tcW w:type="dxa" w:w="2470"/>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6.000</w:t>
            </w:r>
          </w:p>
        </w:tc>
      </w:tr>
    </w:tbl>
    <w:p>
      <w:pPr>
        <w:spacing w:before="0" w:after="120" w:line="240" w:lineRule="auto"/>
        <w:jc w:val="left"/>
      </w:pPr>
    </w:p>
    <w:p>
      <w:pPr>
        <w:spacing w:before="0" w:after="200" w:line="240" w:lineRule="auto"/>
        <w:jc w:val="both"/>
      </w:pPr>
      <w:r>
        <w:rPr>
          <w:rFonts w:ascii="Century Gothic" w:hAnsi="Century Gothic" w:cs="Century Gothic" w:eastAsia="Century Gothic"/>
          <w:b w:val="0"/>
          <w:i/>
          <w:sz w:val="20"/>
        </w:rPr>
        <w:t>AE: Admisión Especial. CPF: Curso Preuniversitario o Prefacultativo. PSA: Prueba de Suficiencia Académica. Las horas anuales resultan de la carga horaria semanal por las 40 semanas de la gestión académica anual.</w:t>
      </w:r>
    </w:p>
    <w:p>
      <w:pPr>
        <w:keepNext/>
        <w:tabs>
          <w:tab w:pos="709" w:val="left"/>
        </w:tabs>
        <w:spacing w:before="120" w:after="200" w:line="240" w:lineRule="auto"/>
        <w:ind w:left="709" w:hanging="709"/>
        <w:jc w:val="left"/>
      </w:pPr>
      <w:r>
        <w:rPr>
          <w:rFonts w:ascii="Century Gothic" w:hAnsi="Century Gothic" w:cs="Century Gothic" w:eastAsia="Century Gothic"/>
          <w:b/>
          <w:i w:val="0"/>
          <w:sz w:val="24"/>
        </w:rPr>
        <w:t>4.4.4</w:t>
        <w:tab/>
      </w:r>
      <w:r>
        <w:rPr>
          <w:rFonts w:ascii="Century Gothic" w:hAnsi="Century Gothic" w:cs="Century Gothic" w:eastAsia="Century Gothic"/>
          <w:b/>
          <w:i w:val="0"/>
          <w:sz w:val="24"/>
        </w:rPr>
        <w:t>Cuadro de asignación de cargas horarias presenciales, no presenciales (según formato)</w:t>
      </w:r>
    </w:p>
    <w:p>
      <w:pPr>
        <w:keepNext/>
        <w:tabs>
          <w:tab w:pos="992" w:val="left"/>
        </w:tabs>
        <w:spacing w:before="80" w:after="200" w:line="240" w:lineRule="auto"/>
        <w:ind w:left="992" w:hanging="992"/>
        <w:jc w:val="left"/>
      </w:pPr>
      <w:r>
        <w:rPr>
          <w:rFonts w:ascii="Century Gothic" w:hAnsi="Century Gothic" w:cs="Century Gothic" w:eastAsia="Century Gothic"/>
          <w:b/>
          <w:i w:val="0"/>
          <w:sz w:val="22"/>
        </w:rPr>
        <w:t>4.4.4.1</w:t>
        <w:tab/>
      </w:r>
      <w:r>
        <w:rPr>
          <w:rFonts w:ascii="Century Gothic" w:hAnsi="Century Gothic" w:cs="Century Gothic" w:eastAsia="Century Gothic"/>
          <w:b/>
          <w:i w:val="0"/>
          <w:sz w:val="22"/>
        </w:rPr>
        <w:t>Carga Horaria y Distribución por Años</w:t>
      </w:r>
    </w:p>
    <w:p>
      <w:pPr>
        <w:spacing w:before="0" w:after="200" w:line="240" w:lineRule="auto"/>
        <w:jc w:val="both"/>
      </w:pPr>
      <w:r>
        <w:rPr>
          <w:rFonts w:ascii="Century Gothic" w:hAnsi="Century Gothic" w:cs="Century Gothic" w:eastAsia="Century Gothic"/>
          <w:b w:val="0"/>
          <w:i w:val="0"/>
          <w:sz w:val="20"/>
        </w:rPr>
        <w:t xml:space="preserve">El plan se desarrolla en modalidad presencial de régimen anual durante </w:t>
      </w:r>
      <w:r>
        <w:rPr>
          <w:rFonts w:ascii="Century Gothic" w:hAnsi="Century Gothic" w:cs="Century Gothic" w:eastAsia="Century Gothic"/>
          <w:b/>
          <w:i w:val="0"/>
          <w:sz w:val="20"/>
        </w:rPr>
        <w:t>5 años</w:t>
      </w:r>
      <w:r>
        <w:rPr>
          <w:rFonts w:ascii="Century Gothic" w:hAnsi="Century Gothic" w:cs="Century Gothic" w:eastAsia="Century Gothic"/>
          <w:b w:val="0"/>
          <w:i w:val="0"/>
          <w:sz w:val="20"/>
        </w:rPr>
        <w:t>:</w:t>
      </w:r>
    </w:p>
    <w:tbl>
      <w:tblPr>
        <w:tblW w:type="auto" w:w="0"/>
        <w:jc w:val="center"/>
        <w:tblLayout w:type="fixed"/>
        <w:tblLook w:firstColumn="1" w:firstRow="1" w:lastColumn="0" w:lastRow="0" w:noHBand="0" w:noVBand="1" w:val="04A0"/>
      </w:tblPr>
      <w:tblGrid>
        <w:gridCol w:w="1566"/>
        <w:gridCol w:w="1299"/>
        <w:gridCol w:w="1412"/>
        <w:gridCol w:w="1412"/>
        <w:gridCol w:w="1918"/>
        <w:gridCol w:w="1465"/>
      </w:tblGrid>
      <w:tr>
        <w:trPr>
          <w:tblHeader/>
        </w:trPr>
        <w:tc>
          <w:tcPr>
            <w:tcW w:type="dxa" w:w="1566"/>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Año de Formación</w:t>
            </w:r>
          </w:p>
        </w:tc>
        <w:tc>
          <w:tcPr>
            <w:tcW w:type="dxa" w:w="1299"/>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Asignaturas</w:t>
            </w:r>
          </w:p>
        </w:tc>
        <w:tc>
          <w:tcPr>
            <w:tcW w:type="dxa" w:w="1412"/>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Carga Semanal</w:t>
            </w:r>
          </w:p>
        </w:tc>
        <w:tc>
          <w:tcPr>
            <w:tcW w:type="dxa" w:w="1412"/>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Carga Mensual</w:t>
            </w:r>
          </w:p>
        </w:tc>
        <w:tc>
          <w:tcPr>
            <w:tcW w:type="dxa" w:w="1918"/>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Carga Anual (40 Semanas)</w:t>
            </w:r>
          </w:p>
        </w:tc>
        <w:tc>
          <w:tcPr>
            <w:tcW w:type="dxa" w:w="1465"/>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Porcentaje (%)</w:t>
            </w:r>
          </w:p>
        </w:tc>
      </w:tr>
      <w:tr>
        <w:tc>
          <w:tcPr>
            <w:tcW w:type="dxa" w:w="156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i w:val="0"/>
                <w:sz w:val="20"/>
              </w:rPr>
              <w:t>Primer Año</w:t>
            </w:r>
          </w:p>
        </w:tc>
        <w:tc>
          <w:tcPr>
            <w:tcW w:type="dxa" w:w="129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8</w:t>
            </w:r>
          </w:p>
        </w:tc>
        <w:tc>
          <w:tcPr>
            <w:tcW w:type="dxa" w:w="141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26 hrs.</w:t>
            </w:r>
          </w:p>
        </w:tc>
        <w:tc>
          <w:tcPr>
            <w:tcW w:type="dxa" w:w="141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104 hrs.</w:t>
            </w:r>
          </w:p>
        </w:tc>
        <w:tc>
          <w:tcPr>
            <w:tcW w:type="dxa" w:w="191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1.040 hrs.</w:t>
            </w:r>
          </w:p>
        </w:tc>
        <w:tc>
          <w:tcPr>
            <w:tcW w:type="dxa" w:w="146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17,34%</w:t>
            </w:r>
          </w:p>
        </w:tc>
      </w:tr>
      <w:tr>
        <w:tc>
          <w:tcPr>
            <w:tcW w:type="dxa" w:w="156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i w:val="0"/>
                <w:sz w:val="20"/>
              </w:rPr>
              <w:t>Segundo Año</w:t>
            </w:r>
          </w:p>
        </w:tc>
        <w:tc>
          <w:tcPr>
            <w:tcW w:type="dxa" w:w="129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8</w:t>
            </w:r>
          </w:p>
        </w:tc>
        <w:tc>
          <w:tcPr>
            <w:tcW w:type="dxa" w:w="141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30 hrs.</w:t>
            </w:r>
          </w:p>
        </w:tc>
        <w:tc>
          <w:tcPr>
            <w:tcW w:type="dxa" w:w="141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120 hrs.</w:t>
            </w:r>
          </w:p>
        </w:tc>
        <w:tc>
          <w:tcPr>
            <w:tcW w:type="dxa" w:w="191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1.200 hrs.</w:t>
            </w:r>
          </w:p>
        </w:tc>
        <w:tc>
          <w:tcPr>
            <w:tcW w:type="dxa" w:w="146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20,00%</w:t>
            </w:r>
          </w:p>
        </w:tc>
      </w:tr>
      <w:tr>
        <w:tc>
          <w:tcPr>
            <w:tcW w:type="dxa" w:w="156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i w:val="0"/>
                <w:sz w:val="20"/>
              </w:rPr>
              <w:t>Tercer Año</w:t>
            </w:r>
          </w:p>
        </w:tc>
        <w:tc>
          <w:tcPr>
            <w:tcW w:type="dxa" w:w="129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8</w:t>
            </w:r>
          </w:p>
        </w:tc>
        <w:tc>
          <w:tcPr>
            <w:tcW w:type="dxa" w:w="141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32 hrs.</w:t>
            </w:r>
          </w:p>
        </w:tc>
        <w:tc>
          <w:tcPr>
            <w:tcW w:type="dxa" w:w="141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128 hrs.</w:t>
            </w:r>
          </w:p>
        </w:tc>
        <w:tc>
          <w:tcPr>
            <w:tcW w:type="dxa" w:w="191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1.280 hrs.</w:t>
            </w:r>
          </w:p>
        </w:tc>
        <w:tc>
          <w:tcPr>
            <w:tcW w:type="dxa" w:w="146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21,33%</w:t>
            </w:r>
          </w:p>
        </w:tc>
      </w:tr>
      <w:tr>
        <w:tc>
          <w:tcPr>
            <w:tcW w:type="dxa" w:w="156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i w:val="0"/>
                <w:sz w:val="20"/>
              </w:rPr>
              <w:t>Cuarto Año</w:t>
            </w:r>
          </w:p>
        </w:tc>
        <w:tc>
          <w:tcPr>
            <w:tcW w:type="dxa" w:w="129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9</w:t>
            </w:r>
          </w:p>
        </w:tc>
        <w:tc>
          <w:tcPr>
            <w:tcW w:type="dxa" w:w="141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32 hrs.</w:t>
            </w:r>
          </w:p>
        </w:tc>
        <w:tc>
          <w:tcPr>
            <w:tcW w:type="dxa" w:w="141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128 hrs.</w:t>
            </w:r>
          </w:p>
        </w:tc>
        <w:tc>
          <w:tcPr>
            <w:tcW w:type="dxa" w:w="191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1.280 hrs.</w:t>
            </w:r>
          </w:p>
        </w:tc>
        <w:tc>
          <w:tcPr>
            <w:tcW w:type="dxa" w:w="146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21,33%</w:t>
            </w:r>
          </w:p>
        </w:tc>
      </w:tr>
      <w:tr>
        <w:tc>
          <w:tcPr>
            <w:tcW w:type="dxa" w:w="156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i w:val="0"/>
                <w:sz w:val="20"/>
              </w:rPr>
              <w:t>Quinto Año</w:t>
            </w:r>
          </w:p>
        </w:tc>
        <w:tc>
          <w:tcPr>
            <w:tcW w:type="dxa" w:w="129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10</w:t>
            </w:r>
          </w:p>
        </w:tc>
        <w:tc>
          <w:tcPr>
            <w:tcW w:type="dxa" w:w="141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30 hrs.</w:t>
            </w:r>
          </w:p>
        </w:tc>
        <w:tc>
          <w:tcPr>
            <w:tcW w:type="dxa" w:w="141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120 hrs.</w:t>
            </w:r>
          </w:p>
        </w:tc>
        <w:tc>
          <w:tcPr>
            <w:tcW w:type="dxa" w:w="191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1.200 hrs.</w:t>
            </w:r>
          </w:p>
        </w:tc>
        <w:tc>
          <w:tcPr>
            <w:tcW w:type="dxa" w:w="146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20,00%</w:t>
            </w:r>
          </w:p>
        </w:tc>
      </w:tr>
      <w:tr>
        <w:tc>
          <w:tcPr>
            <w:tcW w:type="dxa" w:w="156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i w:val="0"/>
                <w:sz w:val="20"/>
              </w:rPr>
              <w:t>Total</w:t>
            </w:r>
          </w:p>
        </w:tc>
        <w:tc>
          <w:tcPr>
            <w:tcW w:type="dxa" w:w="129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i w:val="0"/>
                <w:sz w:val="20"/>
              </w:rPr>
              <w:t>43</w:t>
            </w:r>
          </w:p>
        </w:tc>
        <w:tc>
          <w:tcPr>
            <w:tcW w:type="dxa" w:w="141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i w:val="0"/>
                <w:sz w:val="20"/>
              </w:rPr>
              <w:t>150 hrs.</w:t>
            </w:r>
          </w:p>
        </w:tc>
        <w:tc>
          <w:tcPr>
            <w:tcW w:type="dxa" w:w="141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i w:val="0"/>
                <w:sz w:val="20"/>
              </w:rPr>
              <w:t>600 hrs.</w:t>
            </w:r>
          </w:p>
        </w:tc>
        <w:tc>
          <w:tcPr>
            <w:tcW w:type="dxa" w:w="191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i w:val="0"/>
                <w:sz w:val="20"/>
              </w:rPr>
              <w:t>6.000 hrs.</w:t>
            </w:r>
          </w:p>
        </w:tc>
        <w:tc>
          <w:tcPr>
            <w:tcW w:type="dxa" w:w="146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i w:val="0"/>
                <w:sz w:val="20"/>
              </w:rPr>
              <w:t>100,00%</w:t>
            </w:r>
          </w:p>
        </w:tc>
      </w:tr>
    </w:tbl>
    <w:p>
      <w:pPr>
        <w:spacing w:before="0" w:after="120" w:line="240" w:lineRule="auto"/>
        <w:jc w:val="left"/>
      </w:pPr>
    </w:p>
    <w:p>
      <w:pPr>
        <w:keepNext/>
        <w:tabs>
          <w:tab w:pos="709" w:val="left"/>
        </w:tabs>
        <w:spacing w:before="160" w:after="200" w:line="240" w:lineRule="auto"/>
        <w:ind w:left="709" w:hanging="709"/>
        <w:jc w:val="left"/>
      </w:pPr>
      <w:r>
        <w:rPr>
          <w:rFonts w:ascii="Century Gothic" w:hAnsi="Century Gothic" w:cs="Century Gothic" w:eastAsia="Century Gothic"/>
          <w:b/>
          <w:i w:val="0"/>
          <w:sz w:val="24"/>
        </w:rPr>
        <w:t>4.7</w:t>
        <w:tab/>
      </w:r>
      <w:r>
        <w:rPr>
          <w:rFonts w:ascii="Century Gothic" w:hAnsi="Century Gothic" w:cs="Century Gothic" w:eastAsia="Century Gothic"/>
          <w:b/>
          <w:i w:val="0"/>
          <w:sz w:val="24"/>
        </w:rPr>
        <w:t>Evaluación de aprendizajes (estrategias, métodos, tipos, procedimientos, instrumentos y pruebas a desarrollar)</w:t>
      </w:r>
    </w:p>
    <w:p>
      <w:pPr>
        <w:keepNext/>
        <w:tabs>
          <w:tab w:pos="709" w:val="left"/>
        </w:tabs>
        <w:spacing w:before="120" w:after="200" w:line="240" w:lineRule="auto"/>
        <w:ind w:left="709" w:hanging="709"/>
        <w:jc w:val="left"/>
      </w:pPr>
      <w:r>
        <w:rPr>
          <w:rFonts w:ascii="Century Gothic" w:hAnsi="Century Gothic" w:cs="Century Gothic" w:eastAsia="Century Gothic"/>
          <w:b/>
          <w:i w:val="0"/>
          <w:sz w:val="24"/>
        </w:rPr>
        <w:t>4.7.1</w:t>
        <w:tab/>
      </w:r>
      <w:r>
        <w:rPr>
          <w:rFonts w:ascii="Century Gothic" w:hAnsi="Century Gothic" w:cs="Century Gothic" w:eastAsia="Century Gothic"/>
          <w:b/>
          <w:i w:val="0"/>
          <w:sz w:val="24"/>
        </w:rPr>
        <w:t>Sistema de Evaluación Auténtica del Aprendizaje</w:t>
      </w:r>
    </w:p>
    <w:p>
      <w:pPr>
        <w:spacing w:before="0" w:after="200" w:line="240" w:lineRule="auto"/>
        <w:jc w:val="both"/>
      </w:pPr>
      <w:r>
        <w:rPr>
          <w:rFonts w:ascii="Century Gothic" w:hAnsi="Century Gothic" w:cs="Century Gothic" w:eastAsia="Century Gothic"/>
          <w:b w:val="0"/>
          <w:i w:val="0"/>
          <w:sz w:val="20"/>
        </w:rPr>
        <w:t xml:space="preserve">En cumplimiento del Artículo 10 del Reglamento de Innovación Curricular de la UMSA (Resolución HCU Nº 032/2025) y del Reglamento de Evaluación y Acreditación Académica del Pregrado (Resolución HCU Nº 424/2023), el proceso de evaluación migra de la comprobación memorística tradicional hacia la </w:t>
      </w:r>
      <w:r>
        <w:rPr>
          <w:rFonts w:ascii="Century Gothic" w:hAnsi="Century Gothic" w:cs="Century Gothic" w:eastAsia="Century Gothic"/>
          <w:b/>
          <w:i w:val="0"/>
          <w:sz w:val="20"/>
        </w:rPr>
        <w:t>evaluación auténtica por competencias</w:t>
      </w:r>
      <w:r>
        <w:rPr>
          <w:rFonts w:ascii="Century Gothic" w:hAnsi="Century Gothic" w:cs="Century Gothic" w:eastAsia="Century Gothic"/>
          <w:b w:val="0"/>
          <w:i w:val="0"/>
          <w:sz w:val="20"/>
        </w:rPr>
        <w:t>.</w:t>
      </w:r>
    </w:p>
    <w:tbl>
      <w:tblPr>
        <w:tblW w:type="auto" w:w="0"/>
        <w:jc w:val="center"/>
        <w:tblLayout w:type="fixed"/>
        <w:tblLook w:firstColumn="1" w:firstRow="1" w:lastColumn="0" w:lastRow="0" w:noHBand="0" w:noVBand="1" w:val="04A0"/>
      </w:tblPr>
      <w:tblGrid>
        <w:gridCol w:w="1959"/>
        <w:gridCol w:w="3941"/>
        <w:gridCol w:w="3170"/>
      </w:tblGrid>
      <w:tr>
        <w:trPr>
          <w:tblHeader/>
        </w:trPr>
        <w:tc>
          <w:tcPr>
            <w:tcW w:type="dxa" w:w="1959"/>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Tipo de Evaluación</w:t>
            </w:r>
          </w:p>
        </w:tc>
        <w:tc>
          <w:tcPr>
            <w:tcW w:type="dxa" w:w="3941"/>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Finalidad Pedagógica</w:t>
            </w:r>
          </w:p>
        </w:tc>
        <w:tc>
          <w:tcPr>
            <w:tcW w:type="dxa" w:w="3170"/>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Instrumentos y Evidencias</w:t>
            </w:r>
          </w:p>
        </w:tc>
      </w:tr>
      <w:tr>
        <w:tc>
          <w:tcPr>
            <w:tcW w:type="dxa" w:w="195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i w:val="0"/>
                <w:sz w:val="20"/>
              </w:rPr>
              <w:t>Diagnóstica (Inicial)</w:t>
            </w:r>
          </w:p>
        </w:tc>
        <w:tc>
          <w:tcPr>
            <w:tcW w:type="dxa" w:w="39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Identifica saberes previos, prerrequisitos cognitivos y</w:t>
            </w:r>
          </w:p>
          <w:p>
            <w:pPr>
              <w:spacing w:before="0" w:after="0" w:line="240" w:lineRule="auto"/>
              <w:jc w:val="left"/>
            </w:pPr>
            <w:r>
              <w:rPr>
                <w:rFonts w:ascii="Century Gothic" w:hAnsi="Century Gothic" w:cs="Century Gothic" w:eastAsia="Century Gothic"/>
                <w:b w:val="0"/>
                <w:i w:val="0"/>
                <w:sz w:val="20"/>
              </w:rPr>
              <w:t>expectativas de aprendizaje.</w:t>
            </w:r>
          </w:p>
        </w:tc>
        <w:tc>
          <w:tcPr>
            <w:tcW w:type="dxa" w:w="3170"/>
            <w:tcBorders>
              <w:top w:val="single" w:sz="4" w:space="0" w:color="8EAADB"/>
              <w:left w:val="single" w:sz="4" w:space="0" w:color="8EAADB"/>
              <w:bottom w:val="single" w:sz="4" w:space="0" w:color="8EAADB"/>
              <w:right w:val="single" w:sz="4" w:space="0" w:color="8EAADB"/>
            </w:tcBorders>
            <w:shd w:val="clear" w:color="auto" w:fill="D9E2F3"/>
            <w:vAlign w:val="top"/>
          </w:tcPr>
          <w:p>
            <w:pPr>
              <w:tabs>
                <w:tab w:pos="255" w:val="left"/>
              </w:tabs>
              <w:spacing w:before="0" w:after="0" w:line="240" w:lineRule="auto"/>
              <w:ind w:left="255" w:hanging="255"/>
              <w:jc w:val="left"/>
            </w:pPr>
            <w:r>
              <w:rPr>
                <w:rFonts w:ascii="Century Gothic" w:hAnsi="Century Gothic" w:cs="Century Gothic" w:eastAsia="Century Gothic"/>
                <w:sz w:val="20"/>
              </w:rPr>
              <w:t>▪</w:t>
              <w:tab/>
            </w:r>
            <w:r>
              <w:rPr>
                <w:rFonts w:ascii="Century Gothic" w:hAnsi="Century Gothic" w:cs="Century Gothic" w:eastAsia="Century Gothic"/>
                <w:b w:val="0"/>
                <w:i w:val="0"/>
                <w:sz w:val="20"/>
              </w:rPr>
              <w:t>Pruebas de entrada conceptual</w:t>
            </w:r>
          </w:p>
          <w:p>
            <w:pPr>
              <w:tabs>
                <w:tab w:pos="255" w:val="left"/>
              </w:tabs>
              <w:spacing w:before="0" w:after="0" w:line="240" w:lineRule="auto"/>
              <w:ind w:left="255" w:hanging="255"/>
              <w:jc w:val="left"/>
            </w:pPr>
            <w:r>
              <w:rPr>
                <w:rFonts w:ascii="Century Gothic" w:hAnsi="Century Gothic" w:cs="Century Gothic" w:eastAsia="Century Gothic"/>
                <w:sz w:val="20"/>
              </w:rPr>
              <w:t>▪</w:t>
              <w:tab/>
            </w:r>
            <w:r>
              <w:rPr>
                <w:rFonts w:ascii="Century Gothic" w:hAnsi="Century Gothic" w:cs="Century Gothic" w:eastAsia="Century Gothic"/>
                <w:b w:val="0"/>
                <w:i w:val="0"/>
                <w:sz w:val="20"/>
              </w:rPr>
              <w:t>Cuestionarios de autodiagnóstico digital</w:t>
            </w:r>
          </w:p>
        </w:tc>
      </w:tr>
      <w:tr>
        <w:tc>
          <w:tcPr>
            <w:tcW w:type="dxa" w:w="195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i w:val="0"/>
                <w:sz w:val="20"/>
              </w:rPr>
              <w:t>Formativa (Procesual)</w:t>
            </w:r>
          </w:p>
        </w:tc>
        <w:tc>
          <w:tcPr>
            <w:tcW w:type="dxa" w:w="39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Retroalimenta el proceso de aprendizaje en tiempo real, corrigiendo desvíos técnicos.</w:t>
            </w:r>
          </w:p>
        </w:tc>
        <w:tc>
          <w:tcPr>
            <w:tcW w:type="dxa" w:w="3170"/>
            <w:tcBorders>
              <w:top w:val="single" w:sz="4" w:space="0" w:color="8EAADB"/>
              <w:left w:val="single" w:sz="4" w:space="0" w:color="8EAADB"/>
              <w:bottom w:val="single" w:sz="4" w:space="0" w:color="8EAADB"/>
              <w:right w:val="single" w:sz="4" w:space="0" w:color="8EAADB"/>
            </w:tcBorders>
            <w:shd w:val="clear" w:color="auto" w:fill="D9E2F3"/>
            <w:vAlign w:val="top"/>
          </w:tcPr>
          <w:p>
            <w:pPr>
              <w:tabs>
                <w:tab w:pos="255" w:val="left"/>
              </w:tabs>
              <w:spacing w:before="0" w:after="0" w:line="240" w:lineRule="auto"/>
              <w:ind w:left="255" w:hanging="255"/>
              <w:jc w:val="left"/>
            </w:pPr>
            <w:r>
              <w:rPr>
                <w:rFonts w:ascii="Century Gothic" w:hAnsi="Century Gothic" w:cs="Century Gothic" w:eastAsia="Century Gothic"/>
                <w:sz w:val="20"/>
              </w:rPr>
              <w:t>▪</w:t>
              <w:tab/>
            </w:r>
            <w:r>
              <w:rPr>
                <w:rFonts w:ascii="Century Gothic" w:hAnsi="Century Gothic" w:cs="Century Gothic" w:eastAsia="Century Gothic"/>
                <w:b w:val="0"/>
                <w:i w:val="0"/>
                <w:sz w:val="20"/>
              </w:rPr>
              <w:t>Portafolio digital de evidencias</w:t>
            </w:r>
          </w:p>
          <w:p>
            <w:pPr>
              <w:tabs>
                <w:tab w:pos="255" w:val="left"/>
              </w:tabs>
              <w:spacing w:before="0" w:after="0" w:line="240" w:lineRule="auto"/>
              <w:ind w:left="255" w:hanging="255"/>
              <w:jc w:val="left"/>
            </w:pPr>
            <w:r>
              <w:rPr>
                <w:rFonts w:ascii="Century Gothic" w:hAnsi="Century Gothic" w:cs="Century Gothic" w:eastAsia="Century Gothic"/>
                <w:sz w:val="20"/>
              </w:rPr>
              <w:t>▪</w:t>
              <w:tab/>
            </w:r>
            <w:r>
              <w:rPr>
                <w:rFonts w:ascii="Century Gothic" w:hAnsi="Century Gothic" w:cs="Century Gothic" w:eastAsia="Century Gothic"/>
                <w:b w:val="0"/>
                <w:i w:val="0"/>
                <w:sz w:val="20"/>
              </w:rPr>
              <w:t>Rúbricas de desempeño en taller.</w:t>
            </w:r>
          </w:p>
          <w:p>
            <w:pPr>
              <w:tabs>
                <w:tab w:pos="255" w:val="left"/>
              </w:tabs>
              <w:spacing w:before="0" w:after="0" w:line="240" w:lineRule="auto"/>
              <w:ind w:left="255" w:hanging="255"/>
              <w:jc w:val="left"/>
            </w:pPr>
            <w:r>
              <w:rPr>
                <w:rFonts w:ascii="Century Gothic" w:hAnsi="Century Gothic" w:cs="Century Gothic" w:eastAsia="Century Gothic"/>
                <w:sz w:val="20"/>
              </w:rPr>
              <w:t>▪</w:t>
              <w:tab/>
            </w:r>
            <w:r>
              <w:rPr>
                <w:rFonts w:ascii="Century Gothic" w:hAnsi="Century Gothic" w:cs="Century Gothic" w:eastAsia="Century Gothic"/>
                <w:b w:val="0"/>
                <w:i w:val="0"/>
                <w:sz w:val="20"/>
              </w:rPr>
              <w:t>Casos clínicos / simuladores</w:t>
            </w:r>
          </w:p>
        </w:tc>
      </w:tr>
      <w:tr>
        <w:tc>
          <w:tcPr>
            <w:tcW w:type="dxa" w:w="195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i w:val="0"/>
                <w:sz w:val="20"/>
              </w:rPr>
              <w:t>Sumativa (Resultado)</w:t>
            </w:r>
          </w:p>
        </w:tc>
        <w:tc>
          <w:tcPr>
            <w:tcW w:type="dxa" w:w="39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Valora el nivel cuantitativo de logro de las competencias y determina la promoción.</w:t>
            </w:r>
          </w:p>
        </w:tc>
        <w:tc>
          <w:tcPr>
            <w:tcW w:type="dxa" w:w="3170"/>
            <w:tcBorders>
              <w:top w:val="single" w:sz="4" w:space="0" w:color="8EAADB"/>
              <w:left w:val="single" w:sz="4" w:space="0" w:color="8EAADB"/>
              <w:bottom w:val="single" w:sz="4" w:space="0" w:color="8EAADB"/>
              <w:right w:val="single" w:sz="4" w:space="0" w:color="8EAADB"/>
            </w:tcBorders>
            <w:shd w:val="clear" w:color="auto" w:fill="D9E2F3"/>
            <w:vAlign w:val="top"/>
          </w:tcPr>
          <w:p>
            <w:pPr>
              <w:tabs>
                <w:tab w:pos="255" w:val="left"/>
              </w:tabs>
              <w:spacing w:before="0" w:after="0" w:line="240" w:lineRule="auto"/>
              <w:ind w:left="255" w:hanging="255"/>
              <w:jc w:val="left"/>
            </w:pPr>
            <w:r>
              <w:rPr>
                <w:rFonts w:ascii="Century Gothic" w:hAnsi="Century Gothic" w:cs="Century Gothic" w:eastAsia="Century Gothic"/>
                <w:sz w:val="20"/>
              </w:rPr>
              <w:t>▪</w:t>
              <w:tab/>
            </w:r>
            <w:r>
              <w:rPr>
                <w:rFonts w:ascii="Century Gothic" w:hAnsi="Century Gothic" w:cs="Century Gothic" w:eastAsia="Century Gothic"/>
                <w:b w:val="0"/>
                <w:i w:val="0"/>
                <w:sz w:val="20"/>
              </w:rPr>
              <w:t>Pruebas escritas y grupales</w:t>
            </w:r>
          </w:p>
          <w:p>
            <w:pPr>
              <w:tabs>
                <w:tab w:pos="255" w:val="left"/>
              </w:tabs>
              <w:spacing w:before="0" w:after="0" w:line="240" w:lineRule="auto"/>
              <w:ind w:left="255" w:hanging="255"/>
              <w:jc w:val="left"/>
            </w:pPr>
            <w:r>
              <w:rPr>
                <w:rFonts w:ascii="Century Gothic" w:hAnsi="Century Gothic" w:cs="Century Gothic" w:eastAsia="Century Gothic"/>
                <w:sz w:val="20"/>
              </w:rPr>
              <w:t>▪</w:t>
              <w:tab/>
            </w:r>
            <w:r>
              <w:rPr>
                <w:rFonts w:ascii="Century Gothic" w:hAnsi="Century Gothic" w:cs="Century Gothic" w:eastAsia="Century Gothic"/>
                <w:b w:val="0"/>
                <w:i w:val="0"/>
                <w:sz w:val="20"/>
              </w:rPr>
              <w:t>Defensa de proyectos integradores e informes técnicos</w:t>
            </w:r>
          </w:p>
        </w:tc>
      </w:tr>
    </w:tbl>
    <w:p>
      <w:pPr>
        <w:spacing w:before="0" w:after="120" w:line="240" w:lineRule="auto"/>
        <w:jc w:val="left"/>
      </w:pPr>
    </w:p>
    <w:p>
      <w:pPr>
        <w:keepNext/>
        <w:spacing w:before="40" w:after="200" w:line="240" w:lineRule="auto"/>
        <w:jc w:val="left"/>
      </w:pPr>
      <w:r>
        <w:rPr>
          <w:rFonts w:ascii="Century Gothic" w:hAnsi="Century Gothic" w:cs="Century Gothic" w:eastAsia="Century Gothic"/>
          <w:b/>
          <w:i w:val="0"/>
          <w:sz w:val="22"/>
        </w:rPr>
        <w:t>Escala de Valoración y Nota de Aprobación</w:t>
      </w:r>
    </w:p>
    <w:p>
      <w:pPr>
        <w:numPr>
          <w:ilvl w:val="0"/>
          <w:numId w:val="996"/>
        </w:numPr>
        <w:spacing w:before="0" w:after="160" w:line="240" w:lineRule="auto"/>
        <w:jc w:val="both"/>
      </w:pPr>
      <w:r>
        <w:rPr>
          <w:rFonts w:ascii="Century Gothic" w:hAnsi="Century Gothic" w:cs="Century Gothic" w:eastAsia="Century Gothic"/>
          <w:b/>
          <w:i w:val="0"/>
          <w:sz w:val="20"/>
        </w:rPr>
        <w:t>Escala Numérica:</w:t>
      </w:r>
      <w:r>
        <w:rPr>
          <w:rFonts w:ascii="Century Gothic" w:hAnsi="Century Gothic" w:cs="Century Gothic" w:eastAsia="Century Gothic"/>
          <w:b w:val="0"/>
          <w:i w:val="0"/>
          <w:sz w:val="20"/>
        </w:rPr>
        <w:t xml:space="preserve"> La suma acumulativa de valoración en todas las asignaturas se pondera en la escala de </w:t>
      </w:r>
      <w:r>
        <w:rPr>
          <w:rFonts w:ascii="Century Gothic" w:hAnsi="Century Gothic" w:cs="Century Gothic" w:eastAsia="Century Gothic"/>
          <w:b/>
          <w:i w:val="0"/>
          <w:sz w:val="20"/>
        </w:rPr>
        <w:t>uno (1) a cien (100) puntos</w:t>
      </w:r>
      <w:r>
        <w:rPr>
          <w:rFonts w:ascii="Century Gothic" w:hAnsi="Century Gothic" w:cs="Century Gothic" w:eastAsia="Century Gothic"/>
          <w:b w:val="0"/>
          <w:i w:val="0"/>
          <w:sz w:val="20"/>
        </w:rPr>
        <w:t>.</w:t>
      </w:r>
    </w:p>
    <w:p>
      <w:pPr>
        <w:numPr>
          <w:ilvl w:val="0"/>
          <w:numId w:val="996"/>
        </w:numPr>
        <w:spacing w:before="0" w:after="200" w:line="240" w:lineRule="auto"/>
        <w:jc w:val="both"/>
      </w:pPr>
      <w:r>
        <w:rPr>
          <w:rFonts w:ascii="Century Gothic" w:hAnsi="Century Gothic" w:cs="Century Gothic" w:eastAsia="Century Gothic"/>
          <w:b/>
          <w:i w:val="0"/>
          <w:sz w:val="20"/>
        </w:rPr>
        <w:t>Nota Mínima de Aprobación:</w:t>
      </w:r>
      <w:r>
        <w:rPr>
          <w:rFonts w:ascii="Century Gothic" w:hAnsi="Century Gothic" w:cs="Century Gothic" w:eastAsia="Century Gothic"/>
          <w:b w:val="0"/>
          <w:i w:val="0"/>
          <w:sz w:val="20"/>
        </w:rPr>
        <w:t xml:space="preserve"> Se requiere un puntaje mínimo de </w:t>
      </w:r>
      <w:r>
        <w:rPr>
          <w:rFonts w:ascii="Century Gothic" w:hAnsi="Century Gothic" w:cs="Century Gothic" w:eastAsia="Century Gothic"/>
          <w:b/>
          <w:i w:val="0"/>
          <w:sz w:val="20"/>
        </w:rPr>
        <w:t>cincuenta y uno (51) puntos</w:t>
      </w:r>
      <w:r>
        <w:rPr>
          <w:rFonts w:ascii="Century Gothic" w:hAnsi="Century Gothic" w:cs="Century Gothic" w:eastAsia="Century Gothic"/>
          <w:b w:val="0"/>
          <w:i w:val="0"/>
          <w:sz w:val="20"/>
        </w:rPr>
        <w:t xml:space="preserve"> sobre 100 para la aprobación de cualquier asignatura, resultado de la suma ponderada de las evaluaciones procesuales y la prueba final.</w:t>
      </w:r>
    </w:p>
    <w:p>
      <w:pPr>
        <w:pageBreakBefore/>
        <w:spacing w:before="0" w:after="0" w:line="240" w:lineRule="auto"/>
        <w:jc w:val="center"/>
      </w:pPr>
      <w:r>
        <w:rPr>
          <w:rFonts w:ascii="Century Gothic" w:hAnsi="Century Gothic" w:cs="Century Gothic" w:eastAsia="Century Gothic"/>
          <w:b/>
          <w:i w:val="0"/>
          <w:sz w:val="28"/>
        </w:rPr>
        <w:t>Diseño Curricular</w:t>
      </w:r>
    </w:p>
    <w:p>
      <w:pPr>
        <w:spacing w:before="0" w:after="360" w:line="240" w:lineRule="auto"/>
        <w:jc w:val="center"/>
      </w:pPr>
      <w:r>
        <w:rPr>
          <w:rFonts w:ascii="Century Gothic" w:hAnsi="Century Gothic" w:cs="Century Gothic" w:eastAsia="Century Gothic"/>
          <w:b/>
          <w:i w:val="0"/>
          <w:sz w:val="28"/>
        </w:rPr>
        <w:t>Admisión, Promoción y Graduación</w:t>
      </w:r>
    </w:p>
    <w:p>
      <w:pPr>
        <w:keepNext/>
        <w:tabs>
          <w:tab w:pos="709" w:val="left"/>
        </w:tabs>
        <w:spacing w:before="160" w:after="200" w:line="240" w:lineRule="auto"/>
        <w:ind w:left="709" w:hanging="709"/>
        <w:jc w:val="left"/>
      </w:pPr>
      <w:r>
        <w:rPr>
          <w:rFonts w:ascii="Century Gothic" w:hAnsi="Century Gothic" w:cs="Century Gothic" w:eastAsia="Century Gothic"/>
          <w:b/>
          <w:i w:val="0"/>
          <w:sz w:val="24"/>
        </w:rPr>
        <w:t>5.</w:t>
        <w:tab/>
      </w:r>
      <w:r>
        <w:rPr>
          <w:rFonts w:ascii="Century Gothic" w:hAnsi="Century Gothic" w:cs="Century Gothic" w:eastAsia="Century Gothic"/>
          <w:b/>
          <w:i w:val="0"/>
          <w:sz w:val="24"/>
        </w:rPr>
        <w:t>Admisión, promoción y graduación</w:t>
      </w:r>
    </w:p>
    <w:p>
      <w:pPr>
        <w:keepNext/>
        <w:tabs>
          <w:tab w:pos="709" w:val="left"/>
        </w:tabs>
        <w:spacing w:before="120" w:after="200" w:line="240" w:lineRule="auto"/>
        <w:ind w:left="709" w:hanging="709"/>
        <w:jc w:val="left"/>
      </w:pPr>
      <w:r>
        <w:rPr>
          <w:rFonts w:ascii="Century Gothic" w:hAnsi="Century Gothic" w:cs="Century Gothic" w:eastAsia="Century Gothic"/>
          <w:b/>
          <w:i w:val="0"/>
          <w:sz w:val="24"/>
        </w:rPr>
        <w:t>5.1</w:t>
        <w:tab/>
      </w:r>
      <w:r>
        <w:rPr>
          <w:rFonts w:ascii="Century Gothic" w:hAnsi="Century Gothic" w:cs="Century Gothic" w:eastAsia="Century Gothic"/>
          <w:b/>
          <w:i w:val="0"/>
          <w:sz w:val="24"/>
        </w:rPr>
        <w:t>Perfil del postulante</w:t>
      </w:r>
    </w:p>
    <w:p>
      <w:pPr>
        <w:keepNext/>
        <w:tabs>
          <w:tab w:pos="709" w:val="left"/>
        </w:tabs>
        <w:spacing w:before="80" w:after="200" w:line="240" w:lineRule="auto"/>
        <w:ind w:left="709" w:hanging="709"/>
        <w:jc w:val="left"/>
      </w:pPr>
      <w:r>
        <w:rPr>
          <w:rFonts w:ascii="Century Gothic" w:hAnsi="Century Gothic" w:cs="Century Gothic" w:eastAsia="Century Gothic"/>
          <w:b/>
          <w:i w:val="0"/>
          <w:sz w:val="22"/>
        </w:rPr>
        <w:t>5.1.1</w:t>
        <w:tab/>
      </w:r>
      <w:r>
        <w:rPr>
          <w:rFonts w:ascii="Century Gothic" w:hAnsi="Century Gothic" w:cs="Century Gothic" w:eastAsia="Century Gothic"/>
          <w:b/>
          <w:i w:val="0"/>
          <w:sz w:val="22"/>
        </w:rPr>
        <w:t>Perfil del Postulante (Perfil de Ingreso)</w:t>
      </w:r>
    </w:p>
    <w:p>
      <w:pPr>
        <w:spacing w:before="0" w:after="200" w:line="240" w:lineRule="auto"/>
        <w:jc w:val="both"/>
      </w:pPr>
      <w:r>
        <w:rPr>
          <w:rFonts w:ascii="Century Gothic" w:hAnsi="Century Gothic" w:cs="Century Gothic" w:eastAsia="Century Gothic"/>
          <w:b w:val="0"/>
          <w:i w:val="0"/>
          <w:sz w:val="20"/>
        </w:rPr>
        <w:t>El postulante a la Carrera de Contaduría Pública de la UMSA es un bachiller que demuestra vocación por las ciencias económicas, contables y financieras, caracterizándose por poseer:</w:t>
      </w:r>
    </w:p>
    <w:p>
      <w:pPr>
        <w:numPr>
          <w:ilvl w:val="0"/>
          <w:numId w:val="1006"/>
        </w:numPr>
        <w:spacing w:before="0" w:after="160" w:line="240" w:lineRule="auto"/>
        <w:jc w:val="both"/>
      </w:pPr>
      <w:r>
        <w:rPr>
          <w:rFonts w:ascii="Century Gothic" w:hAnsi="Century Gothic" w:cs="Century Gothic" w:eastAsia="Century Gothic"/>
          <w:b/>
          <w:i w:val="0"/>
          <w:sz w:val="20"/>
        </w:rPr>
        <w:t>Base Cognitiva Fundamental:</w:t>
      </w:r>
      <w:r>
        <w:rPr>
          <w:rFonts w:ascii="Century Gothic" w:hAnsi="Century Gothic" w:cs="Century Gothic" w:eastAsia="Century Gothic"/>
          <w:b w:val="0"/>
          <w:i w:val="0"/>
          <w:sz w:val="20"/>
        </w:rPr>
        <w:t xml:space="preserve"> Conocimientos básicos en matemáticas (aritmética, álgebra y lógica matemática), lenguaje (gramática, ortografía, comprensión lectora y redacción) y una noción elemental del entorno socioeconómico nacional.</w:t>
      </w:r>
    </w:p>
    <w:p>
      <w:pPr>
        <w:numPr>
          <w:ilvl w:val="0"/>
          <w:numId w:val="1006"/>
        </w:numPr>
        <w:spacing w:before="0" w:after="160" w:line="240" w:lineRule="auto"/>
        <w:jc w:val="both"/>
      </w:pPr>
      <w:r>
        <w:rPr>
          <w:rFonts w:ascii="Century Gothic" w:hAnsi="Century Gothic" w:cs="Century Gothic" w:eastAsia="Century Gothic"/>
          <w:b/>
          <w:i w:val="0"/>
          <w:sz w:val="20"/>
        </w:rPr>
        <w:t>Aptitudes Analíticas y Cuantitativas:</w:t>
      </w:r>
      <w:r>
        <w:rPr>
          <w:rFonts w:ascii="Century Gothic" w:hAnsi="Century Gothic" w:cs="Century Gothic" w:eastAsia="Century Gothic"/>
          <w:b w:val="0"/>
          <w:i w:val="0"/>
          <w:sz w:val="20"/>
        </w:rPr>
        <w:t xml:space="preserve"> Capacidad de razonamiento lógico-deductivo, aptitud para la resolución de problemas numéricos, habilidad para la comunicación verbal/escrita y disposición para el aprendizaje de tecnologías de la información e idiomas (inglés).</w:t>
      </w:r>
    </w:p>
    <w:p>
      <w:pPr>
        <w:numPr>
          <w:ilvl w:val="0"/>
          <w:numId w:val="1006"/>
        </w:numPr>
        <w:spacing w:before="0" w:after="160" w:line="240" w:lineRule="auto"/>
        <w:jc w:val="both"/>
      </w:pPr>
      <w:r>
        <w:rPr>
          <w:rFonts w:ascii="Century Gothic" w:hAnsi="Century Gothic" w:cs="Century Gothic" w:eastAsia="Century Gothic"/>
          <w:b/>
          <w:i w:val="0"/>
          <w:sz w:val="20"/>
        </w:rPr>
        <w:t>Actitudes y Valores:</w:t>
      </w:r>
      <w:r>
        <w:rPr>
          <w:rFonts w:ascii="Century Gothic" w:hAnsi="Century Gothic" w:cs="Century Gothic" w:eastAsia="Century Gothic"/>
          <w:b w:val="0"/>
          <w:i w:val="0"/>
          <w:sz w:val="20"/>
        </w:rPr>
        <w:t xml:space="preserve"> Integridad personal, conducta ética, compromiso con la transparencia, disposición para el trabajo colaborativo, disciplina de estudio, espíritu reflexivo y responsabilidad social.</w:t>
      </w:r>
    </w:p>
    <w:p>
      <w:pPr>
        <w:numPr>
          <w:ilvl w:val="0"/>
          <w:numId w:val="1006"/>
        </w:numPr>
        <w:spacing w:before="0" w:after="200" w:line="240" w:lineRule="auto"/>
        <w:jc w:val="both"/>
      </w:pPr>
      <w:r>
        <w:rPr>
          <w:rFonts w:ascii="Century Gothic" w:hAnsi="Century Gothic" w:cs="Century Gothic" w:eastAsia="Century Gothic"/>
          <w:b/>
          <w:i w:val="0"/>
          <w:sz w:val="20"/>
        </w:rPr>
        <w:t>Mecanismos de Admisión (IES 1 de la IFAC):</w:t>
      </w:r>
      <w:r>
        <w:rPr>
          <w:rFonts w:ascii="Century Gothic" w:hAnsi="Century Gothic" w:cs="Century Gothic" w:eastAsia="Century Gothic"/>
          <w:b w:val="0"/>
          <w:i w:val="0"/>
          <w:sz w:val="20"/>
        </w:rPr>
        <w:t xml:space="preserve"> Para su incorporación formal, el postulante debe superar los procesos de evaluación de los Cursos Pre-Facultativos (CPF), las Pruebas de Suficiencia Académica (PSA) o acogerse al Régimen de Admisión Especial (bachilleres de excelencia, convenios y normas UMSA/SUB).</w:t>
      </w:r>
    </w:p>
    <w:p>
      <w:pPr>
        <w:keepNext/>
        <w:tabs>
          <w:tab w:pos="709" w:val="left"/>
        </w:tabs>
        <w:spacing w:before="120" w:after="200" w:line="240" w:lineRule="auto"/>
        <w:ind w:left="709" w:hanging="709"/>
        <w:jc w:val="left"/>
      </w:pPr>
      <w:r>
        <w:rPr>
          <w:rFonts w:ascii="Century Gothic" w:hAnsi="Century Gothic" w:cs="Century Gothic" w:eastAsia="Century Gothic"/>
          <w:b/>
          <w:i w:val="0"/>
          <w:sz w:val="24"/>
        </w:rPr>
        <w:t>5.2</w:t>
        <w:tab/>
      </w:r>
      <w:r>
        <w:rPr>
          <w:rFonts w:ascii="Century Gothic" w:hAnsi="Century Gothic" w:cs="Century Gothic" w:eastAsia="Century Gothic"/>
          <w:b/>
          <w:i w:val="0"/>
          <w:sz w:val="24"/>
        </w:rPr>
        <w:t>Modalidades de admisión</w:t>
      </w:r>
    </w:p>
    <w:p>
      <w:pPr>
        <w:keepNext/>
        <w:tabs>
          <w:tab w:pos="709" w:val="left"/>
        </w:tabs>
        <w:spacing w:before="80" w:after="200" w:line="240" w:lineRule="auto"/>
        <w:ind w:left="709" w:hanging="709"/>
        <w:jc w:val="left"/>
      </w:pPr>
      <w:r>
        <w:rPr>
          <w:rFonts w:ascii="Century Gothic" w:hAnsi="Century Gothic" w:cs="Century Gothic" w:eastAsia="Century Gothic"/>
          <w:b/>
          <w:i w:val="0"/>
          <w:sz w:val="22"/>
        </w:rPr>
        <w:t>5.2.1</w:t>
        <w:tab/>
      </w:r>
      <w:r>
        <w:rPr>
          <w:rFonts w:ascii="Century Gothic" w:hAnsi="Century Gothic" w:cs="Century Gothic" w:eastAsia="Century Gothic"/>
          <w:b/>
          <w:i w:val="0"/>
          <w:sz w:val="22"/>
        </w:rPr>
        <w:t>Sistema de Admisión Estudiantil</w:t>
      </w:r>
    </w:p>
    <w:p>
      <w:pPr>
        <w:spacing w:before="0" w:after="200" w:line="240" w:lineRule="auto"/>
        <w:jc w:val="both"/>
      </w:pPr>
      <w:r>
        <w:rPr>
          <w:rFonts w:ascii="Century Gothic" w:hAnsi="Century Gothic" w:cs="Century Gothic" w:eastAsia="Century Gothic"/>
          <w:b w:val="0"/>
          <w:i w:val="0"/>
          <w:sz w:val="20"/>
        </w:rPr>
        <w:t>El sistema de admisión de postulantes a la Carrera de Contaduría Pública de la UMSA se rige estrictamente por el Reglamento del Régimen Estudiantil de la Universidad Boliviana (aprobado en los Congresos Nacionales del SUB) y el Reglamento de Admisión Facultativa aprobado por la Resolución HCU Nº 184/98 del Honorable Consejo Universitario de la Universidad Mayor de “San Andrés” emitida el 9 de septiembre de 1998.</w:t>
      </w:r>
    </w:p>
    <w:p>
      <w:pPr>
        <w:spacing w:before="0" w:after="200" w:line="240" w:lineRule="auto"/>
        <w:jc w:val="both"/>
      </w:pPr>
      <w:r>
        <w:rPr>
          <w:rFonts w:ascii="Century Gothic" w:hAnsi="Century Gothic" w:cs="Century Gothic" w:eastAsia="Century Gothic"/>
          <w:b w:val="0"/>
          <w:i w:val="0"/>
          <w:sz w:val="20"/>
        </w:rPr>
        <w:t>En el marco de la gratuidad, equidad, transparencia y meritocracia de la educación superior pública, la Carrera reconoce únicamente tres (3) modalidades oficiales de admisión:</w:t>
      </w:r>
    </w:p>
    <w:p>
      <w:pPr>
        <w:numPr>
          <w:ilvl w:val="0"/>
          <w:numId w:val="1007"/>
        </w:numPr>
        <w:spacing w:before="0" w:after="160" w:line="240" w:lineRule="auto"/>
        <w:jc w:val="both"/>
      </w:pPr>
      <w:r>
        <w:rPr>
          <w:rFonts w:ascii="Century Gothic" w:hAnsi="Century Gothic" w:cs="Century Gothic" w:eastAsia="Century Gothic"/>
          <w:b/>
          <w:i w:val="0"/>
          <w:sz w:val="20"/>
        </w:rPr>
        <w:t>Prueba de Suficiencia Académica (P.S.A.):</w:t>
      </w:r>
      <w:r>
        <w:rPr>
          <w:rFonts w:ascii="Century Gothic" w:hAnsi="Century Gothic" w:cs="Century Gothic" w:eastAsia="Century Gothic"/>
          <w:b w:val="0"/>
          <w:i w:val="0"/>
          <w:sz w:val="20"/>
        </w:rPr>
        <w:t xml:space="preserve"> Mecanismo de evaluación presencial directa de conocimientos básicos (matemáticas, lenguaje, lógica y entorno socioeconómico) y diagnóstico psicotécnico, que permite a los bachilleres habilitarse para iniciar estudios universitarios sin el requisito del curso preuniversitario.</w:t>
      </w:r>
    </w:p>
    <w:p>
      <w:pPr>
        <w:numPr>
          <w:ilvl w:val="0"/>
          <w:numId w:val="1007"/>
        </w:numPr>
        <w:spacing w:before="0" w:after="160" w:line="240" w:lineRule="auto"/>
        <w:jc w:val="both"/>
      </w:pPr>
      <w:r>
        <w:rPr>
          <w:rFonts w:ascii="Century Gothic" w:hAnsi="Century Gothic" w:cs="Century Gothic" w:eastAsia="Century Gothic"/>
          <w:b/>
          <w:i w:val="0"/>
          <w:sz w:val="20"/>
        </w:rPr>
        <w:t>Curso Pre-Facultativo (C.P.F. / C.P.U.):</w:t>
      </w:r>
      <w:r>
        <w:rPr>
          <w:rFonts w:ascii="Century Gothic" w:hAnsi="Century Gothic" w:cs="Century Gothic" w:eastAsia="Century Gothic"/>
          <w:b w:val="0"/>
          <w:i w:val="0"/>
          <w:sz w:val="20"/>
        </w:rPr>
        <w:t xml:space="preserve"> Programa académico intensivo de nivelación que fortalece las capacidades cognoscitivas, aptitudes y razonamiento lógico de los postulantes. Comprende clases lectivas, pruebas parciales, trabajos prácticos y una evaluación final integradora.</w:t>
      </w:r>
    </w:p>
    <w:p>
      <w:pPr>
        <w:numPr>
          <w:ilvl w:val="0"/>
          <w:numId w:val="1007"/>
        </w:numPr>
        <w:spacing w:before="0" w:after="160" w:line="240" w:lineRule="auto"/>
        <w:jc w:val="both"/>
      </w:pPr>
      <w:r>
        <w:rPr>
          <w:rFonts w:ascii="Century Gothic" w:hAnsi="Century Gothic" w:cs="Century Gothic" w:eastAsia="Century Gothic"/>
          <w:b/>
          <w:i w:val="0"/>
          <w:sz w:val="20"/>
        </w:rPr>
        <w:t>Admisión Especial (A.E.):</w:t>
      </w:r>
      <w:r>
        <w:rPr>
          <w:rFonts w:ascii="Century Gothic" w:hAnsi="Century Gothic" w:cs="Century Gothic" w:eastAsia="Century Gothic"/>
          <w:b w:val="0"/>
          <w:i w:val="0"/>
          <w:sz w:val="20"/>
        </w:rPr>
        <w:t xml:space="preserve"> Procedimiento académico-administrativo regulado por la normativa del SUB y la UMSA, mediante el cual quedan exentos de la P.S.A. o C.P.F. las personas que acrediten:</w:t>
      </w:r>
    </w:p>
    <w:p>
      <w:pPr>
        <w:numPr>
          <w:ilvl w:val="1"/>
          <w:numId w:val="1007"/>
        </w:numPr>
        <w:spacing w:before="0" w:after="60" w:line="240" w:lineRule="auto"/>
        <w:jc w:val="both"/>
      </w:pPr>
      <w:r>
        <w:rPr>
          <w:rFonts w:ascii="Century Gothic" w:hAnsi="Century Gothic" w:cs="Century Gothic" w:eastAsia="Century Gothic"/>
          <w:b w:val="0"/>
          <w:i w:val="0"/>
          <w:sz w:val="20"/>
        </w:rPr>
        <w:t>Título de Licenciatura o Técnico Superior expedido por el Sistema de la Universidad Boliviana.</w:t>
      </w:r>
    </w:p>
    <w:p>
      <w:pPr>
        <w:numPr>
          <w:ilvl w:val="1"/>
          <w:numId w:val="1007"/>
        </w:numPr>
        <w:spacing w:before="0" w:after="60" w:line="240" w:lineRule="auto"/>
        <w:jc w:val="both"/>
      </w:pPr>
      <w:r>
        <w:rPr>
          <w:rFonts w:ascii="Century Gothic" w:hAnsi="Century Gothic" w:cs="Century Gothic" w:eastAsia="Century Gothic"/>
          <w:b w:val="0"/>
          <w:i w:val="0"/>
          <w:sz w:val="20"/>
        </w:rPr>
        <w:t>Graduados de Colegios Militares, Universidad Policial o Escuelas Superiores de Formación de Maestros.</w:t>
      </w:r>
    </w:p>
    <w:p>
      <w:pPr>
        <w:numPr>
          <w:ilvl w:val="1"/>
          <w:numId w:val="1007"/>
        </w:numPr>
        <w:spacing w:before="0" w:after="60" w:line="240" w:lineRule="auto"/>
        <w:jc w:val="both"/>
      </w:pPr>
      <w:r>
        <w:rPr>
          <w:rFonts w:ascii="Century Gothic" w:hAnsi="Century Gothic" w:cs="Century Gothic" w:eastAsia="Century Gothic"/>
          <w:b w:val="0"/>
          <w:i w:val="0"/>
          <w:sz w:val="20"/>
        </w:rPr>
        <w:t>Bachilleres con promedios de excelencia académica.</w:t>
      </w:r>
    </w:p>
    <w:p>
      <w:pPr>
        <w:numPr>
          <w:ilvl w:val="1"/>
          <w:numId w:val="1007"/>
        </w:numPr>
        <w:spacing w:before="0" w:after="60" w:line="240" w:lineRule="auto"/>
        <w:jc w:val="both"/>
      </w:pPr>
      <w:r>
        <w:rPr>
          <w:rFonts w:ascii="Century Gothic" w:hAnsi="Century Gothic" w:cs="Century Gothic" w:eastAsia="Century Gothic"/>
          <w:b w:val="0"/>
          <w:i w:val="0"/>
          <w:sz w:val="20"/>
        </w:rPr>
        <w:t>Ganadores de olimpiadas científicas, culturales o deportivas.</w:t>
      </w:r>
    </w:p>
    <w:p>
      <w:pPr>
        <w:numPr>
          <w:ilvl w:val="1"/>
          <w:numId w:val="1007"/>
        </w:numPr>
        <w:spacing w:before="0" w:after="200" w:line="240" w:lineRule="auto"/>
        <w:jc w:val="both"/>
      </w:pPr>
      <w:r>
        <w:rPr>
          <w:rFonts w:ascii="Century Gothic" w:hAnsi="Century Gothic" w:cs="Century Gothic" w:eastAsia="Century Gothic"/>
          <w:b w:val="0"/>
          <w:i w:val="0"/>
          <w:sz w:val="20"/>
        </w:rPr>
        <w:t>Postulantes beneficiarios de programas de inclusión social (pueblos originarios o personas con discapacidad).</w:t>
      </w:r>
    </w:p>
    <w:p>
      <w:pPr>
        <w:spacing w:before="0" w:after="200" w:line="240" w:lineRule="auto"/>
        <w:jc w:val="both"/>
      </w:pPr>
      <w:r>
        <w:rPr>
          <w:rFonts w:ascii="Century Gothic" w:hAnsi="Century Gothic" w:cs="Century Gothic" w:eastAsia="Century Gothic"/>
          <w:b w:val="0"/>
          <w:i w:val="0"/>
          <w:sz w:val="20"/>
        </w:rPr>
        <w:t>Conforme a la normativa universitaria, la Carrera no reconoce ninguna otra modalidad de ingreso de carácter extraordinario, garantizando la igualdad de oportunidades para todos los aspirantes.</w:t>
      </w:r>
    </w:p>
    <w:p>
      <w:pPr>
        <w:keepNext/>
        <w:tabs>
          <w:tab w:pos="709" w:val="left"/>
        </w:tabs>
        <w:spacing w:before="120" w:after="200" w:line="240" w:lineRule="auto"/>
        <w:ind w:left="709" w:hanging="709"/>
        <w:jc w:val="left"/>
      </w:pPr>
      <w:r>
        <w:rPr>
          <w:rFonts w:ascii="Century Gothic" w:hAnsi="Century Gothic" w:cs="Century Gothic" w:eastAsia="Century Gothic"/>
          <w:b/>
          <w:i w:val="0"/>
          <w:sz w:val="24"/>
        </w:rPr>
        <w:t>5.3</w:t>
        <w:tab/>
      </w:r>
      <w:r>
        <w:rPr>
          <w:rFonts w:ascii="Century Gothic" w:hAnsi="Century Gothic" w:cs="Century Gothic" w:eastAsia="Century Gothic"/>
          <w:b/>
          <w:i w:val="0"/>
          <w:sz w:val="24"/>
        </w:rPr>
        <w:t>Condiciones de permanencia, licencias, suspensiones, plazo máximo de reincorporación, abandono, etc.</w:t>
      </w:r>
    </w:p>
    <w:p>
      <w:pPr>
        <w:keepNext/>
        <w:tabs>
          <w:tab w:pos="709" w:val="left"/>
        </w:tabs>
        <w:spacing w:before="80" w:after="200" w:line="240" w:lineRule="auto"/>
        <w:ind w:left="709" w:hanging="709"/>
        <w:jc w:val="left"/>
      </w:pPr>
      <w:r>
        <w:rPr>
          <w:rFonts w:ascii="Century Gothic" w:hAnsi="Century Gothic" w:cs="Century Gothic" w:eastAsia="Century Gothic"/>
          <w:b/>
          <w:i w:val="0"/>
          <w:sz w:val="22"/>
        </w:rPr>
        <w:t>5.3.1</w:t>
        <w:tab/>
      </w:r>
      <w:r>
        <w:rPr>
          <w:rFonts w:ascii="Century Gothic" w:hAnsi="Century Gothic" w:cs="Century Gothic" w:eastAsia="Century Gothic"/>
          <w:b/>
          <w:i w:val="0"/>
          <w:sz w:val="22"/>
        </w:rPr>
        <w:t>Sistema de Administración Curricular y Régimen Académico</w:t>
      </w:r>
    </w:p>
    <w:p>
      <w:pPr>
        <w:spacing w:before="0" w:after="200" w:line="240" w:lineRule="auto"/>
        <w:jc w:val="both"/>
      </w:pPr>
      <w:r>
        <w:rPr>
          <w:rFonts w:ascii="Century Gothic" w:hAnsi="Century Gothic" w:cs="Century Gothic" w:eastAsia="Century Gothic"/>
          <w:b w:val="0"/>
          <w:i w:val="0"/>
          <w:sz w:val="20"/>
        </w:rPr>
        <w:t xml:space="preserve">El Plan de Estudios 2027 de la Carrera de Contaduría Pública de la UMSA se administra bajo una </w:t>
      </w:r>
      <w:r>
        <w:rPr>
          <w:rFonts w:ascii="Century Gothic" w:hAnsi="Century Gothic" w:cs="Century Gothic" w:eastAsia="Century Gothic"/>
          <w:b/>
          <w:i w:val="0"/>
          <w:sz w:val="20"/>
        </w:rPr>
        <w:t>modalidad presencial de régimen anualizado</w:t>
      </w:r>
      <w:r>
        <w:rPr>
          <w:rFonts w:ascii="Century Gothic" w:hAnsi="Century Gothic" w:cs="Century Gothic" w:eastAsia="Century Gothic"/>
          <w:b w:val="0"/>
          <w:i w:val="0"/>
          <w:sz w:val="20"/>
        </w:rPr>
        <w:t xml:space="preserve"> compuesto por 5 gestiones académicas (40 semanas lectivas por gestión), en conformidad con el Estatuto Orgánico de la UMSA y el Reglamento del Régimen Estudiantil del Sistema de la Universidad Boliviana.</w:t>
      </w:r>
    </w:p>
    <w:p>
      <w:pPr>
        <w:spacing w:before="0" w:after="200" w:line="240" w:lineRule="auto"/>
        <w:jc w:val="both"/>
      </w:pPr>
      <w:r>
        <w:rPr>
          <w:rFonts w:ascii="Century Gothic" w:hAnsi="Century Gothic" w:cs="Century Gothic" w:eastAsia="Century Gothic"/>
          <w:b w:val="0"/>
          <w:i w:val="0"/>
          <w:sz w:val="20"/>
        </w:rPr>
        <w:t>Para apoyar la prosecución académica, la nivelación y la disminución de los índices de retención estudiantil, se contemplan las siguientes modalidades académicas complementarias:</w:t>
      </w:r>
    </w:p>
    <w:p>
      <w:pPr>
        <w:keepNext/>
        <w:tabs>
          <w:tab w:pos="709" w:val="left"/>
        </w:tabs>
        <w:spacing w:before="40" w:after="200" w:line="240" w:lineRule="auto"/>
        <w:ind w:left="709" w:hanging="709"/>
        <w:jc w:val="left"/>
      </w:pPr>
      <w:r>
        <w:rPr>
          <w:rFonts w:ascii="Century Gothic" w:hAnsi="Century Gothic" w:cs="Century Gothic" w:eastAsia="Century Gothic"/>
          <w:b/>
          <w:i w:val="0"/>
          <w:sz w:val="22"/>
        </w:rPr>
        <w:t>a.</w:t>
        <w:tab/>
      </w:r>
      <w:r>
        <w:rPr>
          <w:rFonts w:ascii="Century Gothic" w:hAnsi="Century Gothic" w:cs="Century Gothic" w:eastAsia="Century Gothic"/>
          <w:b/>
          <w:i w:val="0"/>
          <w:sz w:val="22"/>
        </w:rPr>
        <w:t>Cursos Intensivos de Temporada (Verano)</w:t>
      </w:r>
    </w:p>
    <w:p>
      <w:pPr>
        <w:spacing w:before="0" w:after="200" w:line="240" w:lineRule="auto"/>
        <w:jc w:val="both"/>
      </w:pPr>
      <w:r>
        <w:rPr>
          <w:rFonts w:ascii="Century Gothic" w:hAnsi="Century Gothic" w:cs="Century Gothic" w:eastAsia="Century Gothic"/>
          <w:b w:val="0"/>
          <w:i w:val="0"/>
          <w:sz w:val="20"/>
        </w:rPr>
        <w:t xml:space="preserve">Normados por la </w:t>
      </w:r>
      <w:r>
        <w:rPr>
          <w:rFonts w:ascii="Century Gothic" w:hAnsi="Century Gothic" w:cs="Century Gothic" w:eastAsia="Century Gothic"/>
          <w:b/>
          <w:i w:val="0"/>
          <w:sz w:val="20"/>
        </w:rPr>
        <w:t>Resolución HCU Nº 093/2006 Reglamento de Cursos de Temporada de la UMSA</w:t>
      </w:r>
      <w:r>
        <w:rPr>
          <w:rFonts w:ascii="Century Gothic" w:hAnsi="Century Gothic" w:cs="Century Gothic" w:eastAsia="Century Gothic"/>
          <w:b w:val="0"/>
          <w:i w:val="0"/>
          <w:sz w:val="20"/>
        </w:rPr>
        <w:t xml:space="preserve">, de 15 de marzo de 2006 que en su Artículo 13º establece que: </w:t>
      </w:r>
      <w:r>
        <w:rPr>
          <w:rFonts w:ascii="Century Gothic" w:hAnsi="Century Gothic" w:cs="Century Gothic" w:eastAsia="Century Gothic"/>
          <w:b w:val="0"/>
          <w:i/>
          <w:sz w:val="20"/>
        </w:rPr>
        <w:t>“Las Carreras tienen la tuición de elegir las materias a ser dictadas en el periodo que dure los Cursos de Temporada en función de aspectos que cada unidad académica considere importante, debiendo sus contenidos ser cubiertos en un 100% en teoría y en práctica”</w:t>
      </w:r>
      <w:r>
        <w:rPr>
          <w:rFonts w:ascii="Century Gothic" w:hAnsi="Century Gothic" w:cs="Century Gothic" w:eastAsia="Century Gothic"/>
          <w:b w:val="0"/>
          <w:i w:val="0"/>
          <w:sz w:val="20"/>
        </w:rPr>
        <w:t>.</w:t>
      </w:r>
    </w:p>
    <w:p>
      <w:pPr>
        <w:spacing w:before="0" w:after="200" w:line="240" w:lineRule="auto"/>
        <w:jc w:val="both"/>
      </w:pPr>
      <w:r>
        <w:rPr>
          <w:rFonts w:ascii="Century Gothic" w:hAnsi="Century Gothic" w:cs="Century Gothic" w:eastAsia="Century Gothic"/>
          <w:b w:val="0"/>
          <w:i w:val="0"/>
          <w:sz w:val="20"/>
        </w:rPr>
        <w:t xml:space="preserve">Así mismo, el Artículo 6ª de dicha norma establece que: </w:t>
      </w:r>
      <w:r>
        <w:rPr>
          <w:rFonts w:ascii="Century Gothic" w:hAnsi="Century Gothic" w:cs="Century Gothic" w:eastAsia="Century Gothic"/>
          <w:b w:val="0"/>
          <w:i/>
          <w:sz w:val="20"/>
        </w:rPr>
        <w:t>“Cada curso se desarrollará en forma intensiva … al finalizar la gestión en caso de carreras anualizadas por un lapso de 60 días calendario (8 semanas) mínimamente, equivalente a la carga horaria suficiente para desarrollar la totalidad de su programa analítico en vigencia…”</w:t>
      </w:r>
      <w:r>
        <w:rPr>
          <w:rFonts w:ascii="Century Gothic" w:hAnsi="Century Gothic" w:cs="Century Gothic" w:eastAsia="Century Gothic"/>
          <w:b w:val="0"/>
          <w:i w:val="0"/>
          <w:sz w:val="20"/>
        </w:rPr>
        <w:t>.</w:t>
      </w:r>
    </w:p>
    <w:p>
      <w:pPr>
        <w:numPr>
          <w:ilvl w:val="0"/>
          <w:numId w:val="1008"/>
        </w:numPr>
        <w:spacing w:before="0" w:after="160" w:line="240" w:lineRule="auto"/>
        <w:jc w:val="both"/>
      </w:pPr>
      <w:r>
        <w:rPr>
          <w:rFonts w:ascii="Century Gothic" w:hAnsi="Century Gothic" w:cs="Century Gothic" w:eastAsia="Century Gothic"/>
          <w:b/>
          <w:i w:val="0"/>
          <w:sz w:val="20"/>
        </w:rPr>
        <w:t>Propósito:</w:t>
      </w:r>
      <w:r>
        <w:rPr>
          <w:rFonts w:ascii="Century Gothic" w:hAnsi="Century Gothic" w:cs="Century Gothic" w:eastAsia="Century Gothic"/>
          <w:b w:val="0"/>
          <w:i w:val="0"/>
          <w:sz w:val="20"/>
        </w:rPr>
        <w:t xml:space="preserve"> Ofrecer a los estudiantes regulares de la Carrera, la opción de cursar en un periodo intensivo en cada temporada, para nivelar o adelantar hasta dos asignaturas, cumpliendo los requisitos y pre-requisitos establecidos en los planes de estudio y reglamentos facultativos.</w:t>
      </w:r>
    </w:p>
    <w:p>
      <w:pPr>
        <w:numPr>
          <w:ilvl w:val="0"/>
          <w:numId w:val="1008"/>
        </w:numPr>
        <w:spacing w:before="0" w:after="160" w:line="240" w:lineRule="auto"/>
        <w:jc w:val="both"/>
      </w:pPr>
      <w:r>
        <w:rPr>
          <w:rFonts w:ascii="Century Gothic" w:hAnsi="Century Gothic" w:cs="Century Gothic" w:eastAsia="Century Gothic"/>
          <w:b/>
          <w:i w:val="0"/>
          <w:sz w:val="20"/>
        </w:rPr>
        <w:t>Alcance por Áreas:</w:t>
      </w:r>
      <w:r>
        <w:rPr>
          <w:rFonts w:ascii="Century Gothic" w:hAnsi="Century Gothic" w:cs="Century Gothic" w:eastAsia="Century Gothic"/>
          <w:b w:val="0"/>
          <w:i w:val="0"/>
          <w:sz w:val="20"/>
        </w:rPr>
        <w:t xml:space="preserve"> Aplicable sin restricciones para todas las </w:t>
      </w:r>
      <w:r>
        <w:rPr>
          <w:rFonts w:ascii="Century Gothic" w:hAnsi="Century Gothic" w:cs="Century Gothic" w:eastAsia="Century Gothic"/>
          <w:b/>
          <w:i w:val="0"/>
          <w:sz w:val="20"/>
        </w:rPr>
        <w:t>Asignaturas Contextuales</w:t>
      </w:r>
      <w:r>
        <w:rPr>
          <w:rFonts w:ascii="Century Gothic" w:hAnsi="Century Gothic" w:cs="Century Gothic" w:eastAsia="Century Gothic"/>
          <w:b w:val="0"/>
          <w:i w:val="0"/>
          <w:sz w:val="20"/>
        </w:rPr>
        <w:t xml:space="preserve"> (14 materias de Administración, Derecho, Economía y Matemáticas) y para las </w:t>
      </w:r>
      <w:r>
        <w:rPr>
          <w:rFonts w:ascii="Century Gothic" w:hAnsi="Century Gothic" w:cs="Century Gothic" w:eastAsia="Century Gothic"/>
          <w:b/>
          <w:i w:val="0"/>
          <w:sz w:val="20"/>
        </w:rPr>
        <w:t>Asignaturas Troncales</w:t>
      </w:r>
      <w:r>
        <w:rPr>
          <w:rFonts w:ascii="Century Gothic" w:hAnsi="Century Gothic" w:cs="Century Gothic" w:eastAsia="Century Gothic"/>
          <w:b w:val="0"/>
          <w:i w:val="0"/>
          <w:sz w:val="20"/>
        </w:rPr>
        <w:t xml:space="preserve"> con una carga horaria igual o menor a 80 horas anuales (CPA-102, CPA-204, CPA-406, CPA-506, CPA-507, CPA-508, CPA-509 y CPA-510).</w:t>
      </w:r>
    </w:p>
    <w:p>
      <w:pPr>
        <w:numPr>
          <w:ilvl w:val="0"/>
          <w:numId w:val="1008"/>
        </w:numPr>
        <w:spacing w:before="0" w:after="200" w:line="240" w:lineRule="auto"/>
        <w:jc w:val="both"/>
      </w:pPr>
      <w:r>
        <w:rPr>
          <w:rFonts w:ascii="Century Gothic" w:hAnsi="Century Gothic" w:cs="Century Gothic" w:eastAsia="Century Gothic"/>
          <w:b/>
          <w:i w:val="0"/>
          <w:sz w:val="20"/>
        </w:rPr>
        <w:t>Condición de Recuperación:</w:t>
      </w:r>
      <w:r>
        <w:rPr>
          <w:rFonts w:ascii="Century Gothic" w:hAnsi="Century Gothic" w:cs="Century Gothic" w:eastAsia="Century Gothic"/>
          <w:b w:val="0"/>
          <w:i w:val="0"/>
          <w:sz w:val="20"/>
        </w:rPr>
        <w:t xml:space="preserve"> Para asignaturas troncales con carga horaria superior a 80 horas, el estudiante podrá acceder a curso de verano </w:t>
      </w:r>
      <w:r>
        <w:rPr>
          <w:rFonts w:ascii="Century Gothic" w:hAnsi="Century Gothic" w:cs="Century Gothic" w:eastAsia="Century Gothic"/>
          <w:b/>
          <w:i w:val="0"/>
          <w:sz w:val="20"/>
        </w:rPr>
        <w:t>únicamente en calidad de</w:t>
      </w:r>
      <w:r>
        <w:rPr>
          <w:rFonts w:ascii="Century Gothic" w:hAnsi="Century Gothic" w:cs="Century Gothic" w:eastAsia="Century Gothic"/>
          <w:b w:val="0"/>
          <w:i w:val="0"/>
          <w:sz w:val="20"/>
        </w:rPr>
        <w:t xml:space="preserve"> </w:t>
      </w:r>
      <w:r>
        <w:rPr>
          <w:rFonts w:ascii="Century Gothic" w:hAnsi="Century Gothic" w:cs="Century Gothic" w:eastAsia="Century Gothic"/>
          <w:b/>
          <w:i w:val="0"/>
          <w:sz w:val="20"/>
        </w:rPr>
        <w:t>recuperación</w:t>
      </w:r>
      <w:r>
        <w:rPr>
          <w:rFonts w:ascii="Century Gothic" w:hAnsi="Century Gothic" w:cs="Century Gothic" w:eastAsia="Century Gothic"/>
          <w:b w:val="0"/>
          <w:i w:val="0"/>
          <w:sz w:val="20"/>
        </w:rPr>
        <w:t xml:space="preserve"> de materia reprobada, habiendo obtenido una nota previa igual o mayor a treinta (30) sobre cien (100) puntos en la gestión ordinaria previa.</w:t>
      </w:r>
    </w:p>
    <w:p>
      <w:pPr>
        <w:keepNext/>
        <w:tabs>
          <w:tab w:pos="709" w:val="left"/>
        </w:tabs>
        <w:spacing w:before="40" w:after="200" w:line="240" w:lineRule="auto"/>
        <w:ind w:left="709" w:hanging="709"/>
        <w:jc w:val="left"/>
      </w:pPr>
      <w:r>
        <w:rPr>
          <w:rFonts w:ascii="Century Gothic" w:hAnsi="Century Gothic" w:cs="Century Gothic" w:eastAsia="Century Gothic"/>
          <w:b/>
          <w:i w:val="0"/>
          <w:sz w:val="22"/>
        </w:rPr>
        <w:t>b.</w:t>
        <w:tab/>
      </w:r>
      <w:r>
        <w:rPr>
          <w:rFonts w:ascii="Century Gothic" w:hAnsi="Century Gothic" w:cs="Century Gothic" w:eastAsia="Century Gothic"/>
          <w:b/>
          <w:i w:val="0"/>
          <w:sz w:val="22"/>
        </w:rPr>
        <w:t>Mesas de Examen</w:t>
      </w:r>
    </w:p>
    <w:p>
      <w:pPr>
        <w:spacing w:before="0" w:after="200" w:line="240" w:lineRule="auto"/>
        <w:jc w:val="both"/>
      </w:pPr>
      <w:r>
        <w:rPr>
          <w:rFonts w:ascii="Century Gothic" w:hAnsi="Century Gothic" w:cs="Century Gothic" w:eastAsia="Century Gothic"/>
          <w:b w:val="0"/>
          <w:i w:val="0"/>
          <w:sz w:val="20"/>
        </w:rPr>
        <w:t xml:space="preserve">Reguladas por la </w:t>
      </w:r>
      <w:r>
        <w:rPr>
          <w:rFonts w:ascii="Century Gothic" w:hAnsi="Century Gothic" w:cs="Century Gothic" w:eastAsia="Century Gothic"/>
          <w:b/>
          <w:i w:val="0"/>
          <w:sz w:val="20"/>
        </w:rPr>
        <w:t>Resolución HCU Nº 352/2021 Reglamento de Mesa de Examen de la UMSA</w:t>
      </w:r>
      <w:r>
        <w:rPr>
          <w:rFonts w:ascii="Century Gothic" w:hAnsi="Century Gothic" w:cs="Century Gothic" w:eastAsia="Century Gothic"/>
          <w:b w:val="0"/>
          <w:i w:val="0"/>
          <w:sz w:val="20"/>
        </w:rPr>
        <w:t xml:space="preserve"> de 21 de julio de 2021 que en su Artículo 8º establece que: “</w:t>
      </w:r>
      <w:r>
        <w:rPr>
          <w:rFonts w:ascii="Century Gothic" w:hAnsi="Century Gothic" w:cs="Century Gothic" w:eastAsia="Century Gothic"/>
          <w:b w:val="0"/>
          <w:i/>
          <w:sz w:val="20"/>
        </w:rPr>
        <w:t>La mesa de examen se aplica tan solo a las materias teóricas del plan de estudios. El Consejo de Carrera definirá la lista de materias habilitadas, debiendo dar a conocer públicamente la nómina de las mismas”</w:t>
      </w:r>
      <w:r>
        <w:rPr>
          <w:rFonts w:ascii="Century Gothic" w:hAnsi="Century Gothic" w:cs="Century Gothic" w:eastAsia="Century Gothic"/>
          <w:b w:val="0"/>
          <w:i w:val="0"/>
          <w:sz w:val="20"/>
        </w:rPr>
        <w:t>.</w:t>
      </w:r>
    </w:p>
    <w:p>
      <w:pPr>
        <w:numPr>
          <w:ilvl w:val="0"/>
          <w:numId w:val="1008"/>
        </w:numPr>
        <w:spacing w:before="0" w:after="160" w:line="240" w:lineRule="auto"/>
        <w:jc w:val="both"/>
      </w:pPr>
      <w:r>
        <w:rPr>
          <w:rFonts w:ascii="Century Gothic" w:hAnsi="Century Gothic" w:cs="Century Gothic" w:eastAsia="Century Gothic"/>
          <w:b/>
          <w:i w:val="0"/>
          <w:sz w:val="20"/>
        </w:rPr>
        <w:t>Definición:</w:t>
      </w:r>
      <w:r>
        <w:rPr>
          <w:rFonts w:ascii="Century Gothic" w:hAnsi="Century Gothic" w:cs="Century Gothic" w:eastAsia="Century Gothic"/>
          <w:b w:val="0"/>
          <w:i w:val="0"/>
          <w:sz w:val="20"/>
        </w:rPr>
        <w:t xml:space="preserve"> Modalidad de evaluación extraordinaria que exime al estudiante de cursar la materia durante toda la gestión, rindiendo un examen integral (escrito y oral) sobre el 100% del programa analítico.</w:t>
      </w:r>
    </w:p>
    <w:p>
      <w:pPr>
        <w:numPr>
          <w:ilvl w:val="0"/>
          <w:numId w:val="1008"/>
        </w:numPr>
        <w:spacing w:before="0" w:after="200" w:line="240" w:lineRule="auto"/>
        <w:jc w:val="both"/>
      </w:pPr>
      <w:r>
        <w:rPr>
          <w:rFonts w:ascii="Century Gothic" w:hAnsi="Century Gothic" w:cs="Century Gothic" w:eastAsia="Century Gothic"/>
          <w:b/>
          <w:i w:val="0"/>
          <w:sz w:val="20"/>
        </w:rPr>
        <w:t>Condiciones de Habilitación:</w:t>
      </w:r>
      <w:r>
        <w:rPr>
          <w:rFonts w:ascii="Century Gothic" w:hAnsi="Century Gothic" w:cs="Century Gothic" w:eastAsia="Century Gothic"/>
          <w:b w:val="0"/>
          <w:i w:val="0"/>
          <w:sz w:val="20"/>
        </w:rPr>
        <w:t xml:space="preserve"> El estudiante puede inscribirse en un máximo de </w:t>
      </w:r>
      <w:r>
        <w:rPr>
          <w:rFonts w:ascii="Century Gothic" w:hAnsi="Century Gothic" w:cs="Century Gothic" w:eastAsia="Century Gothic"/>
          <w:b/>
          <w:i w:val="0"/>
          <w:sz w:val="20"/>
        </w:rPr>
        <w:t>dos (2) asignaturas por gestión</w:t>
      </w:r>
      <w:r>
        <w:rPr>
          <w:rFonts w:ascii="Century Gothic" w:hAnsi="Century Gothic" w:cs="Century Gothic" w:eastAsia="Century Gothic"/>
          <w:b w:val="0"/>
          <w:i w:val="0"/>
          <w:sz w:val="20"/>
        </w:rPr>
        <w:t>, previo cumplimiento estricto del régimen de prerrequisitos. La nómina de materias teóricas habilitadas para esta modalidad es aprobada anualmente por el Honorable Consejo de Carrera.</w:t>
      </w:r>
    </w:p>
    <w:p>
      <w:pPr>
        <w:spacing w:before="0" w:after="200" w:line="240" w:lineRule="auto"/>
        <w:jc w:val="both"/>
      </w:pPr>
      <w:r>
        <w:rPr>
          <w:rFonts w:ascii="Century Gothic" w:hAnsi="Century Gothic" w:cs="Century Gothic" w:eastAsia="Century Gothic"/>
          <w:b w:val="0"/>
          <w:i w:val="0"/>
          <w:sz w:val="20"/>
        </w:rPr>
        <w:t>Con base en los criterios justificados de la definición de “materia teórica”, se define la habilitación de las siguientes materias:</w:t>
      </w:r>
    </w:p>
    <w:tbl>
      <w:tblPr>
        <w:tblW w:type="auto" w:w="0"/>
        <w:jc w:val="center"/>
        <w:tblLayout w:type="fixed"/>
        <w:tblLook w:firstColumn="1" w:firstRow="1" w:lastColumn="0" w:lastRow="0" w:noHBand="0" w:noVBand="1" w:val="04A0"/>
      </w:tblPr>
      <w:tblGrid>
        <w:gridCol w:w="1159"/>
        <w:gridCol w:w="3125"/>
        <w:gridCol w:w="1159"/>
        <w:gridCol w:w="1159"/>
        <w:gridCol w:w="1309"/>
        <w:gridCol w:w="1159"/>
      </w:tblGrid>
      <w:tr>
        <w:trPr>
          <w:tblHeader/>
        </w:trPr>
        <w:tc>
          <w:tcPr>
            <w:tcW w:type="dxa" w:w="1159"/>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p>
        </w:tc>
        <w:tc>
          <w:tcPr>
            <w:tcW w:type="dxa" w:w="3125"/>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Código</w:t>
            </w:r>
          </w:p>
        </w:tc>
        <w:tc>
          <w:tcPr>
            <w:tcW w:type="dxa" w:w="1159"/>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p>
        </w:tc>
        <w:tc>
          <w:tcPr>
            <w:tcW w:type="dxa" w:w="1159"/>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p>
        </w:tc>
        <w:tc>
          <w:tcPr>
            <w:tcW w:type="dxa" w:w="1309"/>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Asignatura</w:t>
            </w:r>
          </w:p>
        </w:tc>
        <w:tc>
          <w:tcPr>
            <w:tcW w:type="dxa" w:w="1159"/>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p>
        </w:tc>
      </w:tr>
      <w:tr>
        <w:tc>
          <w:tcPr>
            <w:tcW w:type="dxa" w:w="9070"/>
            <w:gridSpan w:val="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i w:val="0"/>
                <w:sz w:val="20"/>
              </w:rPr>
              <w:t>Primer Año</w:t>
            </w:r>
          </w:p>
        </w:tc>
      </w:tr>
      <w:tr>
        <w:tc>
          <w:tcPr>
            <w:tcW w:type="dxa" w:w="115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ADM-101</w:t>
            </w:r>
          </w:p>
        </w:tc>
        <w:tc>
          <w:tcPr>
            <w:tcW w:type="dxa" w:w="312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Administración General</w:t>
            </w:r>
          </w:p>
        </w:tc>
        <w:tc>
          <w:tcPr>
            <w:tcW w:type="dxa" w:w="115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p>
        </w:tc>
        <w:tc>
          <w:tcPr>
            <w:tcW w:type="dxa" w:w="115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p>
        </w:tc>
        <w:tc>
          <w:tcPr>
            <w:tcW w:type="dxa" w:w="13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p>
        </w:tc>
        <w:tc>
          <w:tcPr>
            <w:tcW w:type="dxa" w:w="115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p>
        </w:tc>
      </w:tr>
      <w:tr>
        <w:tc>
          <w:tcPr>
            <w:tcW w:type="dxa" w:w="115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DER-101</w:t>
            </w:r>
          </w:p>
        </w:tc>
        <w:tc>
          <w:tcPr>
            <w:tcW w:type="dxa" w:w="312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Derecho Comercial y Gobierno Corporativo</w:t>
            </w:r>
          </w:p>
        </w:tc>
        <w:tc>
          <w:tcPr>
            <w:tcW w:type="dxa" w:w="115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p>
        </w:tc>
        <w:tc>
          <w:tcPr>
            <w:tcW w:type="dxa" w:w="115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p>
        </w:tc>
        <w:tc>
          <w:tcPr>
            <w:tcW w:type="dxa" w:w="13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p>
        </w:tc>
        <w:tc>
          <w:tcPr>
            <w:tcW w:type="dxa" w:w="115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p>
        </w:tc>
      </w:tr>
      <w:tr>
        <w:tc>
          <w:tcPr>
            <w:tcW w:type="dxa" w:w="115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DER-102</w:t>
            </w:r>
          </w:p>
        </w:tc>
        <w:tc>
          <w:tcPr>
            <w:tcW w:type="dxa" w:w="312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Derecho Laboral y Seguridad Social</w:t>
            </w:r>
          </w:p>
        </w:tc>
        <w:tc>
          <w:tcPr>
            <w:tcW w:type="dxa" w:w="115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p>
        </w:tc>
        <w:tc>
          <w:tcPr>
            <w:tcW w:type="dxa" w:w="115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p>
        </w:tc>
        <w:tc>
          <w:tcPr>
            <w:tcW w:type="dxa" w:w="13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p>
        </w:tc>
        <w:tc>
          <w:tcPr>
            <w:tcW w:type="dxa" w:w="115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p>
        </w:tc>
      </w:tr>
      <w:tr>
        <w:tc>
          <w:tcPr>
            <w:tcW w:type="dxa" w:w="9070"/>
            <w:gridSpan w:val="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i w:val="0"/>
                <w:sz w:val="20"/>
              </w:rPr>
              <w:t>Segundo Año</w:t>
            </w:r>
          </w:p>
        </w:tc>
      </w:tr>
      <w:tr>
        <w:tc>
          <w:tcPr>
            <w:tcW w:type="dxa" w:w="115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ADM-201</w:t>
            </w:r>
          </w:p>
        </w:tc>
        <w:tc>
          <w:tcPr>
            <w:tcW w:type="dxa" w:w="312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Administración de Sistemas Gerenciales</w:t>
            </w:r>
          </w:p>
        </w:tc>
        <w:tc>
          <w:tcPr>
            <w:tcW w:type="dxa" w:w="115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p>
        </w:tc>
        <w:tc>
          <w:tcPr>
            <w:tcW w:type="dxa" w:w="115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p>
        </w:tc>
        <w:tc>
          <w:tcPr>
            <w:tcW w:type="dxa" w:w="13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p>
        </w:tc>
        <w:tc>
          <w:tcPr>
            <w:tcW w:type="dxa" w:w="115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p>
        </w:tc>
      </w:tr>
      <w:tr>
        <w:tc>
          <w:tcPr>
            <w:tcW w:type="dxa" w:w="115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DER-201</w:t>
            </w:r>
          </w:p>
        </w:tc>
        <w:tc>
          <w:tcPr>
            <w:tcW w:type="dxa" w:w="312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Legislación Tributaria y Aduanera</w:t>
            </w:r>
          </w:p>
        </w:tc>
        <w:tc>
          <w:tcPr>
            <w:tcW w:type="dxa" w:w="115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p>
        </w:tc>
        <w:tc>
          <w:tcPr>
            <w:tcW w:type="dxa" w:w="115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p>
        </w:tc>
        <w:tc>
          <w:tcPr>
            <w:tcW w:type="dxa" w:w="13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p>
        </w:tc>
        <w:tc>
          <w:tcPr>
            <w:tcW w:type="dxa" w:w="115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p>
        </w:tc>
      </w:tr>
      <w:tr>
        <w:tc>
          <w:tcPr>
            <w:tcW w:type="dxa" w:w="115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CPA-204</w:t>
            </w:r>
          </w:p>
        </w:tc>
        <w:tc>
          <w:tcPr>
            <w:tcW w:type="dxa" w:w="312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Métodos y Técnicas de Investigación</w:t>
            </w:r>
          </w:p>
        </w:tc>
        <w:tc>
          <w:tcPr>
            <w:tcW w:type="dxa" w:w="115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p>
        </w:tc>
        <w:tc>
          <w:tcPr>
            <w:tcW w:type="dxa" w:w="115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p>
        </w:tc>
        <w:tc>
          <w:tcPr>
            <w:tcW w:type="dxa" w:w="13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p>
        </w:tc>
        <w:tc>
          <w:tcPr>
            <w:tcW w:type="dxa" w:w="115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p>
        </w:tc>
      </w:tr>
      <w:tr>
        <w:tc>
          <w:tcPr>
            <w:tcW w:type="dxa" w:w="9070"/>
            <w:gridSpan w:val="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i w:val="0"/>
                <w:sz w:val="20"/>
              </w:rPr>
              <w:t>Tercer Año</w:t>
            </w:r>
          </w:p>
        </w:tc>
      </w:tr>
      <w:tr>
        <w:tc>
          <w:tcPr>
            <w:tcW w:type="dxa" w:w="115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ADM-301</w:t>
            </w:r>
          </w:p>
        </w:tc>
        <w:tc>
          <w:tcPr>
            <w:tcW w:type="dxa" w:w="312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Desarrollo Organizacional y Comportamiento Organizacional</w:t>
            </w:r>
          </w:p>
        </w:tc>
        <w:tc>
          <w:tcPr>
            <w:tcW w:type="dxa" w:w="115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p>
        </w:tc>
        <w:tc>
          <w:tcPr>
            <w:tcW w:type="dxa" w:w="115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p>
        </w:tc>
        <w:tc>
          <w:tcPr>
            <w:tcW w:type="dxa" w:w="13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p>
        </w:tc>
        <w:tc>
          <w:tcPr>
            <w:tcW w:type="dxa" w:w="115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p>
        </w:tc>
      </w:tr>
      <w:tr>
        <w:tc>
          <w:tcPr>
            <w:tcW w:type="dxa" w:w="9070"/>
            <w:gridSpan w:val="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i w:val="0"/>
                <w:sz w:val="20"/>
              </w:rPr>
              <w:t>Cuarto Año</w:t>
            </w:r>
          </w:p>
        </w:tc>
      </w:tr>
      <w:tr>
        <w:tc>
          <w:tcPr>
            <w:tcW w:type="dxa" w:w="115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CPA-406</w:t>
            </w:r>
          </w:p>
        </w:tc>
        <w:tc>
          <w:tcPr>
            <w:tcW w:type="dxa" w:w="312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Ética e Independencia Profesional</w:t>
            </w:r>
          </w:p>
        </w:tc>
        <w:tc>
          <w:tcPr>
            <w:tcW w:type="dxa" w:w="115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p>
        </w:tc>
        <w:tc>
          <w:tcPr>
            <w:tcW w:type="dxa" w:w="115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p>
        </w:tc>
        <w:tc>
          <w:tcPr>
            <w:tcW w:type="dxa" w:w="13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p>
        </w:tc>
        <w:tc>
          <w:tcPr>
            <w:tcW w:type="dxa" w:w="115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p>
        </w:tc>
      </w:tr>
    </w:tbl>
    <w:p>
      <w:pPr>
        <w:spacing w:before="0" w:after="120" w:line="240" w:lineRule="auto"/>
        <w:jc w:val="left"/>
      </w:pPr>
    </w:p>
    <w:p>
      <w:pPr>
        <w:keepNext/>
        <w:tabs>
          <w:tab w:pos="709" w:val="left"/>
        </w:tabs>
        <w:spacing w:before="120" w:after="200" w:line="240" w:lineRule="auto"/>
        <w:ind w:left="709" w:hanging="709"/>
        <w:jc w:val="left"/>
      </w:pPr>
      <w:r>
        <w:rPr>
          <w:rFonts w:ascii="Century Gothic" w:hAnsi="Century Gothic" w:cs="Century Gothic" w:eastAsia="Century Gothic"/>
          <w:b/>
          <w:i w:val="0"/>
          <w:sz w:val="24"/>
        </w:rPr>
        <w:t>5.4</w:t>
        <w:tab/>
      </w:r>
      <w:r>
        <w:rPr>
          <w:rFonts w:ascii="Century Gothic" w:hAnsi="Century Gothic" w:cs="Century Gothic" w:eastAsia="Century Gothic"/>
          <w:b/>
          <w:i w:val="0"/>
          <w:sz w:val="24"/>
        </w:rPr>
        <w:t>Modalidades de graduación</w:t>
      </w:r>
    </w:p>
    <w:p>
      <w:pPr>
        <w:keepNext/>
        <w:tabs>
          <w:tab w:pos="709" w:val="left"/>
        </w:tabs>
        <w:spacing w:before="80" w:after="200" w:line="240" w:lineRule="auto"/>
        <w:ind w:left="709" w:hanging="709"/>
        <w:jc w:val="left"/>
      </w:pPr>
      <w:r>
        <w:rPr>
          <w:rFonts w:ascii="Century Gothic" w:hAnsi="Century Gothic" w:cs="Century Gothic" w:eastAsia="Century Gothic"/>
          <w:b/>
          <w:i w:val="0"/>
          <w:sz w:val="22"/>
        </w:rPr>
        <w:t>5.4.1</w:t>
        <w:tab/>
      </w:r>
      <w:r>
        <w:rPr>
          <w:rFonts w:ascii="Century Gothic" w:hAnsi="Century Gothic" w:cs="Century Gothic" w:eastAsia="Century Gothic"/>
          <w:b/>
          <w:i w:val="0"/>
          <w:sz w:val="22"/>
        </w:rPr>
        <w:t>Grados Académicos y Títulos en Provisión Nacional</w:t>
      </w:r>
    </w:p>
    <w:p>
      <w:pPr>
        <w:spacing w:before="0" w:after="200" w:line="240" w:lineRule="auto"/>
        <w:jc w:val="both"/>
      </w:pPr>
      <w:r>
        <w:rPr>
          <w:rFonts w:ascii="Century Gothic" w:hAnsi="Century Gothic" w:cs="Century Gothic" w:eastAsia="Century Gothic"/>
          <w:b w:val="0"/>
          <w:i w:val="0"/>
          <w:sz w:val="20"/>
        </w:rPr>
        <w:t xml:space="preserve">El Plan de Estudios 2027 establece una estructura de </w:t>
      </w:r>
      <w:r>
        <w:rPr>
          <w:rFonts w:ascii="Century Gothic" w:hAnsi="Century Gothic" w:cs="Century Gothic" w:eastAsia="Century Gothic"/>
          <w:b/>
          <w:i w:val="0"/>
          <w:sz w:val="20"/>
        </w:rPr>
        <w:t>salidas intermedias y titulación de grado</w:t>
      </w:r>
      <w:r>
        <w:rPr>
          <w:rFonts w:ascii="Century Gothic" w:hAnsi="Century Gothic" w:cs="Century Gothic" w:eastAsia="Century Gothic"/>
          <w:b w:val="0"/>
          <w:i w:val="0"/>
          <w:sz w:val="20"/>
        </w:rPr>
        <w:t>, garantizando la inserción laboral progresiva del estudiante conforme avance en el cumplimiento de la malla curricular:</w:t>
      </w:r>
    </w:p>
    <w:tbl>
      <w:tblPr>
        <w:tblW w:type="auto" w:w="0"/>
        <w:jc w:val="center"/>
        <w:tblLayout w:type="fixed"/>
        <w:tblLook w:firstColumn="1" w:firstRow="1" w:lastColumn="0" w:lastRow="0" w:noHBand="0" w:noVBand="1" w:val="04A0"/>
      </w:tblPr>
      <w:tblGrid>
        <w:gridCol w:w="1422"/>
        <w:gridCol w:w="3391"/>
        <w:gridCol w:w="2248"/>
        <w:gridCol w:w="2011"/>
      </w:tblGrid>
      <w:tr>
        <w:trPr>
          <w:tblHeader/>
        </w:trPr>
        <w:tc>
          <w:tcPr>
            <w:tcW w:type="dxa" w:w="1422"/>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Nivel Académico</w:t>
            </w:r>
          </w:p>
        </w:tc>
        <w:tc>
          <w:tcPr>
            <w:tcW w:type="dxa" w:w="3391"/>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Tiempo y Vencimiento</w:t>
            </w:r>
          </w:p>
        </w:tc>
        <w:tc>
          <w:tcPr>
            <w:tcW w:type="dxa" w:w="2248"/>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Grado Otorgado</w:t>
            </w:r>
          </w:p>
        </w:tc>
        <w:tc>
          <w:tcPr>
            <w:tcW w:type="dxa" w:w="2011"/>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Título en Provisión Nacional</w:t>
            </w:r>
          </w:p>
        </w:tc>
      </w:tr>
      <w:tr>
        <w:tc>
          <w:tcPr>
            <w:tcW w:type="dxa" w:w="14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i w:val="0"/>
                <w:sz w:val="20"/>
              </w:rPr>
              <w:t>Técnico Medio</w:t>
            </w:r>
          </w:p>
        </w:tc>
        <w:tc>
          <w:tcPr>
            <w:tcW w:type="dxa" w:w="3391"/>
            <w:tcBorders>
              <w:top w:val="single" w:sz="4" w:space="0" w:color="8EAADB"/>
              <w:left w:val="single" w:sz="4" w:space="0" w:color="8EAADB"/>
              <w:bottom w:val="single" w:sz="4" w:space="0" w:color="8EAADB"/>
              <w:right w:val="single" w:sz="4" w:space="0" w:color="8EAADB"/>
            </w:tcBorders>
            <w:shd w:val="clear" w:color="auto" w:fill="D9E2F3"/>
            <w:vAlign w:val="top"/>
          </w:tcPr>
          <w:p>
            <w:pPr>
              <w:tabs>
                <w:tab w:pos="255" w:val="left"/>
              </w:tabs>
              <w:spacing w:before="0" w:after="0" w:line="240" w:lineRule="auto"/>
              <w:ind w:left="255" w:hanging="255"/>
              <w:jc w:val="left"/>
            </w:pPr>
            <w:r>
              <w:rPr>
                <w:rFonts w:ascii="Century Gothic" w:hAnsi="Century Gothic" w:cs="Century Gothic" w:eastAsia="Century Gothic"/>
                <w:sz w:val="20"/>
              </w:rPr>
              <w:t>▪</w:t>
              <w:tab/>
            </w:r>
            <w:r>
              <w:rPr>
                <w:rFonts w:ascii="Century Gothic" w:hAnsi="Century Gothic" w:cs="Century Gothic" w:eastAsia="Century Gothic"/>
                <w:b w:val="0"/>
                <w:i w:val="0"/>
                <w:sz w:val="20"/>
              </w:rPr>
              <w:t>Conclusión del Segundo Año (16 Asignaturas), avalado con el Certificado</w:t>
            </w:r>
          </w:p>
          <w:p>
            <w:pPr>
              <w:spacing w:before="0" w:after="0" w:line="240" w:lineRule="auto"/>
              <w:jc w:val="left"/>
            </w:pPr>
            <w:r>
              <w:rPr>
                <w:rFonts w:ascii="Century Gothic" w:hAnsi="Century Gothic" w:cs="Century Gothic" w:eastAsia="Century Gothic"/>
                <w:b w:val="0"/>
                <w:i w:val="0"/>
                <w:sz w:val="20"/>
              </w:rPr>
              <w:t>correspondiente</w:t>
            </w:r>
          </w:p>
        </w:tc>
        <w:tc>
          <w:tcPr>
            <w:tcW w:type="dxa" w:w="224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i w:val="0"/>
                <w:sz w:val="20"/>
              </w:rPr>
              <w:t>Certificado de Egreso Intermedio</w:t>
            </w:r>
          </w:p>
        </w:tc>
        <w:tc>
          <w:tcPr>
            <w:tcW w:type="dxa" w:w="201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i w:val="0"/>
                <w:sz w:val="20"/>
              </w:rPr>
              <w:t>Auxiliar en Contabilidad General</w:t>
            </w:r>
          </w:p>
        </w:tc>
      </w:tr>
      <w:tr>
        <w:tc>
          <w:tcPr>
            <w:tcW w:type="dxa" w:w="14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i w:val="0"/>
                <w:sz w:val="20"/>
              </w:rPr>
              <w:t>Técnico Superior</w:t>
            </w:r>
          </w:p>
        </w:tc>
        <w:tc>
          <w:tcPr>
            <w:tcW w:type="dxa" w:w="3391"/>
            <w:tcBorders>
              <w:top w:val="single" w:sz="4" w:space="0" w:color="8EAADB"/>
              <w:left w:val="single" w:sz="4" w:space="0" w:color="8EAADB"/>
              <w:bottom w:val="single" w:sz="4" w:space="0" w:color="8EAADB"/>
              <w:right w:val="single" w:sz="4" w:space="0" w:color="8EAADB"/>
            </w:tcBorders>
            <w:shd w:val="clear" w:color="auto" w:fill="D9E2F3"/>
            <w:vAlign w:val="top"/>
          </w:tcPr>
          <w:p>
            <w:pPr>
              <w:tabs>
                <w:tab w:pos="255" w:val="left"/>
              </w:tabs>
              <w:spacing w:before="0" w:after="0" w:line="240" w:lineRule="auto"/>
              <w:ind w:left="255" w:hanging="255"/>
              <w:jc w:val="left"/>
            </w:pPr>
            <w:r>
              <w:rPr>
                <w:rFonts w:ascii="Century Gothic" w:hAnsi="Century Gothic" w:cs="Century Gothic" w:eastAsia="Century Gothic"/>
                <w:sz w:val="20"/>
              </w:rPr>
              <w:t>▪</w:t>
              <w:tab/>
            </w:r>
            <w:r>
              <w:rPr>
                <w:rFonts w:ascii="Century Gothic" w:hAnsi="Century Gothic" w:cs="Century Gothic" w:eastAsia="Century Gothic"/>
                <w:b w:val="0"/>
                <w:i w:val="0"/>
                <w:sz w:val="20"/>
              </w:rPr>
              <w:t>Conclusión del Tercer Año (24 Asignaturas), avalado con el Certificado correspondiente; y</w:t>
            </w:r>
          </w:p>
          <w:p>
            <w:pPr>
              <w:tabs>
                <w:tab w:pos="255" w:val="left"/>
              </w:tabs>
              <w:spacing w:before="0" w:after="0" w:line="240" w:lineRule="auto"/>
              <w:ind w:left="255" w:hanging="255"/>
              <w:jc w:val="left"/>
            </w:pPr>
            <w:r>
              <w:rPr>
                <w:rFonts w:ascii="Century Gothic" w:hAnsi="Century Gothic" w:cs="Century Gothic" w:eastAsia="Century Gothic"/>
                <w:sz w:val="20"/>
              </w:rPr>
              <w:t>▪</w:t>
              <w:tab/>
            </w:r>
            <w:r>
              <w:rPr>
                <w:rFonts w:ascii="Century Gothic" w:hAnsi="Century Gothic" w:cs="Century Gothic" w:eastAsia="Century Gothic"/>
                <w:b w:val="0"/>
                <w:i w:val="0"/>
                <w:sz w:val="20"/>
              </w:rPr>
              <w:t>Examen de Grado</w:t>
            </w:r>
          </w:p>
        </w:tc>
        <w:tc>
          <w:tcPr>
            <w:tcW w:type="dxa" w:w="224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i w:val="0"/>
                <w:sz w:val="20"/>
              </w:rPr>
              <w:t>Técnico Superior en Contabilidad General</w:t>
            </w:r>
          </w:p>
        </w:tc>
        <w:tc>
          <w:tcPr>
            <w:tcW w:type="dxa" w:w="201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i w:val="0"/>
                <w:sz w:val="20"/>
              </w:rPr>
              <w:t>Contador General</w:t>
            </w:r>
          </w:p>
        </w:tc>
      </w:tr>
      <w:tr>
        <w:tc>
          <w:tcPr>
            <w:tcW w:type="dxa" w:w="142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i w:val="0"/>
                <w:sz w:val="20"/>
              </w:rPr>
              <w:t>Licenciatura</w:t>
            </w:r>
          </w:p>
        </w:tc>
        <w:tc>
          <w:tcPr>
            <w:tcW w:type="dxa" w:w="3391"/>
            <w:tcBorders>
              <w:top w:val="single" w:sz="4" w:space="0" w:color="8EAADB"/>
              <w:left w:val="single" w:sz="4" w:space="0" w:color="8EAADB"/>
              <w:bottom w:val="single" w:sz="4" w:space="0" w:color="8EAADB"/>
              <w:right w:val="single" w:sz="4" w:space="0" w:color="8EAADB"/>
            </w:tcBorders>
            <w:shd w:val="clear" w:color="auto" w:fill="D9E2F3"/>
            <w:vAlign w:val="top"/>
          </w:tcPr>
          <w:p>
            <w:pPr>
              <w:tabs>
                <w:tab w:pos="255" w:val="left"/>
              </w:tabs>
              <w:spacing w:before="0" w:after="0" w:line="240" w:lineRule="auto"/>
              <w:ind w:left="255" w:hanging="255"/>
              <w:jc w:val="left"/>
            </w:pPr>
            <w:r>
              <w:rPr>
                <w:rFonts w:ascii="Century Gothic" w:hAnsi="Century Gothic" w:cs="Century Gothic" w:eastAsia="Century Gothic"/>
                <w:sz w:val="20"/>
              </w:rPr>
              <w:t>▪</w:t>
              <w:tab/>
            </w:r>
            <w:r>
              <w:rPr>
                <w:rFonts w:ascii="Century Gothic" w:hAnsi="Century Gothic" w:cs="Century Gothic" w:eastAsia="Century Gothic"/>
                <w:b w:val="0"/>
                <w:i w:val="0"/>
                <w:sz w:val="20"/>
              </w:rPr>
              <w:t>Conclusión del Quinto Año (43 Asignaturas), avalado con el Certificado de Egreso; y</w:t>
            </w:r>
          </w:p>
          <w:p>
            <w:pPr>
              <w:tabs>
                <w:tab w:pos="255" w:val="left"/>
              </w:tabs>
              <w:spacing w:before="0" w:after="0" w:line="240" w:lineRule="auto"/>
              <w:ind w:left="255" w:hanging="255"/>
              <w:jc w:val="left"/>
            </w:pPr>
            <w:r>
              <w:rPr>
                <w:rFonts w:ascii="Century Gothic" w:hAnsi="Century Gothic" w:cs="Century Gothic" w:eastAsia="Century Gothic"/>
                <w:sz w:val="20"/>
              </w:rPr>
              <w:t>▪</w:t>
              <w:tab/>
            </w:r>
            <w:r>
              <w:rPr>
                <w:rFonts w:ascii="Century Gothic" w:hAnsi="Century Gothic" w:cs="Century Gothic" w:eastAsia="Century Gothic"/>
                <w:b w:val="0"/>
                <w:i w:val="0"/>
                <w:sz w:val="20"/>
              </w:rPr>
              <w:t>Modalidad de Graduación</w:t>
            </w:r>
          </w:p>
        </w:tc>
        <w:tc>
          <w:tcPr>
            <w:tcW w:type="dxa" w:w="224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i w:val="0"/>
                <w:sz w:val="20"/>
              </w:rPr>
              <w:t>Licenciado (a) en Contaduría Pública</w:t>
            </w:r>
          </w:p>
        </w:tc>
        <w:tc>
          <w:tcPr>
            <w:tcW w:type="dxa" w:w="201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i w:val="0"/>
                <w:sz w:val="20"/>
              </w:rPr>
              <w:t>Contador Público Autorizado</w:t>
            </w:r>
          </w:p>
        </w:tc>
      </w:tr>
    </w:tbl>
    <w:p>
      <w:pPr>
        <w:spacing w:before="0" w:after="120" w:line="240" w:lineRule="auto"/>
        <w:jc w:val="left"/>
      </w:pPr>
    </w:p>
    <w:p>
      <w:pPr>
        <w:spacing w:before="0" w:after="200" w:line="240" w:lineRule="auto"/>
        <w:jc w:val="both"/>
      </w:pPr>
      <w:r>
        <w:rPr>
          <w:rFonts w:ascii="Century Gothic" w:hAnsi="Century Gothic" w:cs="Century Gothic" w:eastAsia="Century Gothic"/>
          <w:b w:val="0"/>
          <w:i w:val="0"/>
          <w:sz w:val="20"/>
        </w:rPr>
        <w:t>Los citados grados académicos, están tipificados en Artículo 4 del Reglamento General de Títulos y Grados, aprobado en el XII Congreso Nacional de Universidades.</w:t>
      </w:r>
    </w:p>
    <w:p>
      <w:pPr>
        <w:keepNext/>
        <w:tabs>
          <w:tab w:pos="709" w:val="left"/>
        </w:tabs>
        <w:spacing w:before="80" w:after="200" w:line="240" w:lineRule="auto"/>
        <w:ind w:left="709" w:hanging="709"/>
        <w:jc w:val="left"/>
      </w:pPr>
      <w:r>
        <w:rPr>
          <w:rFonts w:ascii="Century Gothic" w:hAnsi="Century Gothic" w:cs="Century Gothic" w:eastAsia="Century Gothic"/>
          <w:b/>
          <w:i w:val="0"/>
          <w:sz w:val="22"/>
        </w:rPr>
        <w:t>5.4.2</w:t>
        <w:tab/>
      </w:r>
      <w:r>
        <w:rPr>
          <w:rFonts w:ascii="Century Gothic" w:hAnsi="Century Gothic" w:cs="Century Gothic" w:eastAsia="Century Gothic"/>
          <w:b/>
          <w:i w:val="0"/>
          <w:sz w:val="22"/>
        </w:rPr>
        <w:t>Modalidades de Graduación y Titulación de Grado</w:t>
      </w:r>
    </w:p>
    <w:p>
      <w:pPr>
        <w:keepNext/>
        <w:tabs>
          <w:tab w:pos="992" w:val="left"/>
        </w:tabs>
        <w:spacing w:before="40" w:after="200" w:line="240" w:lineRule="auto"/>
        <w:ind w:left="992" w:hanging="992"/>
        <w:jc w:val="left"/>
      </w:pPr>
      <w:r>
        <w:rPr>
          <w:rFonts w:ascii="Century Gothic" w:hAnsi="Century Gothic" w:cs="Century Gothic" w:eastAsia="Century Gothic"/>
          <w:b/>
          <w:i w:val="0"/>
          <w:sz w:val="22"/>
        </w:rPr>
        <w:t>5.4.2.1</w:t>
        <w:tab/>
      </w:r>
      <w:r>
        <w:rPr>
          <w:rFonts w:ascii="Century Gothic" w:hAnsi="Century Gothic" w:cs="Century Gothic" w:eastAsia="Century Gothic"/>
          <w:b/>
          <w:i w:val="0"/>
          <w:sz w:val="22"/>
        </w:rPr>
        <w:t>Modalidades de Graduación para Licenciatura</w:t>
      </w:r>
    </w:p>
    <w:p>
      <w:pPr>
        <w:spacing w:before="0" w:after="200" w:line="240" w:lineRule="auto"/>
        <w:jc w:val="both"/>
      </w:pPr>
      <w:r>
        <w:rPr>
          <w:rFonts w:ascii="Century Gothic" w:hAnsi="Century Gothic" w:cs="Century Gothic" w:eastAsia="Century Gothic"/>
          <w:b w:val="0"/>
          <w:i w:val="0"/>
          <w:sz w:val="20"/>
        </w:rPr>
        <w:t xml:space="preserve">En estricta concordancia con el </w:t>
      </w:r>
      <w:r>
        <w:rPr>
          <w:rFonts w:ascii="Century Gothic" w:hAnsi="Century Gothic" w:cs="Century Gothic" w:eastAsia="Century Gothic"/>
          <w:b/>
          <w:i w:val="0"/>
          <w:sz w:val="20"/>
        </w:rPr>
        <w:t>“Reglamento General de Tipos y Modalidades de Graduación del Sistema de la Universidad Boliviana”</w:t>
      </w:r>
      <w:r>
        <w:rPr>
          <w:rFonts w:ascii="Century Gothic" w:hAnsi="Century Gothic" w:cs="Century Gothic" w:eastAsia="Century Gothic"/>
          <w:b w:val="0"/>
          <w:i w:val="0"/>
          <w:sz w:val="20"/>
        </w:rPr>
        <w:t xml:space="preserve"> (aprobado en los Congresos Nacionales de Universidades y ratificado por la UMSA), el estudiante que concluya las 43 asignaturas del Plan</w:t>
      </w:r>
    </w:p>
    <w:p>
      <w:pPr>
        <w:spacing w:before="0" w:after="200" w:line="240" w:lineRule="auto"/>
        <w:jc w:val="both"/>
      </w:pPr>
      <w:r>
        <w:rPr>
          <w:rFonts w:ascii="Century Gothic" w:hAnsi="Century Gothic" w:cs="Century Gothic" w:eastAsia="Century Gothic"/>
          <w:b w:val="0"/>
          <w:i w:val="0"/>
          <w:sz w:val="20"/>
        </w:rPr>
        <w:t xml:space="preserve">de Estudios 2027 podrá optar por una de las siguientes </w:t>
      </w:r>
      <w:r>
        <w:rPr>
          <w:rFonts w:ascii="Century Gothic" w:hAnsi="Century Gothic" w:cs="Century Gothic" w:eastAsia="Century Gothic"/>
          <w:b/>
          <w:i w:val="0"/>
          <w:sz w:val="20"/>
        </w:rPr>
        <w:t>seis modalidades de graduación para el nivel de Licenciatura</w:t>
      </w:r>
      <w:r>
        <w:rPr>
          <w:rFonts w:ascii="Century Gothic" w:hAnsi="Century Gothic" w:cs="Century Gothic" w:eastAsia="Century Gothic"/>
          <w:b w:val="0"/>
          <w:i w:val="0"/>
          <w:sz w:val="20"/>
        </w:rPr>
        <w:t>:</w:t>
      </w:r>
    </w:p>
    <w:p>
      <w:pPr>
        <w:keepNext/>
        <w:tabs>
          <w:tab w:pos="709" w:val="left"/>
        </w:tabs>
        <w:spacing w:before="40" w:after="200" w:line="240" w:lineRule="auto"/>
        <w:ind w:left="709" w:hanging="709"/>
        <w:jc w:val="left"/>
      </w:pPr>
      <w:r>
        <w:rPr>
          <w:rFonts w:ascii="Century Gothic" w:hAnsi="Century Gothic" w:cs="Century Gothic" w:eastAsia="Century Gothic"/>
          <w:b/>
          <w:i w:val="0"/>
          <w:sz w:val="22"/>
        </w:rPr>
        <w:t>a.</w:t>
        <w:tab/>
      </w:r>
      <w:r>
        <w:rPr>
          <w:rFonts w:ascii="Century Gothic" w:hAnsi="Century Gothic" w:cs="Century Gothic" w:eastAsia="Century Gothic"/>
          <w:b/>
          <w:i w:val="0"/>
          <w:sz w:val="22"/>
        </w:rPr>
        <w:t>Tesis de Grado</w:t>
      </w:r>
    </w:p>
    <w:p>
      <w:pPr>
        <w:spacing w:before="0" w:after="200" w:line="240" w:lineRule="auto"/>
        <w:jc w:val="both"/>
      </w:pPr>
      <w:r>
        <w:rPr>
          <w:rFonts w:ascii="Century Gothic" w:hAnsi="Century Gothic" w:cs="Century Gothic" w:eastAsia="Century Gothic"/>
          <w:b w:val="0"/>
          <w:i w:val="0"/>
          <w:sz w:val="20"/>
        </w:rPr>
        <w:t>Consiste en un trabajo riguroso de investigación científica individual, que aplica metodología científica adecuada para identificar, analizar y proponer una solución teórica o práctica a un problema relevante de la profesión contable, el aseguramiento o las finanzas.</w:t>
      </w:r>
    </w:p>
    <w:p>
      <w:pPr>
        <w:spacing w:before="0" w:after="200" w:line="240" w:lineRule="auto"/>
        <w:jc w:val="both"/>
      </w:pPr>
      <w:r>
        <w:rPr>
          <w:rFonts w:ascii="Century Gothic" w:hAnsi="Century Gothic" w:cs="Century Gothic" w:eastAsia="Century Gothic"/>
          <w:b w:val="0"/>
          <w:i w:val="0"/>
          <w:sz w:val="20"/>
        </w:rPr>
        <w:t>Para tal efecto, se designarán a tres (3) Docentes especialistas en la temática en calidad de Miembros del Tribunal Examinador para la correspondiente evaluación.</w:t>
      </w:r>
    </w:p>
    <w:p>
      <w:pPr>
        <w:spacing w:before="0" w:after="200" w:line="240" w:lineRule="auto"/>
        <w:jc w:val="both"/>
      </w:pPr>
      <w:r>
        <w:rPr>
          <w:rFonts w:ascii="Century Gothic" w:hAnsi="Century Gothic" w:cs="Century Gothic" w:eastAsia="Century Gothic"/>
          <w:b w:val="0"/>
          <w:i w:val="0"/>
          <w:sz w:val="20"/>
        </w:rPr>
        <w:t>La suma acumulativa en la escala de valoración es de 1 a 100 puntos, con un puntaje mínimo de aprobación de cincuenta y uno (51). La ponderación de las tesis de grado, es la siguiente:</w:t>
      </w:r>
    </w:p>
    <w:p>
      <w:pPr>
        <w:tabs>
          <w:tab w:pos="1701" w:val="left"/>
        </w:tabs>
        <w:spacing w:before="0" w:after="200" w:line="240" w:lineRule="auto"/>
        <w:ind w:left="1701" w:hanging="1701"/>
        <w:jc w:val="left"/>
      </w:pPr>
      <w:r>
        <w:rPr>
          <w:rFonts w:ascii="Century Gothic" w:hAnsi="Century Gothic" w:cs="Century Gothic" w:eastAsia="Century Gothic"/>
          <w:b/>
          <w:i w:val="0"/>
          <w:sz w:val="20"/>
        </w:rPr>
        <w:t>Presentación y contenido del trabajo escrito</w:t>
        <w:tab/>
        <w:t>50 puntos</w:t>
      </w:r>
    </w:p>
    <w:p>
      <w:pPr>
        <w:spacing w:before="0" w:after="200" w:line="240" w:lineRule="auto"/>
        <w:jc w:val="both"/>
      </w:pPr>
      <w:r>
        <w:rPr>
          <w:rFonts w:ascii="Century Gothic" w:hAnsi="Century Gothic" w:cs="Century Gothic" w:eastAsia="Century Gothic"/>
          <w:b w:val="0"/>
          <w:i w:val="0"/>
          <w:sz w:val="20"/>
        </w:rPr>
        <w:t>Coherencia metodológica, aporte científico, marco teórico y rigurosidad en los hallazgos</w:t>
      </w:r>
    </w:p>
    <w:p>
      <w:pPr>
        <w:tabs>
          <w:tab w:pos="1701" w:val="left"/>
        </w:tabs>
        <w:spacing w:before="0" w:after="200" w:line="240" w:lineRule="auto"/>
        <w:ind w:left="1701" w:hanging="1701"/>
        <w:jc w:val="left"/>
      </w:pPr>
      <w:r>
        <w:rPr>
          <w:rFonts w:ascii="Century Gothic" w:hAnsi="Century Gothic" w:cs="Century Gothic" w:eastAsia="Century Gothic"/>
          <w:b/>
          <w:i w:val="0"/>
          <w:sz w:val="20"/>
        </w:rPr>
        <w:t>Sustentación Oral</w:t>
        <w:tab/>
        <w:t>30 puntos</w:t>
      </w:r>
    </w:p>
    <w:p>
      <w:pPr>
        <w:spacing w:before="0" w:after="200" w:line="240" w:lineRule="auto"/>
        <w:jc w:val="both"/>
      </w:pPr>
      <w:r>
        <w:rPr>
          <w:rFonts w:ascii="Century Gothic" w:hAnsi="Century Gothic" w:cs="Century Gothic" w:eastAsia="Century Gothic"/>
          <w:b w:val="0"/>
          <w:i w:val="0"/>
          <w:sz w:val="20"/>
        </w:rPr>
        <w:t>Dominio técnico, claridad expositiva y orden de presentación</w:t>
      </w:r>
    </w:p>
    <w:p>
      <w:pPr>
        <w:tabs>
          <w:tab w:pos="1701" w:val="left"/>
        </w:tabs>
        <w:spacing w:before="0" w:after="200" w:line="240" w:lineRule="auto"/>
        <w:ind w:left="1701" w:hanging="1701"/>
        <w:jc w:val="left"/>
      </w:pPr>
      <w:r>
        <w:rPr>
          <w:rFonts w:ascii="Century Gothic" w:hAnsi="Century Gothic" w:cs="Century Gothic" w:eastAsia="Century Gothic"/>
          <w:b/>
          <w:i w:val="0"/>
          <w:sz w:val="20"/>
        </w:rPr>
        <w:t>Defensa y Respuestas al Tribunal</w:t>
        <w:tab/>
        <w:t>20 puntos</w:t>
      </w:r>
    </w:p>
    <w:p>
      <w:pPr>
        <w:spacing w:before="0" w:after="200" w:line="240" w:lineRule="auto"/>
        <w:jc w:val="both"/>
      </w:pPr>
      <w:r>
        <w:rPr>
          <w:rFonts w:ascii="Century Gothic" w:hAnsi="Century Gothic" w:cs="Century Gothic" w:eastAsia="Century Gothic"/>
          <w:b w:val="0"/>
          <w:i w:val="0"/>
          <w:sz w:val="20"/>
        </w:rPr>
        <w:t>Capacidad de argumentación y fundamentación</w:t>
      </w:r>
    </w:p>
    <w:p>
      <w:pPr>
        <w:tabs>
          <w:tab w:pos="1701" w:val="left"/>
        </w:tabs>
        <w:spacing w:before="0" w:after="200" w:line="240" w:lineRule="auto"/>
        <w:ind w:left="1701" w:hanging="1701"/>
        <w:jc w:val="left"/>
      </w:pPr>
      <w:r>
        <w:rPr>
          <w:rFonts w:ascii="Century Gothic" w:hAnsi="Century Gothic" w:cs="Century Gothic" w:eastAsia="Century Gothic"/>
          <w:b/>
          <w:i w:val="0"/>
          <w:sz w:val="20"/>
        </w:rPr>
        <w:t>Total</w:t>
        <w:tab/>
        <w:t>100 puntos</w:t>
      </w:r>
    </w:p>
    <w:p>
      <w:pPr>
        <w:spacing w:before="0" w:after="200" w:line="240" w:lineRule="auto"/>
        <w:jc w:val="both"/>
      </w:pPr>
      <w:r>
        <w:rPr>
          <w:rFonts w:ascii="Century Gothic" w:hAnsi="Century Gothic" w:cs="Century Gothic" w:eastAsia="Century Gothic"/>
          <w:b w:val="0"/>
          <w:i w:val="0"/>
          <w:sz w:val="20"/>
        </w:rPr>
        <w:t>Evaluado ante Tribunal Examinador (1 a 100 puntos, aprobación con 51).</w:t>
      </w:r>
    </w:p>
    <w:p>
      <w:pPr>
        <w:keepNext/>
        <w:tabs>
          <w:tab w:pos="709" w:val="left"/>
        </w:tabs>
        <w:spacing w:before="40" w:after="200" w:line="240" w:lineRule="auto"/>
        <w:ind w:left="709" w:hanging="709"/>
        <w:jc w:val="left"/>
      </w:pPr>
      <w:r>
        <w:rPr>
          <w:rFonts w:ascii="Century Gothic" w:hAnsi="Century Gothic" w:cs="Century Gothic" w:eastAsia="Century Gothic"/>
          <w:b/>
          <w:i w:val="0"/>
          <w:sz w:val="22"/>
        </w:rPr>
        <w:t>b.</w:t>
        <w:tab/>
      </w:r>
      <w:r>
        <w:rPr>
          <w:rFonts w:ascii="Century Gothic" w:hAnsi="Century Gothic" w:cs="Century Gothic" w:eastAsia="Century Gothic"/>
          <w:b/>
          <w:i w:val="0"/>
          <w:sz w:val="22"/>
        </w:rPr>
        <w:t>Proyecto de Grado</w:t>
      </w:r>
    </w:p>
    <w:p>
      <w:pPr>
        <w:spacing w:before="0" w:after="200" w:line="240" w:lineRule="auto"/>
        <w:jc w:val="both"/>
      </w:pPr>
      <w:r>
        <w:rPr>
          <w:rFonts w:ascii="Century Gothic" w:hAnsi="Century Gothic" w:cs="Century Gothic" w:eastAsia="Century Gothic"/>
          <w:b w:val="0"/>
          <w:i w:val="0"/>
          <w:sz w:val="20"/>
        </w:rPr>
        <w:t>Consiste en el desarrollo de una investigación aplicada orientada a la programación, diseño e implementación de una solución práctica de uso social, empresarial o institucional (Ejemplo: diseño de un sistema de costos para un sector emergente, propuesta de implementación de un sistema ERP, diseño de un modelo de control interno o de gestión de riesgos o un gabinete de auditoría especializada) con profundidad metodológica equivalente a la Tesis.</w:t>
      </w:r>
    </w:p>
    <w:p>
      <w:pPr>
        <w:spacing w:before="0" w:after="200" w:line="240" w:lineRule="auto"/>
        <w:jc w:val="both"/>
      </w:pPr>
      <w:r>
        <w:rPr>
          <w:rFonts w:ascii="Century Gothic" w:hAnsi="Century Gothic" w:cs="Century Gothic" w:eastAsia="Century Gothic"/>
          <w:b w:val="0"/>
          <w:i w:val="0"/>
          <w:sz w:val="20"/>
        </w:rPr>
        <w:t>Para tal efecto, se designarán a tres (3) Docentes en calidad de Miembros del Tribunal Examinador para la correspondiente evaluación.</w:t>
      </w:r>
    </w:p>
    <w:p>
      <w:pPr>
        <w:spacing w:before="0" w:after="200" w:line="240" w:lineRule="auto"/>
        <w:jc w:val="both"/>
      </w:pPr>
      <w:r>
        <w:rPr>
          <w:rFonts w:ascii="Century Gothic" w:hAnsi="Century Gothic" w:cs="Century Gothic" w:eastAsia="Century Gothic"/>
          <w:b w:val="0"/>
          <w:i w:val="0"/>
          <w:sz w:val="20"/>
        </w:rPr>
        <w:t>La suma acumulativa en la escala de valoración es de 1 a 100 puntos, con un puntaje mínimo de aprobación de cincuenta y uno (51). La ponderación de los proyectos de grado es la siguiente:</w:t>
      </w:r>
    </w:p>
    <w:p>
      <w:pPr>
        <w:tabs>
          <w:tab w:pos="1701" w:val="left"/>
        </w:tabs>
        <w:spacing w:before="0" w:after="200" w:line="240" w:lineRule="auto"/>
        <w:ind w:left="1701" w:hanging="1701"/>
        <w:jc w:val="left"/>
      </w:pPr>
      <w:r>
        <w:rPr>
          <w:rFonts w:ascii="Century Gothic" w:hAnsi="Century Gothic" w:cs="Century Gothic" w:eastAsia="Century Gothic"/>
          <w:b/>
          <w:i w:val="0"/>
          <w:sz w:val="20"/>
        </w:rPr>
        <w:t>Presentación y contenido del trabajo escrito</w:t>
        <w:tab/>
        <w:t>45 puntos</w:t>
      </w:r>
    </w:p>
    <w:p>
      <w:pPr>
        <w:tabs>
          <w:tab w:pos="1701" w:val="left"/>
        </w:tabs>
        <w:spacing w:before="0" w:after="200" w:line="240" w:lineRule="auto"/>
        <w:ind w:left="1701" w:hanging="1701"/>
        <w:jc w:val="left"/>
      </w:pPr>
      <w:r>
        <w:rPr>
          <w:rFonts w:ascii="Century Gothic" w:hAnsi="Century Gothic" w:cs="Century Gothic" w:eastAsia="Century Gothic"/>
          <w:b/>
          <w:i w:val="0"/>
          <w:sz w:val="20"/>
        </w:rPr>
        <w:t>Sustentación Oral y Demostración</w:t>
        <w:tab/>
        <w:t>30 puntos</w:t>
      </w:r>
    </w:p>
    <w:p>
      <w:pPr>
        <w:tabs>
          <w:tab w:pos="1701" w:val="left"/>
        </w:tabs>
        <w:spacing w:before="0" w:after="200" w:line="240" w:lineRule="auto"/>
        <w:ind w:left="1701" w:hanging="1701"/>
        <w:jc w:val="left"/>
      </w:pPr>
      <w:r>
        <w:rPr>
          <w:rFonts w:ascii="Century Gothic" w:hAnsi="Century Gothic" w:cs="Century Gothic" w:eastAsia="Century Gothic"/>
          <w:b/>
          <w:i w:val="0"/>
          <w:sz w:val="20"/>
        </w:rPr>
        <w:t>Defensa y Respuestas</w:t>
        <w:tab/>
        <w:t>25 puntos</w:t>
      </w:r>
    </w:p>
    <w:p>
      <w:pPr>
        <w:tabs>
          <w:tab w:pos="1701" w:val="left"/>
        </w:tabs>
        <w:spacing w:before="0" w:after="200" w:line="240" w:lineRule="auto"/>
        <w:ind w:left="1701" w:hanging="1701"/>
        <w:jc w:val="left"/>
      </w:pPr>
      <w:r>
        <w:rPr>
          <w:rFonts w:ascii="Century Gothic" w:hAnsi="Century Gothic" w:cs="Century Gothic" w:eastAsia="Century Gothic"/>
          <w:b/>
          <w:i w:val="0"/>
          <w:sz w:val="20"/>
        </w:rPr>
        <w:t>Total</w:t>
        <w:tab/>
        <w:t>100 puntos</w:t>
      </w:r>
    </w:p>
    <w:p>
      <w:pPr>
        <w:keepNext/>
        <w:tabs>
          <w:tab w:pos="709" w:val="left"/>
        </w:tabs>
        <w:spacing w:before="40" w:after="200" w:line="240" w:lineRule="auto"/>
        <w:ind w:left="709" w:hanging="709"/>
        <w:jc w:val="left"/>
      </w:pPr>
      <w:r>
        <w:rPr>
          <w:rFonts w:ascii="Century Gothic" w:hAnsi="Century Gothic" w:cs="Century Gothic" w:eastAsia="Century Gothic"/>
          <w:b/>
          <w:i w:val="0"/>
          <w:sz w:val="22"/>
        </w:rPr>
        <w:t>c.</w:t>
        <w:tab/>
      </w:r>
      <w:r>
        <w:rPr>
          <w:rFonts w:ascii="Century Gothic" w:hAnsi="Century Gothic" w:cs="Century Gothic" w:eastAsia="Century Gothic"/>
          <w:b/>
          <w:i w:val="0"/>
          <w:sz w:val="22"/>
        </w:rPr>
        <w:t>Trabajo Dirigido (Externo o Interno)</w:t>
      </w:r>
    </w:p>
    <w:p>
      <w:pPr>
        <w:spacing w:before="0" w:after="200" w:line="240" w:lineRule="auto"/>
        <w:jc w:val="both"/>
      </w:pPr>
      <w:r>
        <w:rPr>
          <w:rFonts w:ascii="Century Gothic" w:hAnsi="Century Gothic" w:cs="Century Gothic" w:eastAsia="Century Gothic"/>
          <w:b w:val="0"/>
          <w:i w:val="0"/>
          <w:sz w:val="20"/>
        </w:rPr>
        <w:t xml:space="preserve">Regulado por la </w:t>
      </w:r>
      <w:r>
        <w:rPr>
          <w:rFonts w:ascii="Century Gothic" w:hAnsi="Century Gothic" w:cs="Century Gothic" w:eastAsia="Century Gothic"/>
          <w:b/>
          <w:i w:val="0"/>
          <w:sz w:val="20"/>
        </w:rPr>
        <w:t>Resolución HCU Nº 330/2022</w:t>
      </w:r>
      <w:r>
        <w:rPr>
          <w:rFonts w:ascii="Century Gothic" w:hAnsi="Century Gothic" w:cs="Century Gothic" w:eastAsia="Century Gothic"/>
          <w:b w:val="0"/>
          <w:i w:val="0"/>
          <w:sz w:val="20"/>
        </w:rPr>
        <w:t xml:space="preserve"> de 18 de agosto de 2022, que define el trabajo dirigido como un trabajo práctico preprofesional desarrollado en instituciones externas e internas (UMSA), que son supervisados, fiscalizados y evaluados por profesionales en calidad de asesores o guías miembros; pueden ser de carácter individual o grupal, este último hasta un máximo de tres postulantes, acorde con los requerimientos del trabajo a realizar.</w:t>
      </w:r>
    </w:p>
    <w:p>
      <w:pPr>
        <w:spacing w:before="0" w:after="200" w:line="240" w:lineRule="auto"/>
        <w:jc w:val="both"/>
      </w:pPr>
      <w:r>
        <w:rPr>
          <w:rFonts w:ascii="Century Gothic" w:hAnsi="Century Gothic" w:cs="Century Gothic" w:eastAsia="Century Gothic"/>
          <w:b w:val="0"/>
          <w:i w:val="0"/>
          <w:sz w:val="20"/>
        </w:rPr>
        <w:t>El trabajo dirigido externo, se realiza en entidades públicas y privadas, bajo la guía de un Tutor Profesional y un Tutor Docente (Académico), en virtud a Convenios Interinstitucionales, suscritos por el/la Rector(a) de la Universidad Mayor de San Andrés o la/el Decano de la Facultad de Ciencias Económicas y Financieras.</w:t>
      </w:r>
    </w:p>
    <w:p>
      <w:pPr>
        <w:spacing w:before="0" w:after="200" w:line="240" w:lineRule="auto"/>
        <w:jc w:val="both"/>
      </w:pPr>
      <w:r>
        <w:rPr>
          <w:rFonts w:ascii="Century Gothic" w:hAnsi="Century Gothic" w:cs="Century Gothic" w:eastAsia="Century Gothic"/>
          <w:b w:val="0"/>
          <w:i w:val="0"/>
          <w:sz w:val="20"/>
        </w:rPr>
        <w:t>El trabajo dirigido interno, se realiza en las distintas dependencias de la Universidad Mayor de San Andrés, bajo la guía de un Tutor Profesional y un Tutor Docente, sin necesidad de suscribir Convenios Específicos.</w:t>
      </w:r>
    </w:p>
    <w:p>
      <w:pPr>
        <w:spacing w:before="0" w:after="200" w:line="240" w:lineRule="auto"/>
        <w:jc w:val="both"/>
      </w:pPr>
      <w:r>
        <w:rPr>
          <w:rFonts w:ascii="Century Gothic" w:hAnsi="Century Gothic" w:cs="Century Gothic" w:eastAsia="Century Gothic"/>
          <w:b w:val="0"/>
          <w:i w:val="0"/>
          <w:sz w:val="20"/>
        </w:rPr>
        <w:t>Para tal efecto, el Director de Carrera debe designar la institución donde el postulante desarrollará el Trabajo Dirigido y al Tutor Docente, una vez aprobado el Plan de Trabajo del Postulante.</w:t>
      </w:r>
    </w:p>
    <w:p>
      <w:pPr>
        <w:numPr>
          <w:ilvl w:val="0"/>
          <w:numId w:val="1009"/>
        </w:numPr>
        <w:spacing w:before="0" w:after="160" w:line="240" w:lineRule="auto"/>
        <w:jc w:val="both"/>
      </w:pPr>
      <w:r>
        <w:rPr>
          <w:rFonts w:ascii="Century Gothic" w:hAnsi="Century Gothic" w:cs="Century Gothic" w:eastAsia="Century Gothic"/>
          <w:b/>
          <w:i w:val="0"/>
          <w:sz w:val="20"/>
        </w:rPr>
        <w:t>Requisitos Específicos:</w:t>
      </w:r>
      <w:r>
        <w:rPr>
          <w:rFonts w:ascii="Century Gothic" w:hAnsi="Century Gothic" w:cs="Century Gothic" w:eastAsia="Century Gothic"/>
          <w:b w:val="0"/>
          <w:i w:val="0"/>
          <w:sz w:val="20"/>
        </w:rPr>
        <w:t xml:space="preserve"> El estudiante debe tener un promedio académico acumulado no menor a </w:t>
      </w:r>
      <w:r>
        <w:rPr>
          <w:rFonts w:ascii="Century Gothic" w:hAnsi="Century Gothic" w:cs="Century Gothic" w:eastAsia="Century Gothic"/>
          <w:b/>
          <w:i w:val="0"/>
          <w:sz w:val="20"/>
        </w:rPr>
        <w:t>sesenta (60) puntos</w:t>
      </w:r>
      <w:r>
        <w:rPr>
          <w:rFonts w:ascii="Century Gothic" w:hAnsi="Century Gothic" w:cs="Century Gothic" w:eastAsia="Century Gothic"/>
          <w:b w:val="0"/>
          <w:i w:val="0"/>
          <w:sz w:val="20"/>
        </w:rPr>
        <w:t xml:space="preserve"> y dedicación exclusiva durante un periodo máximo de </w:t>
      </w:r>
      <w:r>
        <w:rPr>
          <w:rFonts w:ascii="Century Gothic" w:hAnsi="Century Gothic" w:cs="Century Gothic" w:eastAsia="Century Gothic"/>
          <w:b/>
          <w:i w:val="0"/>
          <w:sz w:val="20"/>
        </w:rPr>
        <w:t>8 meses.</w:t>
      </w:r>
    </w:p>
    <w:p>
      <w:pPr>
        <w:numPr>
          <w:ilvl w:val="0"/>
          <w:numId w:val="1009"/>
        </w:numPr>
        <w:spacing w:before="0" w:after="160" w:line="240" w:lineRule="auto"/>
        <w:jc w:val="both"/>
      </w:pPr>
      <w:r>
        <w:rPr>
          <w:rFonts w:ascii="Century Gothic" w:hAnsi="Century Gothic" w:cs="Century Gothic" w:eastAsia="Century Gothic"/>
          <w:b/>
          <w:i w:val="0"/>
          <w:sz w:val="20"/>
        </w:rPr>
        <w:t>Estructura de Tutoría y Evaluaciones:</w:t>
      </w:r>
    </w:p>
    <w:p>
      <w:pPr>
        <w:numPr>
          <w:ilvl w:val="1"/>
          <w:numId w:val="1009"/>
        </w:numPr>
        <w:spacing w:before="0" w:after="60" w:line="240" w:lineRule="auto"/>
        <w:jc w:val="both"/>
      </w:pPr>
      <w:r>
        <w:rPr>
          <w:rFonts w:ascii="Century Gothic" w:hAnsi="Century Gothic" w:cs="Century Gothic" w:eastAsia="Century Gothic"/>
          <w:b/>
          <w:i w:val="0"/>
          <w:sz w:val="20"/>
        </w:rPr>
        <w:t>Tutor Profesional (Institucional):</w:t>
      </w:r>
      <w:r>
        <w:rPr>
          <w:rFonts w:ascii="Century Gothic" w:hAnsi="Century Gothic" w:cs="Century Gothic" w:eastAsia="Century Gothic"/>
          <w:b w:val="0"/>
          <w:i w:val="0"/>
          <w:sz w:val="20"/>
        </w:rPr>
        <w:t xml:space="preserve"> Supervisa el desempeño diario en la entidad y emite la valoración principal basada en el cumplimiento del plan de trabajo.</w:t>
      </w:r>
    </w:p>
    <w:p>
      <w:pPr>
        <w:numPr>
          <w:ilvl w:val="1"/>
          <w:numId w:val="1009"/>
        </w:numPr>
        <w:spacing w:before="0" w:after="60" w:line="240" w:lineRule="auto"/>
        <w:jc w:val="both"/>
      </w:pPr>
      <w:r>
        <w:rPr>
          <w:rFonts w:ascii="Century Gothic" w:hAnsi="Century Gothic" w:cs="Century Gothic" w:eastAsia="Century Gothic"/>
          <w:b/>
          <w:i w:val="0"/>
          <w:sz w:val="20"/>
        </w:rPr>
        <w:t>Tutor Académico (Docente UMSA):</w:t>
      </w:r>
      <w:r>
        <w:rPr>
          <w:rFonts w:ascii="Century Gothic" w:hAnsi="Century Gothic" w:cs="Century Gothic" w:eastAsia="Century Gothic"/>
          <w:b w:val="0"/>
          <w:i w:val="0"/>
          <w:sz w:val="20"/>
        </w:rPr>
        <w:t xml:space="preserve"> Orienta la metodología técnica y valida los avances.</w:t>
      </w:r>
    </w:p>
    <w:p>
      <w:pPr>
        <w:numPr>
          <w:ilvl w:val="1"/>
          <w:numId w:val="1009"/>
        </w:numPr>
        <w:spacing w:before="0" w:after="60" w:line="240" w:lineRule="auto"/>
        <w:jc w:val="both"/>
      </w:pPr>
      <w:r>
        <w:rPr>
          <w:rFonts w:ascii="Century Gothic" w:hAnsi="Century Gothic" w:cs="Century Gothic" w:eastAsia="Century Gothic"/>
          <w:b/>
          <w:i w:val="0"/>
          <w:sz w:val="20"/>
        </w:rPr>
        <w:t>Informes:</w:t>
      </w:r>
      <w:r>
        <w:rPr>
          <w:rFonts w:ascii="Century Gothic" w:hAnsi="Century Gothic" w:cs="Century Gothic" w:eastAsia="Century Gothic"/>
          <w:b w:val="0"/>
          <w:i w:val="0"/>
          <w:sz w:val="20"/>
        </w:rPr>
        <w:t xml:space="preserve"> Durante la realización del trabajo dirigido el postulante presentará a la Dirección de Carrera de forma obligatoria dos (2) informes trimestrales de avance y un</w:t>
      </w:r>
    </w:p>
    <w:p>
      <w:pPr>
        <w:numPr>
          <w:ilvl w:val="2"/>
          <w:numId w:val="1009"/>
        </w:numPr>
        <w:spacing w:before="0" w:after="60" w:line="240" w:lineRule="auto"/>
        <w:jc w:val="both"/>
      </w:pPr>
      <w:r>
        <w:rPr>
          <w:rFonts w:ascii="Century Gothic" w:hAnsi="Century Gothic" w:cs="Century Gothic" w:eastAsia="Century Gothic"/>
          <w:b w:val="0"/>
          <w:i w:val="0"/>
          <w:sz w:val="20"/>
        </w:rPr>
        <w:t>informe final integrador, rubricado por el Tutor Profesional y el Tutor Docente.</w:t>
      </w:r>
    </w:p>
    <w:p>
      <w:pPr>
        <w:numPr>
          <w:ilvl w:val="1"/>
          <w:numId w:val="1009"/>
        </w:numPr>
        <w:spacing w:before="0" w:after="60" w:line="240" w:lineRule="auto"/>
        <w:jc w:val="both"/>
      </w:pPr>
      <w:r>
        <w:rPr>
          <w:rFonts w:ascii="Century Gothic" w:hAnsi="Century Gothic" w:cs="Century Gothic" w:eastAsia="Century Gothic"/>
          <w:b/>
          <w:i w:val="0"/>
          <w:sz w:val="20"/>
        </w:rPr>
        <w:t>Presentación oral pública de resultados:</w:t>
      </w:r>
      <w:r>
        <w:rPr>
          <w:rFonts w:ascii="Century Gothic" w:hAnsi="Century Gothic" w:cs="Century Gothic" w:eastAsia="Century Gothic"/>
          <w:b w:val="0"/>
          <w:i w:val="0"/>
          <w:sz w:val="20"/>
        </w:rPr>
        <w:t xml:space="preserve"> Posterior a la presentación del informe final, el y/o los postulantes deben realizar la presentación oral pública de los resultados del trabajo dirigido.</w:t>
      </w:r>
    </w:p>
    <w:p>
      <w:pPr>
        <w:numPr>
          <w:ilvl w:val="0"/>
          <w:numId w:val="1009"/>
        </w:numPr>
        <w:spacing w:before="0" w:after="200" w:line="240" w:lineRule="auto"/>
        <w:jc w:val="both"/>
      </w:pPr>
      <w:r>
        <w:rPr>
          <w:rFonts w:ascii="Century Gothic" w:hAnsi="Century Gothic" w:cs="Century Gothic" w:eastAsia="Century Gothic"/>
          <w:b/>
          <w:i w:val="0"/>
          <w:sz w:val="20"/>
        </w:rPr>
        <w:t>Ponderación de la Calificación (1 a 100 puntos):</w:t>
      </w:r>
      <w:r>
        <w:rPr>
          <w:rFonts w:ascii="Century Gothic" w:hAnsi="Century Gothic" w:cs="Century Gothic" w:eastAsia="Century Gothic"/>
          <w:b w:val="0"/>
          <w:i w:val="0"/>
          <w:sz w:val="20"/>
        </w:rPr>
        <w:t xml:space="preserve"> Evaluación continua de informes (Tutor profesional y académico): 85% de la nota final; y presentación oral pública de resultados: 15% de la nota final ante tribunal.</w:t>
      </w:r>
    </w:p>
    <w:p>
      <w:pPr>
        <w:spacing w:before="0" w:after="200" w:line="240" w:lineRule="auto"/>
        <w:jc w:val="both"/>
      </w:pPr>
      <w:r>
        <w:rPr>
          <w:rFonts w:ascii="Century Gothic" w:hAnsi="Century Gothic" w:cs="Century Gothic" w:eastAsia="Century Gothic"/>
          <w:b w:val="0"/>
          <w:i w:val="0"/>
          <w:sz w:val="20"/>
        </w:rPr>
        <w:t>La escala de calificaciones, cualitativa y cuantitativa es la siguiente:</w:t>
      </w:r>
    </w:p>
    <w:tbl>
      <w:tblPr>
        <w:tblW w:type="auto" w:w="0"/>
        <w:jc w:val="center"/>
        <w:tblLayout w:type="fixed"/>
        <w:tblLook w:firstColumn="1" w:firstRow="1" w:lastColumn="0" w:lastRow="0" w:noHBand="0" w:noVBand="1" w:val="04A0"/>
      </w:tblPr>
      <w:tblGrid>
        <w:gridCol w:w="6345"/>
        <w:gridCol w:w="2726"/>
      </w:tblGrid>
      <w:tr>
        <w:trPr>
          <w:tblHeader/>
        </w:trPr>
        <w:tc>
          <w:tcPr>
            <w:tcW w:type="dxa" w:w="6345"/>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Cualitativa</w:t>
            </w:r>
          </w:p>
        </w:tc>
        <w:tc>
          <w:tcPr>
            <w:tcW w:type="dxa" w:w="2726"/>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Cuantitativa</w:t>
            </w:r>
          </w:p>
        </w:tc>
      </w:tr>
      <w:tr>
        <w:tc>
          <w:tcPr>
            <w:tcW w:type="dxa" w:w="634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Reprobado</w:t>
            </w:r>
          </w:p>
        </w:tc>
        <w:tc>
          <w:tcPr>
            <w:tcW w:type="dxa" w:w="272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0 – 50</w:t>
            </w:r>
          </w:p>
        </w:tc>
      </w:tr>
      <w:tr>
        <w:tc>
          <w:tcPr>
            <w:tcW w:type="dxa" w:w="634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Aprobado – Buena</w:t>
            </w:r>
          </w:p>
        </w:tc>
        <w:tc>
          <w:tcPr>
            <w:tcW w:type="dxa" w:w="272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51 – 70</w:t>
            </w:r>
          </w:p>
        </w:tc>
      </w:tr>
      <w:tr>
        <w:tc>
          <w:tcPr>
            <w:tcW w:type="dxa" w:w="634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Sobresaliente – Con recomendación de publicación</w:t>
            </w:r>
          </w:p>
        </w:tc>
        <w:tc>
          <w:tcPr>
            <w:tcW w:type="dxa" w:w="272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71 – 89</w:t>
            </w:r>
          </w:p>
        </w:tc>
      </w:tr>
      <w:tr>
        <w:tc>
          <w:tcPr>
            <w:tcW w:type="dxa" w:w="634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Excelente – Con mención honorífica y recomendación de publicación</w:t>
            </w:r>
          </w:p>
        </w:tc>
        <w:tc>
          <w:tcPr>
            <w:tcW w:type="dxa" w:w="272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90 – 100</w:t>
            </w:r>
          </w:p>
        </w:tc>
      </w:tr>
    </w:tbl>
    <w:p>
      <w:pPr>
        <w:spacing w:before="0" w:after="120" w:line="240" w:lineRule="auto"/>
        <w:jc w:val="left"/>
      </w:pPr>
    </w:p>
    <w:p>
      <w:pPr>
        <w:keepNext/>
        <w:tabs>
          <w:tab w:pos="709" w:val="left"/>
        </w:tabs>
        <w:spacing w:before="40" w:after="200" w:line="240" w:lineRule="auto"/>
        <w:ind w:left="709" w:hanging="709"/>
        <w:jc w:val="left"/>
      </w:pPr>
      <w:r>
        <w:rPr>
          <w:rFonts w:ascii="Century Gothic" w:hAnsi="Century Gothic" w:cs="Century Gothic" w:eastAsia="Century Gothic"/>
          <w:b/>
          <w:i w:val="0"/>
          <w:sz w:val="22"/>
        </w:rPr>
        <w:t>d.</w:t>
        <w:tab/>
      </w:r>
      <w:r>
        <w:rPr>
          <w:rFonts w:ascii="Century Gothic" w:hAnsi="Century Gothic" w:cs="Century Gothic" w:eastAsia="Century Gothic"/>
          <w:b/>
          <w:i w:val="0"/>
          <w:sz w:val="22"/>
        </w:rPr>
        <w:t>Examen de Grado por Ciclos</w:t>
      </w:r>
    </w:p>
    <w:p>
      <w:pPr>
        <w:spacing w:before="0" w:after="200" w:line="240" w:lineRule="auto"/>
        <w:jc w:val="both"/>
      </w:pPr>
      <w:r>
        <w:rPr>
          <w:rFonts w:ascii="Century Gothic" w:hAnsi="Century Gothic" w:cs="Century Gothic" w:eastAsia="Century Gothic"/>
          <w:b w:val="0"/>
          <w:i w:val="0"/>
          <w:sz w:val="20"/>
        </w:rPr>
        <w:t>Modalidad que mide la efectividad de la formación global del estudiante mediante pruebas teórico-prácticas presenciales ante tribunales evaluadores en las áreas troncales de la profesión.</w:t>
      </w:r>
    </w:p>
    <w:p>
      <w:pPr>
        <w:spacing w:before="0" w:after="200" w:line="240" w:lineRule="auto"/>
        <w:jc w:val="both"/>
      </w:pPr>
      <w:r>
        <w:rPr>
          <w:rFonts w:ascii="Century Gothic" w:hAnsi="Century Gothic" w:cs="Century Gothic" w:eastAsia="Century Gothic"/>
          <w:b w:val="0"/>
          <w:i w:val="0"/>
          <w:sz w:val="20"/>
        </w:rPr>
        <w:t>La suma acumulativa en la escala de valoración es de 1 a 100 puntos, con un puntaje mínimo de aprobación de cincuenta y uno (51) puntos.</w:t>
      </w:r>
    </w:p>
    <w:p>
      <w:pPr>
        <w:spacing w:before="0" w:after="200" w:line="240" w:lineRule="auto"/>
        <w:jc w:val="both"/>
      </w:pPr>
      <w:r>
        <w:rPr>
          <w:rFonts w:ascii="Century Gothic" w:hAnsi="Century Gothic" w:cs="Century Gothic" w:eastAsia="Century Gothic"/>
          <w:b w:val="0"/>
          <w:i w:val="0"/>
          <w:sz w:val="20"/>
        </w:rPr>
        <w:t>Las asignaturas sujetas a evaluación, corresponden a las áreas troncales, distribuidas en tres (3) grupos dando origen a tres (3) exámenes, que serán convocados por el Director de la Carrera como mínimo tres (3) veces al año, con la participación de Docentes que regentan las asignaturas sujetas a evaluación, siendo la nota mínima de aprobación de cada una de ellas cincuenta y uno (51) puntos. El sorteo de bolos se realizará con 24 horas de anticipación al examen.</w:t>
      </w:r>
    </w:p>
    <w:p>
      <w:pPr>
        <w:spacing w:before="0" w:after="200" w:line="240" w:lineRule="auto"/>
        <w:jc w:val="both"/>
      </w:pPr>
      <w:r>
        <w:rPr>
          <w:rFonts w:ascii="Century Gothic" w:hAnsi="Century Gothic" w:cs="Century Gothic" w:eastAsia="Century Gothic"/>
          <w:b w:val="0"/>
          <w:i w:val="0"/>
          <w:sz w:val="20"/>
        </w:rPr>
        <w:t>Está implícito que en los exámenes se incluyen conocimientos de administración, matemática, economía, derecho; aplicados a la actividad profesional.</w:t>
      </w:r>
    </w:p>
    <w:p>
      <w:pPr>
        <w:spacing w:before="0" w:after="200" w:line="240" w:lineRule="auto"/>
        <w:jc w:val="both"/>
      </w:pPr>
      <w:r>
        <w:rPr>
          <w:rFonts w:ascii="Century Gothic" w:hAnsi="Century Gothic" w:cs="Century Gothic" w:eastAsia="Century Gothic"/>
          <w:b w:val="0"/>
          <w:i w:val="0"/>
          <w:sz w:val="20"/>
        </w:rPr>
        <w:t>Los Ciclos de Exámenes de Grado y asignaturas que las integran son:</w:t>
      </w:r>
    </w:p>
    <w:p>
      <w:pPr>
        <w:keepNext/>
        <w:tabs>
          <w:tab w:pos="709" w:val="left"/>
        </w:tabs>
        <w:spacing w:before="40" w:after="200" w:line="240" w:lineRule="auto"/>
        <w:ind w:left="709" w:hanging="709"/>
        <w:jc w:val="left"/>
      </w:pPr>
      <w:r>
        <w:rPr>
          <w:rFonts w:ascii="Century Gothic" w:hAnsi="Century Gothic" w:cs="Century Gothic" w:eastAsia="Century Gothic"/>
          <w:b/>
          <w:i w:val="0"/>
          <w:sz w:val="22"/>
        </w:rPr>
        <w:t>a.</w:t>
        <w:tab/>
      </w:r>
      <w:r>
        <w:rPr>
          <w:rFonts w:ascii="Century Gothic" w:hAnsi="Century Gothic" w:cs="Century Gothic" w:eastAsia="Century Gothic"/>
          <w:b/>
          <w:i w:val="0"/>
          <w:sz w:val="22"/>
        </w:rPr>
        <w:t>Ciclo Básico de Información Financiera y de Gestión</w:t>
      </w:r>
    </w:p>
    <w:p>
      <w:pPr>
        <w:numPr>
          <w:ilvl w:val="0"/>
          <w:numId w:val="1010"/>
        </w:numPr>
        <w:spacing w:before="0" w:after="160" w:line="240" w:lineRule="auto"/>
        <w:jc w:val="both"/>
      </w:pPr>
      <w:r>
        <w:rPr>
          <w:rFonts w:ascii="Century Gothic" w:hAnsi="Century Gothic" w:cs="Century Gothic" w:eastAsia="Century Gothic"/>
          <w:b w:val="0"/>
          <w:i w:val="0"/>
          <w:sz w:val="20"/>
        </w:rPr>
        <w:t>Contabilidad Básica</w:t>
      </w:r>
    </w:p>
    <w:p>
      <w:pPr>
        <w:numPr>
          <w:ilvl w:val="0"/>
          <w:numId w:val="1010"/>
        </w:numPr>
        <w:spacing w:before="0" w:after="160" w:line="240" w:lineRule="auto"/>
        <w:jc w:val="both"/>
      </w:pPr>
      <w:r>
        <w:rPr>
          <w:rFonts w:ascii="Century Gothic" w:hAnsi="Century Gothic" w:cs="Century Gothic" w:eastAsia="Century Gothic"/>
          <w:b w:val="0"/>
          <w:i w:val="0"/>
          <w:sz w:val="20"/>
        </w:rPr>
        <w:t>Contabilidad Intermedia</w:t>
      </w:r>
    </w:p>
    <w:p>
      <w:pPr>
        <w:numPr>
          <w:ilvl w:val="0"/>
          <w:numId w:val="1010"/>
        </w:numPr>
        <w:spacing w:before="0" w:after="160" w:line="240" w:lineRule="auto"/>
        <w:jc w:val="both"/>
      </w:pPr>
      <w:r>
        <w:rPr>
          <w:rFonts w:ascii="Century Gothic" w:hAnsi="Century Gothic" w:cs="Century Gothic" w:eastAsia="Century Gothic"/>
          <w:b w:val="0"/>
          <w:i w:val="0"/>
          <w:sz w:val="20"/>
        </w:rPr>
        <w:t>Contabilidad de Sociedades</w:t>
      </w:r>
    </w:p>
    <w:p>
      <w:pPr>
        <w:numPr>
          <w:ilvl w:val="0"/>
          <w:numId w:val="1010"/>
        </w:numPr>
        <w:spacing w:before="0" w:after="160" w:line="240" w:lineRule="auto"/>
        <w:jc w:val="both"/>
      </w:pPr>
      <w:r>
        <w:rPr>
          <w:rFonts w:ascii="Century Gothic" w:hAnsi="Century Gothic" w:cs="Century Gothic" w:eastAsia="Century Gothic"/>
          <w:b w:val="0"/>
          <w:i w:val="0"/>
          <w:sz w:val="20"/>
        </w:rPr>
        <w:t>Contabilidad de Tributos</w:t>
      </w:r>
    </w:p>
    <w:p>
      <w:pPr>
        <w:numPr>
          <w:ilvl w:val="0"/>
          <w:numId w:val="1010"/>
        </w:numPr>
        <w:spacing w:before="0" w:after="160" w:line="240" w:lineRule="auto"/>
        <w:jc w:val="both"/>
      </w:pPr>
      <w:r>
        <w:rPr>
          <w:rFonts w:ascii="Century Gothic" w:hAnsi="Century Gothic" w:cs="Century Gothic" w:eastAsia="Century Gothic"/>
          <w:b w:val="0"/>
          <w:i w:val="0"/>
          <w:sz w:val="20"/>
        </w:rPr>
        <w:t>Contabilidad Internacional</w:t>
      </w:r>
    </w:p>
    <w:p>
      <w:pPr>
        <w:numPr>
          <w:ilvl w:val="0"/>
          <w:numId w:val="1010"/>
        </w:numPr>
        <w:spacing w:before="0" w:after="200" w:line="240" w:lineRule="auto"/>
        <w:jc w:val="both"/>
      </w:pPr>
      <w:r>
        <w:rPr>
          <w:rFonts w:ascii="Century Gothic" w:hAnsi="Century Gothic" w:cs="Century Gothic" w:eastAsia="Century Gothic"/>
          <w:b w:val="0"/>
          <w:i w:val="0"/>
          <w:sz w:val="20"/>
        </w:rPr>
        <w:t>Contabilidad de Costos y Gestión</w:t>
      </w:r>
    </w:p>
    <w:p>
      <w:pPr>
        <w:keepNext/>
        <w:tabs>
          <w:tab w:pos="709" w:val="left"/>
        </w:tabs>
        <w:spacing w:before="40" w:after="200" w:line="240" w:lineRule="auto"/>
        <w:ind w:left="709" w:hanging="709"/>
        <w:jc w:val="left"/>
      </w:pPr>
      <w:r>
        <w:rPr>
          <w:rFonts w:ascii="Century Gothic" w:hAnsi="Century Gothic" w:cs="Century Gothic" w:eastAsia="Century Gothic"/>
          <w:b/>
          <w:i w:val="0"/>
          <w:sz w:val="22"/>
        </w:rPr>
        <w:t>b.</w:t>
        <w:tab/>
      </w:r>
      <w:r>
        <w:rPr>
          <w:rFonts w:ascii="Century Gothic" w:hAnsi="Century Gothic" w:cs="Century Gothic" w:eastAsia="Century Gothic"/>
          <w:b/>
          <w:i w:val="0"/>
          <w:sz w:val="22"/>
        </w:rPr>
        <w:t>Ciclo Especializado de Información Financiera y Finanzas</w:t>
      </w:r>
    </w:p>
    <w:p>
      <w:pPr>
        <w:numPr>
          <w:ilvl w:val="0"/>
          <w:numId w:val="1011"/>
        </w:numPr>
        <w:spacing w:before="0" w:after="160" w:line="240" w:lineRule="auto"/>
        <w:jc w:val="both"/>
      </w:pPr>
      <w:r>
        <w:rPr>
          <w:rFonts w:ascii="Century Gothic" w:hAnsi="Century Gothic" w:cs="Century Gothic" w:eastAsia="Century Gothic"/>
          <w:b w:val="0"/>
          <w:i w:val="0"/>
          <w:sz w:val="20"/>
        </w:rPr>
        <w:t>Contabilidad de Bancos y Entidades Financieras</w:t>
      </w:r>
    </w:p>
    <w:p>
      <w:pPr>
        <w:numPr>
          <w:ilvl w:val="0"/>
          <w:numId w:val="1011"/>
        </w:numPr>
        <w:spacing w:before="0" w:after="160" w:line="240" w:lineRule="auto"/>
        <w:jc w:val="both"/>
      </w:pPr>
      <w:r>
        <w:rPr>
          <w:rFonts w:ascii="Century Gothic" w:hAnsi="Century Gothic" w:cs="Century Gothic" w:eastAsia="Century Gothic"/>
          <w:b w:val="0"/>
          <w:i w:val="0"/>
          <w:sz w:val="20"/>
        </w:rPr>
        <w:t>Contabilidad de Seguros: Privado y Social</w:t>
      </w:r>
    </w:p>
    <w:p>
      <w:pPr>
        <w:numPr>
          <w:ilvl w:val="0"/>
          <w:numId w:val="1011"/>
        </w:numPr>
        <w:spacing w:before="0" w:after="160" w:line="240" w:lineRule="auto"/>
        <w:jc w:val="both"/>
      </w:pPr>
      <w:r>
        <w:rPr>
          <w:rFonts w:ascii="Century Gothic" w:hAnsi="Century Gothic" w:cs="Century Gothic" w:eastAsia="Century Gothic"/>
          <w:b w:val="0"/>
          <w:i w:val="0"/>
          <w:sz w:val="20"/>
        </w:rPr>
        <w:t>Contabilidad Minera y Petrolera</w:t>
      </w:r>
    </w:p>
    <w:p>
      <w:pPr>
        <w:numPr>
          <w:ilvl w:val="0"/>
          <w:numId w:val="1011"/>
        </w:numPr>
        <w:spacing w:before="0" w:after="160" w:line="240" w:lineRule="auto"/>
        <w:jc w:val="both"/>
      </w:pPr>
      <w:r>
        <w:rPr>
          <w:rFonts w:ascii="Century Gothic" w:hAnsi="Century Gothic" w:cs="Century Gothic" w:eastAsia="Century Gothic"/>
          <w:b w:val="0"/>
          <w:i w:val="0"/>
          <w:sz w:val="20"/>
        </w:rPr>
        <w:t>Contabilidad Agrícola y Ganadera</w:t>
      </w:r>
    </w:p>
    <w:p>
      <w:pPr>
        <w:numPr>
          <w:ilvl w:val="0"/>
          <w:numId w:val="1011"/>
        </w:numPr>
        <w:spacing w:before="0" w:after="160" w:line="240" w:lineRule="auto"/>
        <w:jc w:val="both"/>
      </w:pPr>
      <w:r>
        <w:rPr>
          <w:rFonts w:ascii="Century Gothic" w:hAnsi="Century Gothic" w:cs="Century Gothic" w:eastAsia="Century Gothic"/>
          <w:b w:val="0"/>
          <w:i w:val="0"/>
          <w:sz w:val="20"/>
        </w:rPr>
        <w:t>Presupuestos y Contabilidad Gubernamental</w:t>
      </w:r>
    </w:p>
    <w:p>
      <w:pPr>
        <w:numPr>
          <w:ilvl w:val="0"/>
          <w:numId w:val="1011"/>
        </w:numPr>
        <w:spacing w:before="0" w:after="200" w:line="240" w:lineRule="auto"/>
        <w:jc w:val="both"/>
      </w:pPr>
      <w:r>
        <w:rPr>
          <w:rFonts w:ascii="Century Gothic" w:hAnsi="Century Gothic" w:cs="Century Gothic" w:eastAsia="Century Gothic"/>
          <w:b w:val="0"/>
          <w:i w:val="0"/>
          <w:sz w:val="20"/>
        </w:rPr>
        <w:t>Finanzas Corporativas</w:t>
      </w:r>
    </w:p>
    <w:p>
      <w:pPr>
        <w:keepNext/>
        <w:tabs>
          <w:tab w:pos="709" w:val="left"/>
        </w:tabs>
        <w:spacing w:before="40" w:after="200" w:line="240" w:lineRule="auto"/>
        <w:ind w:left="709" w:hanging="709"/>
        <w:jc w:val="left"/>
      </w:pPr>
      <w:r>
        <w:rPr>
          <w:rFonts w:ascii="Century Gothic" w:hAnsi="Century Gothic" w:cs="Century Gothic" w:eastAsia="Century Gothic"/>
          <w:b/>
          <w:i w:val="0"/>
          <w:sz w:val="22"/>
        </w:rPr>
        <w:t>c.</w:t>
        <w:tab/>
      </w:r>
      <w:r>
        <w:rPr>
          <w:rFonts w:ascii="Century Gothic" w:hAnsi="Century Gothic" w:cs="Century Gothic" w:eastAsia="Century Gothic"/>
          <w:b/>
          <w:i w:val="0"/>
          <w:sz w:val="22"/>
        </w:rPr>
        <w:t>Ciclo Servicios de Aseguramiento</w:t>
      </w:r>
    </w:p>
    <w:p>
      <w:pPr>
        <w:numPr>
          <w:ilvl w:val="0"/>
          <w:numId w:val="1012"/>
        </w:numPr>
        <w:spacing w:before="0" w:after="160" w:line="240" w:lineRule="auto"/>
        <w:jc w:val="both"/>
      </w:pPr>
      <w:r>
        <w:rPr>
          <w:rFonts w:ascii="Century Gothic" w:hAnsi="Century Gothic" w:cs="Century Gothic" w:eastAsia="Century Gothic"/>
          <w:b w:val="0"/>
          <w:i w:val="0"/>
          <w:sz w:val="20"/>
        </w:rPr>
        <w:t>Auditoría Financiera</w:t>
      </w:r>
    </w:p>
    <w:p>
      <w:pPr>
        <w:numPr>
          <w:ilvl w:val="0"/>
          <w:numId w:val="1012"/>
        </w:numPr>
        <w:spacing w:before="0" w:after="160" w:line="240" w:lineRule="auto"/>
        <w:jc w:val="both"/>
      </w:pPr>
      <w:r>
        <w:rPr>
          <w:rFonts w:ascii="Century Gothic" w:hAnsi="Century Gothic" w:cs="Century Gothic" w:eastAsia="Century Gothic"/>
          <w:b w:val="0"/>
          <w:i w:val="0"/>
          <w:sz w:val="20"/>
        </w:rPr>
        <w:t>Auditoría Interna, Control Interno y Gestión de Riesgos</w:t>
      </w:r>
    </w:p>
    <w:p>
      <w:pPr>
        <w:numPr>
          <w:ilvl w:val="0"/>
          <w:numId w:val="1012"/>
        </w:numPr>
        <w:spacing w:before="0" w:after="160" w:line="240" w:lineRule="auto"/>
        <w:jc w:val="both"/>
      </w:pPr>
      <w:r>
        <w:rPr>
          <w:rFonts w:ascii="Century Gothic" w:hAnsi="Century Gothic" w:cs="Century Gothic" w:eastAsia="Century Gothic"/>
          <w:b w:val="0"/>
          <w:i w:val="0"/>
          <w:sz w:val="20"/>
        </w:rPr>
        <w:t>Auditoría Operativa</w:t>
      </w:r>
    </w:p>
    <w:p>
      <w:pPr>
        <w:numPr>
          <w:ilvl w:val="0"/>
          <w:numId w:val="1012"/>
        </w:numPr>
        <w:spacing w:before="0" w:after="160" w:line="240" w:lineRule="auto"/>
        <w:jc w:val="both"/>
      </w:pPr>
      <w:r>
        <w:rPr>
          <w:rFonts w:ascii="Century Gothic" w:hAnsi="Century Gothic" w:cs="Century Gothic" w:eastAsia="Century Gothic"/>
          <w:b w:val="0"/>
          <w:i w:val="0"/>
          <w:sz w:val="20"/>
        </w:rPr>
        <w:t>Auditoría Gubernamental</w:t>
      </w:r>
    </w:p>
    <w:p>
      <w:pPr>
        <w:numPr>
          <w:ilvl w:val="0"/>
          <w:numId w:val="1012"/>
        </w:numPr>
        <w:spacing w:before="0" w:after="160" w:line="240" w:lineRule="auto"/>
        <w:jc w:val="both"/>
      </w:pPr>
      <w:r>
        <w:rPr>
          <w:rFonts w:ascii="Century Gothic" w:hAnsi="Century Gothic" w:cs="Century Gothic" w:eastAsia="Century Gothic"/>
          <w:b w:val="0"/>
          <w:i w:val="0"/>
          <w:sz w:val="20"/>
        </w:rPr>
        <w:t>Auditoría Tributaria</w:t>
      </w:r>
    </w:p>
    <w:p>
      <w:pPr>
        <w:numPr>
          <w:ilvl w:val="0"/>
          <w:numId w:val="1012"/>
        </w:numPr>
        <w:spacing w:before="0" w:after="160" w:line="240" w:lineRule="auto"/>
        <w:jc w:val="both"/>
      </w:pPr>
      <w:r>
        <w:rPr>
          <w:rFonts w:ascii="Century Gothic" w:hAnsi="Century Gothic" w:cs="Century Gothic" w:eastAsia="Century Gothic"/>
          <w:b w:val="0"/>
          <w:i w:val="0"/>
          <w:sz w:val="20"/>
        </w:rPr>
        <w:t>Auditoría de Proyectos: Público y Privado</w:t>
      </w:r>
    </w:p>
    <w:p>
      <w:pPr>
        <w:numPr>
          <w:ilvl w:val="0"/>
          <w:numId w:val="1012"/>
        </w:numPr>
        <w:spacing w:before="0" w:after="200" w:line="240" w:lineRule="auto"/>
        <w:jc w:val="both"/>
      </w:pPr>
      <w:r>
        <w:rPr>
          <w:rFonts w:ascii="Century Gothic" w:hAnsi="Century Gothic" w:cs="Century Gothic" w:eastAsia="Century Gothic"/>
          <w:b w:val="0"/>
          <w:i w:val="0"/>
          <w:sz w:val="20"/>
        </w:rPr>
        <w:t>Auditoría de Entidades Financieras</w:t>
      </w:r>
    </w:p>
    <w:p>
      <w:pPr>
        <w:keepNext/>
        <w:tabs>
          <w:tab w:pos="709" w:val="left"/>
        </w:tabs>
        <w:spacing w:before="40" w:after="200" w:line="240" w:lineRule="auto"/>
        <w:ind w:left="709" w:hanging="709"/>
        <w:jc w:val="left"/>
      </w:pPr>
      <w:r>
        <w:rPr>
          <w:rFonts w:ascii="Century Gothic" w:hAnsi="Century Gothic" w:cs="Century Gothic" w:eastAsia="Century Gothic"/>
          <w:b/>
          <w:i w:val="0"/>
          <w:sz w:val="22"/>
        </w:rPr>
        <w:t>e.</w:t>
        <w:tab/>
      </w:r>
      <w:r>
        <w:rPr>
          <w:rFonts w:ascii="Century Gothic" w:hAnsi="Century Gothic" w:cs="Century Gothic" w:eastAsia="Century Gothic"/>
          <w:b/>
          <w:i w:val="0"/>
          <w:sz w:val="22"/>
        </w:rPr>
        <w:t>Graduación por Excelencia (Rendimiento Académico o Reconocimiento a la Calidad)</w:t>
      </w:r>
    </w:p>
    <w:p>
      <w:pPr>
        <w:spacing w:before="0" w:after="200" w:line="240" w:lineRule="auto"/>
        <w:jc w:val="both"/>
      </w:pPr>
      <w:r>
        <w:rPr>
          <w:rFonts w:ascii="Century Gothic" w:hAnsi="Century Gothic" w:cs="Century Gothic" w:eastAsia="Century Gothic"/>
          <w:b w:val="0"/>
          <w:i w:val="0"/>
          <w:sz w:val="20"/>
        </w:rPr>
        <w:t>Modalidad que exime al estudiante sobresaliente de someterse a exámenes o trabajos finales de grado, premiando su rendimiento académico continuo a lo largo de los 5 años de formación.</w:t>
      </w:r>
    </w:p>
    <w:p>
      <w:pPr>
        <w:numPr>
          <w:ilvl w:val="0"/>
          <w:numId w:val="1013"/>
        </w:numPr>
        <w:spacing w:before="0" w:after="160" w:line="240" w:lineRule="auto"/>
        <w:jc w:val="both"/>
      </w:pPr>
      <w:r>
        <w:rPr>
          <w:rFonts w:ascii="Century Gothic" w:hAnsi="Century Gothic" w:cs="Century Gothic" w:eastAsia="Century Gothic"/>
          <w:b/>
          <w:i w:val="0"/>
          <w:sz w:val="20"/>
        </w:rPr>
        <w:t>Requisitos y Criterios Institucionales:</w:t>
      </w:r>
    </w:p>
    <w:p>
      <w:pPr>
        <w:numPr>
          <w:ilvl w:val="1"/>
          <w:numId w:val="1013"/>
        </w:numPr>
        <w:spacing w:before="0" w:after="60" w:line="240" w:lineRule="auto"/>
        <w:jc w:val="both"/>
      </w:pPr>
      <w:r>
        <w:rPr>
          <w:rFonts w:ascii="Century Gothic" w:hAnsi="Century Gothic" w:cs="Century Gothic" w:eastAsia="Century Gothic"/>
          <w:b w:val="0"/>
          <w:i w:val="0"/>
          <w:sz w:val="20"/>
        </w:rPr>
        <w:t xml:space="preserve">Haber aprobado el 100% de las 43 asignaturas en </w:t>
      </w:r>
      <w:r>
        <w:rPr>
          <w:rFonts w:ascii="Century Gothic" w:hAnsi="Century Gothic" w:cs="Century Gothic" w:eastAsia="Century Gothic"/>
          <w:b/>
          <w:i w:val="0"/>
          <w:sz w:val="20"/>
        </w:rPr>
        <w:t>primera instancia</w:t>
      </w:r>
      <w:r>
        <w:rPr>
          <w:rFonts w:ascii="Century Gothic" w:hAnsi="Century Gothic" w:cs="Century Gothic" w:eastAsia="Century Gothic"/>
          <w:b w:val="0"/>
          <w:i w:val="0"/>
          <w:sz w:val="20"/>
        </w:rPr>
        <w:t xml:space="preserve"> (sin haber recurrido a exámenes de mesa ni haber reprobado ninguna materia).</w:t>
      </w:r>
    </w:p>
    <w:p>
      <w:pPr>
        <w:numPr>
          <w:ilvl w:val="1"/>
          <w:numId w:val="1013"/>
        </w:numPr>
        <w:spacing w:before="0" w:after="60" w:line="240" w:lineRule="auto"/>
        <w:jc w:val="both"/>
      </w:pPr>
      <w:r>
        <w:rPr>
          <w:rFonts w:ascii="Century Gothic" w:hAnsi="Century Gothic" w:cs="Century Gothic" w:eastAsia="Century Gothic"/>
          <w:b w:val="0"/>
          <w:i w:val="0"/>
          <w:sz w:val="20"/>
        </w:rPr>
        <w:t>Haber concluido el plan de estudios dentro del tiempo reglamentario de la carrera (</w:t>
      </w:r>
      <w:r>
        <w:rPr>
          <w:rFonts w:ascii="Century Gothic" w:hAnsi="Century Gothic" w:cs="Century Gothic" w:eastAsia="Century Gothic"/>
          <w:b/>
          <w:i w:val="0"/>
          <w:sz w:val="20"/>
        </w:rPr>
        <w:t>5 años continuos</w:t>
      </w:r>
      <w:r>
        <w:rPr>
          <w:rFonts w:ascii="Century Gothic" w:hAnsi="Century Gothic" w:cs="Century Gothic" w:eastAsia="Century Gothic"/>
          <w:b w:val="0"/>
          <w:i w:val="0"/>
          <w:sz w:val="20"/>
        </w:rPr>
        <w:t>).</w:t>
      </w:r>
    </w:p>
    <w:p>
      <w:pPr>
        <w:numPr>
          <w:ilvl w:val="1"/>
          <w:numId w:val="1013"/>
        </w:numPr>
        <w:spacing w:before="0" w:after="200" w:line="240" w:lineRule="auto"/>
        <w:jc w:val="both"/>
      </w:pPr>
      <w:r>
        <w:rPr>
          <w:rFonts w:ascii="Century Gothic" w:hAnsi="Century Gothic" w:cs="Century Gothic" w:eastAsia="Century Gothic"/>
          <w:b w:val="0"/>
          <w:i w:val="0"/>
          <w:sz w:val="20"/>
        </w:rPr>
        <w:t xml:space="preserve">Acreditar un </w:t>
      </w:r>
      <w:r>
        <w:rPr>
          <w:rFonts w:ascii="Century Gothic" w:hAnsi="Century Gothic" w:cs="Century Gothic" w:eastAsia="Century Gothic"/>
          <w:b/>
          <w:i w:val="0"/>
          <w:sz w:val="20"/>
        </w:rPr>
        <w:t>promedio general ponderado cuantitativo sobresaliente</w:t>
      </w:r>
      <w:r>
        <w:rPr>
          <w:rFonts w:ascii="Century Gothic" w:hAnsi="Century Gothic" w:cs="Century Gothic" w:eastAsia="Century Gothic"/>
          <w:b w:val="0"/>
          <w:i w:val="0"/>
          <w:sz w:val="20"/>
        </w:rPr>
        <w:t xml:space="preserve"> (igual o superior al límite fijado por la normativa de la Facultad y la UMSA).</w:t>
      </w:r>
    </w:p>
    <w:p>
      <w:pPr>
        <w:keepNext/>
        <w:tabs>
          <w:tab w:pos="709" w:val="left"/>
        </w:tabs>
        <w:spacing w:before="40" w:after="200" w:line="240" w:lineRule="auto"/>
        <w:ind w:left="709" w:hanging="709"/>
        <w:jc w:val="left"/>
      </w:pPr>
      <w:r>
        <w:rPr>
          <w:rFonts w:ascii="Century Gothic" w:hAnsi="Century Gothic" w:cs="Century Gothic" w:eastAsia="Century Gothic"/>
          <w:b/>
          <w:i w:val="0"/>
          <w:sz w:val="22"/>
        </w:rPr>
        <w:t>f.</w:t>
        <w:tab/>
      </w:r>
      <w:r>
        <w:rPr>
          <w:rFonts w:ascii="Century Gothic" w:hAnsi="Century Gothic" w:cs="Century Gothic" w:eastAsia="Century Gothic"/>
          <w:b/>
          <w:i w:val="0"/>
          <w:sz w:val="22"/>
        </w:rPr>
        <w:t>Articulación Grado - Posgrado (Monografía o Examen vía Diplomado)</w:t>
      </w:r>
    </w:p>
    <w:p>
      <w:pPr>
        <w:spacing w:before="0" w:after="200" w:line="240" w:lineRule="auto"/>
        <w:jc w:val="both"/>
      </w:pPr>
      <w:r>
        <w:rPr>
          <w:rFonts w:ascii="Century Gothic" w:hAnsi="Century Gothic" w:cs="Century Gothic" w:eastAsia="Century Gothic"/>
          <w:b w:val="0"/>
          <w:i w:val="0"/>
          <w:sz w:val="20"/>
        </w:rPr>
        <w:t xml:space="preserve">Conforme a las normativas vigentes del SUB, mediante el Título IV (Artículos 82 al 95) del Reglamento General de Estudios de Posgrado del Sistema de la Universidad Boliviana y el Reglamento General de Posgrado, el estudiante de Quinto Año o egresado puede cursar un </w:t>
      </w:r>
      <w:r>
        <w:rPr>
          <w:rFonts w:ascii="Century Gothic" w:hAnsi="Century Gothic" w:cs="Century Gothic" w:eastAsia="Century Gothic"/>
          <w:b/>
          <w:i w:val="0"/>
          <w:sz w:val="20"/>
        </w:rPr>
        <w:t>Programa de Diplomado Acreditado,</w:t>
      </w:r>
      <w:r>
        <w:rPr>
          <w:rFonts w:ascii="Century Gothic" w:hAnsi="Century Gothic" w:cs="Century Gothic" w:eastAsia="Century Gothic"/>
          <w:b w:val="0"/>
          <w:i w:val="0"/>
          <w:sz w:val="20"/>
        </w:rPr>
        <w:t xml:space="preserve"> el cual debe contar con la aprobación del Consejo Facultativo y acreditar una carga horaria total de 800 horas académicas (20 créditos):</w:t>
      </w:r>
    </w:p>
    <w:p>
      <w:pPr>
        <w:spacing w:before="0" w:after="200" w:line="240" w:lineRule="auto"/>
        <w:jc w:val="both"/>
      </w:pPr>
      <w:r>
        <w:rPr>
          <w:rFonts w:ascii="Century Gothic" w:hAnsi="Century Gothic" w:cs="Century Gothic" w:eastAsia="Century Gothic"/>
          <w:b w:val="0"/>
          <w:i w:val="0"/>
          <w:sz w:val="20"/>
        </w:rPr>
        <w:t xml:space="preserve">distribuidas en 240 horas lectivas presenciales y 560 horas de investigación/prácticas aplicadas; en áreas de especialización contable o de aseguramiento y obtener la titulación mediante la aprobación de una </w:t>
      </w:r>
      <w:r>
        <w:rPr>
          <w:rFonts w:ascii="Century Gothic" w:hAnsi="Century Gothic" w:cs="Century Gothic" w:eastAsia="Century Gothic"/>
          <w:b/>
          <w:i w:val="0"/>
          <w:sz w:val="20"/>
        </w:rPr>
        <w:t>Monografía</w:t>
      </w:r>
      <w:r>
        <w:rPr>
          <w:rFonts w:ascii="Century Gothic" w:hAnsi="Century Gothic" w:cs="Century Gothic" w:eastAsia="Century Gothic"/>
          <w:b w:val="0"/>
          <w:i w:val="0"/>
          <w:sz w:val="20"/>
        </w:rPr>
        <w:t xml:space="preserve"> (Desarrollo y defensa de un estudio exhaustivo de investigación aplicada bajo la guía de un tutor/docente sobre un tema del diplomado), un </w:t>
      </w:r>
      <w:r>
        <w:rPr>
          <w:rFonts w:ascii="Century Gothic" w:hAnsi="Century Gothic" w:cs="Century Gothic" w:eastAsia="Century Gothic"/>
          <w:b/>
          <w:i w:val="0"/>
          <w:sz w:val="20"/>
        </w:rPr>
        <w:t>Examen de Contenidos</w:t>
      </w:r>
      <w:r>
        <w:rPr>
          <w:rFonts w:ascii="Century Gothic" w:hAnsi="Century Gothic" w:cs="Century Gothic" w:eastAsia="Century Gothic"/>
          <w:b w:val="0"/>
          <w:i w:val="0"/>
          <w:sz w:val="20"/>
        </w:rPr>
        <w:t xml:space="preserve"> del posgrado (Evaluación teórico-práctica sobre las competencias del programa posgradual y su articulación con el pregrado) o </w:t>
      </w:r>
      <w:r>
        <w:rPr>
          <w:rFonts w:ascii="Century Gothic" w:hAnsi="Century Gothic" w:cs="Century Gothic" w:eastAsia="Century Gothic"/>
          <w:b/>
          <w:i w:val="0"/>
          <w:sz w:val="20"/>
        </w:rPr>
        <w:t>Graduación por Excelencia</w:t>
      </w:r>
      <w:r>
        <w:rPr>
          <w:rFonts w:ascii="Century Gothic" w:hAnsi="Century Gothic" w:cs="Century Gothic" w:eastAsia="Century Gothic"/>
          <w:b w:val="0"/>
          <w:i w:val="0"/>
          <w:sz w:val="20"/>
        </w:rPr>
        <w:t xml:space="preserve"> en el Diplomado (otorgada al cursante con desempeño cuali-cuantitativo sobresaliente en los módulos del programa).</w:t>
      </w:r>
    </w:p>
    <w:p>
      <w:pPr>
        <w:keepNext/>
        <w:tabs>
          <w:tab w:pos="709" w:val="left"/>
        </w:tabs>
        <w:spacing w:before="40" w:after="200" w:line="240" w:lineRule="auto"/>
        <w:ind w:left="709" w:hanging="709"/>
        <w:jc w:val="left"/>
      </w:pPr>
      <w:r>
        <w:rPr>
          <w:rFonts w:ascii="Century Gothic" w:hAnsi="Century Gothic" w:cs="Century Gothic" w:eastAsia="Century Gothic"/>
          <w:b/>
          <w:i w:val="0"/>
          <w:sz w:val="22"/>
        </w:rPr>
        <w:t>g.</w:t>
        <w:tab/>
      </w:r>
      <w:r>
        <w:rPr>
          <w:rFonts w:ascii="Century Gothic" w:hAnsi="Century Gothic" w:cs="Century Gothic" w:eastAsia="Century Gothic"/>
          <w:b/>
          <w:i w:val="0"/>
          <w:sz w:val="22"/>
        </w:rPr>
        <w:t>Plan Excepcional de Titulación para Antiguos Estudiantes No Graduados (P.E.T.A.E.N.G.)</w:t>
      </w:r>
    </w:p>
    <w:p>
      <w:pPr>
        <w:spacing w:before="0" w:after="200" w:line="240" w:lineRule="auto"/>
        <w:jc w:val="both"/>
      </w:pPr>
      <w:r>
        <w:rPr>
          <w:rFonts w:ascii="Century Gothic" w:hAnsi="Century Gothic" w:cs="Century Gothic" w:eastAsia="Century Gothic"/>
          <w:b w:val="0"/>
          <w:i w:val="0"/>
          <w:sz w:val="20"/>
        </w:rPr>
        <w:t xml:space="preserve">Programa académico de actualización y titulación dirigido exclusivamente a estudiantes egresados que hayan concluido el plan de estudios y tengan un tiempo </w:t>
      </w:r>
      <w:r>
        <w:rPr>
          <w:rFonts w:ascii="Century Gothic" w:hAnsi="Century Gothic" w:cs="Century Gothic" w:eastAsia="Century Gothic"/>
          <w:b/>
          <w:i w:val="0"/>
          <w:sz w:val="20"/>
        </w:rPr>
        <w:t>igual o mayor a tres (3) años de antigüedad sin haberse graduado.</w:t>
      </w:r>
    </w:p>
    <w:p>
      <w:pPr>
        <w:spacing w:before="0" w:after="200" w:line="240" w:lineRule="auto"/>
        <w:jc w:val="both"/>
      </w:pPr>
      <w:r>
        <w:rPr>
          <w:rFonts w:ascii="Century Gothic" w:hAnsi="Century Gothic" w:cs="Century Gothic" w:eastAsia="Century Gothic"/>
          <w:b w:val="0"/>
          <w:i w:val="0"/>
          <w:sz w:val="20"/>
        </w:rPr>
        <w:t>El “P.E.T.A.E.N.G.” es una modalidad de graduación excepcional que permite planificar, ejecutar y evaluar el desarrollo de un Trabajo Académico Diferenciado (actualización normativa, monografía de sistematización o proyecto de aplicación), con defensa oral ante tribunal para consolidar la obtención del título en Contaduría Pública.</w:t>
      </w:r>
    </w:p>
    <w:p>
      <w:pPr>
        <w:keepNext/>
        <w:spacing w:before="40" w:after="200" w:line="240" w:lineRule="auto"/>
        <w:jc w:val="left"/>
      </w:pPr>
      <w:r>
        <w:rPr>
          <w:rFonts w:ascii="Century Gothic" w:hAnsi="Century Gothic" w:cs="Century Gothic" w:eastAsia="Century Gothic"/>
          <w:b/>
          <w:i w:val="0"/>
          <w:sz w:val="22"/>
        </w:rPr>
        <w:t>Trámite Administrativo-Legal para la Obtención de Grados y Títulos</w:t>
      </w:r>
    </w:p>
    <w:p>
      <w:pPr>
        <w:spacing w:before="0" w:after="200" w:line="240" w:lineRule="auto"/>
        <w:jc w:val="both"/>
      </w:pPr>
      <w:r>
        <w:rPr>
          <w:rFonts w:ascii="Century Gothic" w:hAnsi="Century Gothic" w:cs="Century Gothic" w:eastAsia="Century Gothic"/>
          <w:b w:val="0"/>
          <w:i w:val="0"/>
          <w:sz w:val="20"/>
        </w:rPr>
        <w:t>Una vez aprobada la modalidad de graduación correspondientemente registrada en el Acta de Defensa Final, el graduado inicia el trámite administrativo-legal independiente para la obtención de:</w:t>
      </w:r>
    </w:p>
    <w:p>
      <w:pPr>
        <w:numPr>
          <w:ilvl w:val="0"/>
          <w:numId w:val="1013"/>
        </w:numPr>
        <w:spacing w:before="0" w:after="160" w:line="240" w:lineRule="auto"/>
        <w:jc w:val="both"/>
      </w:pPr>
      <w:r>
        <w:rPr>
          <w:rFonts w:ascii="Century Gothic" w:hAnsi="Century Gothic" w:cs="Century Gothic" w:eastAsia="Century Gothic"/>
          <w:b/>
          <w:i w:val="0"/>
          <w:sz w:val="20"/>
        </w:rPr>
        <w:t>Diploma Académico de Licenciado(a) en Contaduría Pública:</w:t>
      </w:r>
      <w:r>
        <w:rPr>
          <w:rFonts w:ascii="Century Gothic" w:hAnsi="Century Gothic" w:cs="Century Gothic" w:eastAsia="Century Gothic"/>
          <w:b w:val="0"/>
          <w:i w:val="0"/>
          <w:sz w:val="20"/>
        </w:rPr>
        <w:t xml:space="preserve"> Expedido por la Universidad Mayor de San Andrés tras la verificación del expediente académico en el Departamento de Títulos y Grados.</w:t>
      </w:r>
    </w:p>
    <w:p>
      <w:pPr>
        <w:numPr>
          <w:ilvl w:val="0"/>
          <w:numId w:val="1013"/>
        </w:numPr>
        <w:spacing w:before="0" w:after="200" w:line="240" w:lineRule="auto"/>
        <w:jc w:val="both"/>
      </w:pPr>
      <w:r>
        <w:rPr>
          <w:rFonts w:ascii="Century Gothic" w:hAnsi="Century Gothic" w:cs="Century Gothic" w:eastAsia="Century Gothic"/>
          <w:b/>
          <w:i w:val="0"/>
          <w:sz w:val="20"/>
        </w:rPr>
        <w:t>Título Profesional / Título en Provisión Nacional de Contador Público Autorizado (CPA):</w:t>
      </w:r>
      <w:r>
        <w:rPr>
          <w:rFonts w:ascii="Century Gothic" w:hAnsi="Century Gothic" w:cs="Century Gothic" w:eastAsia="Century Gothic"/>
          <w:b w:val="0"/>
          <w:i w:val="0"/>
          <w:sz w:val="20"/>
        </w:rPr>
        <w:t xml:space="preserve"> Otorgado por el Estado Plurinacional a través de la UMSA, habilitando el ejercicio legal de la profesión en todo el territorio nacional y la posterior matriculación en el Colegio de Auditores o Contadores Públicos de Bolivia.</w:t>
      </w:r>
    </w:p>
    <w:p>
      <w:pPr>
        <w:keepNext/>
        <w:tabs>
          <w:tab w:pos="992" w:val="left"/>
        </w:tabs>
        <w:spacing w:before="40" w:after="200" w:line="240" w:lineRule="auto"/>
        <w:ind w:left="992" w:hanging="992"/>
        <w:jc w:val="left"/>
      </w:pPr>
      <w:r>
        <w:rPr>
          <w:rFonts w:ascii="Century Gothic" w:hAnsi="Century Gothic" w:cs="Century Gothic" w:eastAsia="Century Gothic"/>
          <w:b/>
          <w:i w:val="0"/>
          <w:sz w:val="22"/>
        </w:rPr>
        <w:t>5.4.2.2</w:t>
        <w:tab/>
      </w:r>
      <w:r>
        <w:rPr>
          <w:rFonts w:ascii="Century Gothic" w:hAnsi="Century Gothic" w:cs="Century Gothic" w:eastAsia="Century Gothic"/>
          <w:b/>
          <w:i w:val="0"/>
          <w:sz w:val="22"/>
        </w:rPr>
        <w:t>Modalidades de Graduación para Técnico Superior</w:t>
      </w:r>
    </w:p>
    <w:p>
      <w:pPr>
        <w:keepNext/>
        <w:tabs>
          <w:tab w:pos="709" w:val="left"/>
        </w:tabs>
        <w:spacing w:before="40" w:after="200" w:line="240" w:lineRule="auto"/>
        <w:ind w:left="709" w:hanging="709"/>
        <w:jc w:val="left"/>
      </w:pPr>
      <w:r>
        <w:rPr>
          <w:rFonts w:ascii="Century Gothic" w:hAnsi="Century Gothic" w:cs="Century Gothic" w:eastAsia="Century Gothic"/>
          <w:b/>
          <w:i w:val="0"/>
          <w:sz w:val="22"/>
        </w:rPr>
        <w:t>a.</w:t>
        <w:tab/>
      </w:r>
      <w:r>
        <w:rPr>
          <w:rFonts w:ascii="Century Gothic" w:hAnsi="Century Gothic" w:cs="Century Gothic" w:eastAsia="Century Gothic"/>
          <w:b/>
          <w:i w:val="0"/>
          <w:sz w:val="22"/>
        </w:rPr>
        <w:t>Examen de Grado Técnico Superior</w:t>
      </w:r>
    </w:p>
    <w:p>
      <w:pPr>
        <w:spacing w:before="0" w:after="200" w:line="240" w:lineRule="auto"/>
        <w:jc w:val="both"/>
      </w:pPr>
      <w:r>
        <w:rPr>
          <w:rFonts w:ascii="Century Gothic" w:hAnsi="Century Gothic" w:cs="Century Gothic" w:eastAsia="Century Gothic"/>
          <w:b w:val="0"/>
          <w:i w:val="0"/>
          <w:sz w:val="20"/>
        </w:rPr>
        <w:t>Modalidad que mide la efectividad de la formación global del estudiante mediante pruebas teórico-prácticas presenciales ante tribunales evaluadores después de aprobar todas las asignaturas (24 asignaturas) hasta el tercer año que incluye el Plan de Estudios 2027.</w:t>
      </w:r>
    </w:p>
    <w:p>
      <w:pPr>
        <w:spacing w:before="0" w:after="200" w:line="240" w:lineRule="auto"/>
        <w:jc w:val="both"/>
      </w:pPr>
      <w:r>
        <w:rPr>
          <w:rFonts w:ascii="Century Gothic" w:hAnsi="Century Gothic" w:cs="Century Gothic" w:eastAsia="Century Gothic"/>
          <w:b w:val="0"/>
          <w:i w:val="0"/>
          <w:sz w:val="20"/>
        </w:rPr>
        <w:t>Las asignaturas sujetas a evaluación, corresponden a las áreas troncales, en un único examen, que será convocado por el Director de la Carrera dos (2) veces al año, con la participación de Docentes que regentan las asignaturas sujetas a evaluación.</w:t>
      </w:r>
    </w:p>
    <w:p>
      <w:pPr>
        <w:spacing w:before="0" w:after="200" w:line="240" w:lineRule="auto"/>
        <w:jc w:val="both"/>
      </w:pPr>
      <w:r>
        <w:rPr>
          <w:rFonts w:ascii="Century Gothic" w:hAnsi="Century Gothic" w:cs="Century Gothic" w:eastAsia="Century Gothic"/>
          <w:b w:val="0"/>
          <w:i w:val="0"/>
          <w:sz w:val="20"/>
        </w:rPr>
        <w:t>Las asignaturas que integran son:</w:t>
      </w:r>
    </w:p>
    <w:p>
      <w:pPr>
        <w:numPr>
          <w:ilvl w:val="0"/>
          <w:numId w:val="1014"/>
        </w:numPr>
        <w:spacing w:before="0" w:after="160" w:line="240" w:lineRule="auto"/>
        <w:jc w:val="both"/>
      </w:pPr>
      <w:r>
        <w:rPr>
          <w:rFonts w:ascii="Century Gothic" w:hAnsi="Century Gothic" w:cs="Century Gothic" w:eastAsia="Century Gothic"/>
          <w:b w:val="0"/>
          <w:i w:val="0"/>
          <w:sz w:val="20"/>
        </w:rPr>
        <w:t>Contabilidad Básica</w:t>
      </w:r>
    </w:p>
    <w:p>
      <w:pPr>
        <w:numPr>
          <w:ilvl w:val="0"/>
          <w:numId w:val="1014"/>
        </w:numPr>
        <w:spacing w:before="0" w:after="160" w:line="240" w:lineRule="auto"/>
        <w:jc w:val="both"/>
      </w:pPr>
      <w:r>
        <w:rPr>
          <w:rFonts w:ascii="Century Gothic" w:hAnsi="Century Gothic" w:cs="Century Gothic" w:eastAsia="Century Gothic"/>
          <w:b w:val="0"/>
          <w:i w:val="0"/>
          <w:sz w:val="20"/>
        </w:rPr>
        <w:t>Contabilidad Intermedia</w:t>
      </w:r>
    </w:p>
    <w:p>
      <w:pPr>
        <w:numPr>
          <w:ilvl w:val="0"/>
          <w:numId w:val="1014"/>
        </w:numPr>
        <w:spacing w:before="0" w:after="160" w:line="240" w:lineRule="auto"/>
        <w:jc w:val="both"/>
      </w:pPr>
      <w:r>
        <w:rPr>
          <w:rFonts w:ascii="Century Gothic" w:hAnsi="Century Gothic" w:cs="Century Gothic" w:eastAsia="Century Gothic"/>
          <w:b w:val="0"/>
          <w:i w:val="0"/>
          <w:sz w:val="20"/>
        </w:rPr>
        <w:t>Contabilidad de Sociedades</w:t>
      </w:r>
    </w:p>
    <w:p>
      <w:pPr>
        <w:numPr>
          <w:ilvl w:val="0"/>
          <w:numId w:val="1014"/>
        </w:numPr>
        <w:spacing w:before="0" w:after="160" w:line="240" w:lineRule="auto"/>
        <w:jc w:val="both"/>
      </w:pPr>
      <w:r>
        <w:rPr>
          <w:rFonts w:ascii="Century Gothic" w:hAnsi="Century Gothic" w:cs="Century Gothic" w:eastAsia="Century Gothic"/>
          <w:b w:val="0"/>
          <w:i w:val="0"/>
          <w:sz w:val="20"/>
        </w:rPr>
        <w:t>Contabilidad de Tributos</w:t>
      </w:r>
    </w:p>
    <w:p>
      <w:pPr>
        <w:numPr>
          <w:ilvl w:val="0"/>
          <w:numId w:val="1014"/>
        </w:numPr>
        <w:spacing w:before="0" w:after="160" w:line="240" w:lineRule="auto"/>
        <w:jc w:val="both"/>
      </w:pPr>
      <w:r>
        <w:rPr>
          <w:rFonts w:ascii="Century Gothic" w:hAnsi="Century Gothic" w:cs="Century Gothic" w:eastAsia="Century Gothic"/>
          <w:b w:val="0"/>
          <w:i w:val="0"/>
          <w:sz w:val="20"/>
        </w:rPr>
        <w:t>Contabilidad Internacional</w:t>
      </w:r>
    </w:p>
    <w:p>
      <w:pPr>
        <w:numPr>
          <w:ilvl w:val="0"/>
          <w:numId w:val="1014"/>
        </w:numPr>
        <w:spacing w:before="0" w:after="160" w:line="240" w:lineRule="auto"/>
        <w:jc w:val="both"/>
      </w:pPr>
      <w:r>
        <w:rPr>
          <w:rFonts w:ascii="Century Gothic" w:hAnsi="Century Gothic" w:cs="Century Gothic" w:eastAsia="Century Gothic"/>
          <w:b w:val="0"/>
          <w:i w:val="0"/>
          <w:sz w:val="20"/>
        </w:rPr>
        <w:t>Contabilidad de Costos y Gestión</w:t>
      </w:r>
    </w:p>
    <w:p>
      <w:pPr>
        <w:numPr>
          <w:ilvl w:val="0"/>
          <w:numId w:val="1014"/>
        </w:numPr>
        <w:spacing w:before="0" w:after="160" w:line="240" w:lineRule="auto"/>
        <w:jc w:val="both"/>
      </w:pPr>
      <w:r>
        <w:rPr>
          <w:rFonts w:ascii="Century Gothic" w:hAnsi="Century Gothic" w:cs="Century Gothic" w:eastAsia="Century Gothic"/>
          <w:b w:val="0"/>
          <w:i w:val="0"/>
          <w:sz w:val="20"/>
        </w:rPr>
        <w:t>Contabilidad de Bancos y Entidades Financieras</w:t>
      </w:r>
    </w:p>
    <w:p>
      <w:pPr>
        <w:numPr>
          <w:ilvl w:val="0"/>
          <w:numId w:val="1014"/>
        </w:numPr>
        <w:spacing w:before="0" w:after="200" w:line="240" w:lineRule="auto"/>
        <w:jc w:val="both"/>
      </w:pPr>
      <w:r>
        <w:rPr>
          <w:rFonts w:ascii="Century Gothic" w:hAnsi="Century Gothic" w:cs="Century Gothic" w:eastAsia="Century Gothic"/>
          <w:b w:val="0"/>
          <w:i w:val="0"/>
          <w:sz w:val="20"/>
        </w:rPr>
        <w:t>Presupuesto y Contabilidad Gubernamental</w:t>
      </w:r>
    </w:p>
    <w:p>
      <w:pPr>
        <w:spacing w:before="0" w:after="200" w:line="240" w:lineRule="auto"/>
        <w:jc w:val="both"/>
      </w:pPr>
      <w:r>
        <w:rPr>
          <w:rFonts w:ascii="Century Gothic" w:hAnsi="Century Gothic" w:cs="Century Gothic" w:eastAsia="Century Gothic"/>
          <w:b w:val="0"/>
          <w:i w:val="0"/>
          <w:sz w:val="20"/>
        </w:rPr>
        <w:t>La suma acumulativa en la escala de valoración es de 1 a 100 puntos, con un puntaje mínimo de aprobación de cincuenta y uno (51) puntos.</w:t>
      </w:r>
    </w:p>
    <w:p>
      <w:pPr>
        <w:pageBreakBefore/>
        <w:spacing w:before="0" w:after="0" w:line="240" w:lineRule="auto"/>
        <w:jc w:val="center"/>
      </w:pPr>
      <w:r>
        <w:rPr>
          <w:rFonts w:ascii="Century Gothic" w:hAnsi="Century Gothic" w:cs="Century Gothic" w:eastAsia="Century Gothic"/>
          <w:b/>
          <w:i w:val="0"/>
          <w:sz w:val="28"/>
        </w:rPr>
        <w:t>Diseño Curricular</w:t>
      </w:r>
    </w:p>
    <w:p>
      <w:pPr>
        <w:spacing w:before="0" w:after="360" w:line="240" w:lineRule="auto"/>
        <w:jc w:val="center"/>
      </w:pPr>
      <w:r>
        <w:rPr>
          <w:rFonts w:ascii="Century Gothic" w:hAnsi="Century Gothic" w:cs="Century Gothic" w:eastAsia="Century Gothic"/>
          <w:b/>
          <w:i w:val="0"/>
          <w:sz w:val="28"/>
        </w:rPr>
        <w:t>Implementación del Proyecto Curricular</w:t>
      </w:r>
    </w:p>
    <w:p>
      <w:pPr>
        <w:keepNext/>
        <w:tabs>
          <w:tab w:pos="709" w:val="left"/>
        </w:tabs>
        <w:spacing w:before="160" w:after="200" w:line="240" w:lineRule="auto"/>
        <w:ind w:left="709" w:hanging="709"/>
        <w:jc w:val="left"/>
      </w:pPr>
      <w:r>
        <w:rPr>
          <w:rFonts w:ascii="Century Gothic" w:hAnsi="Century Gothic" w:cs="Century Gothic" w:eastAsia="Century Gothic"/>
          <w:b/>
          <w:i w:val="0"/>
          <w:sz w:val="24"/>
        </w:rPr>
        <w:t>11.</w:t>
        <w:tab/>
      </w:r>
      <w:r>
        <w:rPr>
          <w:rFonts w:ascii="Century Gothic" w:hAnsi="Century Gothic" w:cs="Century Gothic" w:eastAsia="Century Gothic"/>
          <w:b/>
          <w:i w:val="0"/>
          <w:sz w:val="24"/>
        </w:rPr>
        <w:t>Implementación del proyecto curricular</w:t>
      </w:r>
    </w:p>
    <w:p>
      <w:pPr>
        <w:keepNext/>
        <w:tabs>
          <w:tab w:pos="709" w:val="left"/>
        </w:tabs>
        <w:spacing w:before="120" w:after="200" w:line="240" w:lineRule="auto"/>
        <w:ind w:left="709" w:hanging="709"/>
        <w:jc w:val="left"/>
      </w:pPr>
      <w:r>
        <w:rPr>
          <w:rFonts w:ascii="Century Gothic" w:hAnsi="Century Gothic" w:cs="Century Gothic" w:eastAsia="Century Gothic"/>
          <w:b/>
          <w:i w:val="0"/>
          <w:sz w:val="24"/>
        </w:rPr>
        <w:t>11.2</w:t>
        <w:tab/>
      </w:r>
      <w:r>
        <w:rPr>
          <w:rFonts w:ascii="Century Gothic" w:hAnsi="Century Gothic" w:cs="Century Gothic" w:eastAsia="Century Gothic"/>
          <w:b/>
          <w:i w:val="0"/>
          <w:sz w:val="24"/>
        </w:rPr>
        <w:t>Recursos humanos</w:t>
      </w:r>
    </w:p>
    <w:p>
      <w:pPr>
        <w:keepNext/>
        <w:tabs>
          <w:tab w:pos="992" w:val="left"/>
        </w:tabs>
        <w:spacing w:before="80" w:after="200" w:line="240" w:lineRule="auto"/>
        <w:ind w:left="992" w:hanging="992"/>
        <w:jc w:val="left"/>
      </w:pPr>
      <w:r>
        <w:rPr>
          <w:rFonts w:ascii="Century Gothic" w:hAnsi="Century Gothic" w:cs="Century Gothic" w:eastAsia="Century Gothic"/>
          <w:b/>
          <w:i w:val="0"/>
          <w:sz w:val="22"/>
        </w:rPr>
        <w:t>11.2.1</w:t>
        <w:tab/>
      </w:r>
      <w:r>
        <w:rPr>
          <w:rFonts w:ascii="Century Gothic" w:hAnsi="Century Gothic" w:cs="Century Gothic" w:eastAsia="Century Gothic"/>
          <w:b/>
          <w:i w:val="0"/>
          <w:sz w:val="22"/>
        </w:rPr>
        <w:t>Perfil y Requisitos Profesionales del Docente Universitario</w:t>
      </w:r>
    </w:p>
    <w:p>
      <w:pPr>
        <w:spacing w:before="0" w:after="200" w:line="240" w:lineRule="auto"/>
        <w:jc w:val="both"/>
      </w:pPr>
      <w:r>
        <w:rPr>
          <w:rFonts w:ascii="Century Gothic" w:hAnsi="Century Gothic" w:cs="Century Gothic" w:eastAsia="Century Gothic"/>
          <w:b w:val="0"/>
          <w:i w:val="0"/>
          <w:sz w:val="20"/>
        </w:rPr>
        <w:t xml:space="preserve">Para garantizar la calidad académica, el rigor científico y la idoneidad pedagógica en la ejecución del </w:t>
      </w:r>
      <w:r>
        <w:rPr>
          <w:rFonts w:ascii="Century Gothic" w:hAnsi="Century Gothic" w:cs="Century Gothic" w:eastAsia="Century Gothic"/>
          <w:b/>
          <w:i w:val="0"/>
          <w:sz w:val="20"/>
        </w:rPr>
        <w:t>Plan de Estudios 2027 (CPA)</w:t>
      </w:r>
      <w:r>
        <w:rPr>
          <w:rFonts w:ascii="Century Gothic" w:hAnsi="Century Gothic" w:cs="Century Gothic" w:eastAsia="Century Gothic"/>
          <w:b w:val="0"/>
          <w:i w:val="0"/>
          <w:sz w:val="20"/>
        </w:rPr>
        <w:t xml:space="preserve">, la Carrera de Contaduría Pública de la UMSA define el perfil integral y las especificaciones técnicas requeridas para el cuerpo docente por área del conocimiento, en cumplimiento del </w:t>
      </w:r>
      <w:r>
        <w:rPr>
          <w:rFonts w:ascii="Century Gothic" w:hAnsi="Century Gothic" w:cs="Century Gothic" w:eastAsia="Century Gothic"/>
          <w:b/>
          <w:i w:val="0"/>
          <w:sz w:val="20"/>
        </w:rPr>
        <w:t>Reglamento del Régimen Académico Docente de la UMSA</w:t>
      </w:r>
      <w:r>
        <w:rPr>
          <w:rFonts w:ascii="Century Gothic" w:hAnsi="Century Gothic" w:cs="Century Gothic" w:eastAsia="Century Gothic"/>
          <w:b w:val="0"/>
          <w:i w:val="0"/>
          <w:sz w:val="20"/>
        </w:rPr>
        <w:t xml:space="preserve">, los estándares de acreditación del </w:t>
      </w:r>
      <w:r>
        <w:rPr>
          <w:rFonts w:ascii="Century Gothic" w:hAnsi="Century Gothic" w:cs="Century Gothic" w:eastAsia="Century Gothic"/>
          <w:b/>
          <w:i w:val="0"/>
          <w:sz w:val="20"/>
        </w:rPr>
        <w:t>Comité Ejecutivo de la Universidad Boliviana (CEUB)</w:t>
      </w:r>
      <w:r>
        <w:rPr>
          <w:rFonts w:ascii="Century Gothic" w:hAnsi="Century Gothic" w:cs="Century Gothic" w:eastAsia="Century Gothic"/>
          <w:b w:val="0"/>
          <w:i w:val="0"/>
          <w:sz w:val="20"/>
        </w:rPr>
        <w:t xml:space="preserve"> y las Normas </w:t>
      </w:r>
      <w:r>
        <w:rPr>
          <w:rFonts w:ascii="Century Gothic" w:hAnsi="Century Gothic" w:cs="Century Gothic" w:eastAsia="Century Gothic"/>
          <w:b/>
          <w:i w:val="0"/>
          <w:sz w:val="20"/>
        </w:rPr>
        <w:t>IES 2 e IES 4 de la IFAC</w:t>
      </w:r>
    </w:p>
    <w:p>
      <w:pPr>
        <w:keepNext/>
        <w:tabs>
          <w:tab w:pos="709" w:val="left"/>
        </w:tabs>
        <w:spacing w:before="40" w:after="200" w:line="240" w:lineRule="auto"/>
        <w:ind w:left="709" w:hanging="709"/>
        <w:jc w:val="left"/>
      </w:pPr>
      <w:r>
        <w:rPr>
          <w:rFonts w:ascii="Century Gothic" w:hAnsi="Century Gothic" w:cs="Century Gothic" w:eastAsia="Century Gothic"/>
          <w:b/>
          <w:i w:val="0"/>
          <w:sz w:val="22"/>
        </w:rPr>
        <w:t>a.</w:t>
        <w:tab/>
      </w:r>
      <w:r>
        <w:rPr>
          <w:rFonts w:ascii="Century Gothic" w:hAnsi="Century Gothic" w:cs="Century Gothic" w:eastAsia="Century Gothic"/>
          <w:b/>
          <w:i w:val="0"/>
          <w:sz w:val="22"/>
        </w:rPr>
        <w:t>Requisitos generales de idoneidad y formación docente</w:t>
      </w:r>
    </w:p>
    <w:p>
      <w:pPr>
        <w:spacing w:before="0" w:after="200" w:line="240" w:lineRule="auto"/>
        <w:jc w:val="both"/>
      </w:pPr>
      <w:r>
        <w:rPr>
          <w:rFonts w:ascii="Century Gothic" w:hAnsi="Century Gothic" w:cs="Century Gothic" w:eastAsia="Century Gothic"/>
          <w:b w:val="0"/>
          <w:i w:val="0"/>
          <w:sz w:val="20"/>
        </w:rPr>
        <w:t>El docente de la Carrera de Contaduría Pública es un facilitador, investigador y referente ético-profesional que reúne obligatoriamente los siguientes requisitos de idoneidad académica y profesional:</w:t>
      </w:r>
    </w:p>
    <w:p>
      <w:pPr>
        <w:numPr>
          <w:ilvl w:val="0"/>
          <w:numId w:val="1024"/>
        </w:numPr>
        <w:spacing w:before="0" w:after="160" w:line="240" w:lineRule="auto"/>
        <w:jc w:val="both"/>
      </w:pPr>
      <w:r>
        <w:rPr>
          <w:rFonts w:ascii="Century Gothic" w:hAnsi="Century Gothic" w:cs="Century Gothic" w:eastAsia="Century Gothic"/>
          <w:b/>
          <w:i w:val="0"/>
          <w:sz w:val="20"/>
        </w:rPr>
        <w:t>Formación Académica y Títulos:</w:t>
      </w:r>
      <w:r>
        <w:rPr>
          <w:rFonts w:ascii="Century Gothic" w:hAnsi="Century Gothic" w:cs="Century Gothic" w:eastAsia="Century Gothic"/>
          <w:b w:val="0"/>
          <w:i w:val="0"/>
          <w:sz w:val="20"/>
        </w:rPr>
        <w:t xml:space="preserve"> Posee Diploma Académico de Licenciatura y Titulo Profesional / Titulo en Provisión Nacional expedido o revalidado por una Universidad del Sistema de la Universidad Bolivia (SUB).</w:t>
      </w:r>
    </w:p>
    <w:p>
      <w:pPr>
        <w:numPr>
          <w:ilvl w:val="0"/>
          <w:numId w:val="1024"/>
        </w:numPr>
        <w:spacing w:before="0" w:after="160" w:line="240" w:lineRule="auto"/>
        <w:jc w:val="both"/>
      </w:pPr>
      <w:r>
        <w:rPr>
          <w:rFonts w:ascii="Century Gothic" w:hAnsi="Century Gothic" w:cs="Century Gothic" w:eastAsia="Century Gothic"/>
          <w:b/>
          <w:i w:val="0"/>
          <w:sz w:val="20"/>
        </w:rPr>
        <w:t>Formación Pedagógica Obligatoria:</w:t>
      </w:r>
      <w:r>
        <w:rPr>
          <w:rFonts w:ascii="Century Gothic" w:hAnsi="Century Gothic" w:cs="Century Gothic" w:eastAsia="Century Gothic"/>
          <w:b w:val="0"/>
          <w:i w:val="0"/>
          <w:sz w:val="20"/>
        </w:rPr>
        <w:t xml:space="preserve"> Acreditar un curso de Formación Docente en Educación Superior (mínimo nivel de Diplomado en Educación Superior o su equivalente reconocido por el SUB).</w:t>
      </w:r>
    </w:p>
    <w:p>
      <w:pPr>
        <w:numPr>
          <w:ilvl w:val="0"/>
          <w:numId w:val="1024"/>
        </w:numPr>
        <w:spacing w:before="0" w:after="160" w:line="240" w:lineRule="auto"/>
        <w:jc w:val="both"/>
      </w:pPr>
      <w:r>
        <w:rPr>
          <w:rFonts w:ascii="Century Gothic" w:hAnsi="Century Gothic" w:cs="Century Gothic" w:eastAsia="Century Gothic"/>
          <w:b/>
          <w:i w:val="0"/>
          <w:sz w:val="20"/>
        </w:rPr>
        <w:t>Experiencia Profesional Probada:</w:t>
      </w:r>
      <w:r>
        <w:rPr>
          <w:rFonts w:ascii="Century Gothic" w:hAnsi="Century Gothic" w:cs="Century Gothic" w:eastAsia="Century Gothic"/>
          <w:b w:val="0"/>
          <w:i w:val="0"/>
          <w:sz w:val="20"/>
        </w:rPr>
        <w:t xml:space="preserve"> Demostrar experiencia práctica previa comprobable no menor a 3 años en el ejercicio efectivo de la profesión y en el área específica de la cátedra que imparte, garantizando la enseñanza fundamentada en casos y problemáticas reales.</w:t>
      </w:r>
    </w:p>
    <w:p>
      <w:pPr>
        <w:numPr>
          <w:ilvl w:val="0"/>
          <w:numId w:val="1024"/>
        </w:numPr>
        <w:spacing w:before="0" w:after="160" w:line="240" w:lineRule="auto"/>
        <w:jc w:val="both"/>
      </w:pPr>
      <w:r>
        <w:rPr>
          <w:rFonts w:ascii="Century Gothic" w:hAnsi="Century Gothic" w:cs="Century Gothic" w:eastAsia="Century Gothic"/>
          <w:b/>
          <w:i w:val="0"/>
          <w:sz w:val="20"/>
        </w:rPr>
        <w:t>Competencias Digitales e Innovación Pedagógica:</w:t>
      </w:r>
      <w:r>
        <w:rPr>
          <w:rFonts w:ascii="Century Gothic" w:hAnsi="Century Gothic" w:cs="Century Gothic" w:eastAsia="Century Gothic"/>
          <w:b w:val="0"/>
          <w:i w:val="0"/>
          <w:sz w:val="20"/>
        </w:rPr>
        <w:t xml:space="preserve"> Maneja con fluidez entornos virtuales de aprendizaje, herramientas tecnológicas aplicadas (software contable, sistemas ERP, paquetes de análisis de datos e Inteligencia Artificial), domina metodologías activas de aprendizaje (casos, proyectos, simulación) y diseña estrategias de evaluación auténtica (rúbricas, portafolios y proyectos integradores).</w:t>
      </w:r>
    </w:p>
    <w:p>
      <w:pPr>
        <w:numPr>
          <w:ilvl w:val="0"/>
          <w:numId w:val="1024"/>
        </w:numPr>
        <w:spacing w:before="0" w:after="160" w:line="240" w:lineRule="auto"/>
        <w:jc w:val="both"/>
      </w:pPr>
      <w:r>
        <w:rPr>
          <w:rFonts w:ascii="Century Gothic" w:hAnsi="Century Gothic" w:cs="Century Gothic" w:eastAsia="Century Gothic"/>
          <w:b/>
          <w:i w:val="0"/>
          <w:sz w:val="20"/>
        </w:rPr>
        <w:t>Cultura Ética y Ejemplaridad:</w:t>
      </w:r>
      <w:r>
        <w:rPr>
          <w:rFonts w:ascii="Century Gothic" w:hAnsi="Century Gothic" w:cs="Century Gothic" w:eastAsia="Century Gothic"/>
          <w:b w:val="0"/>
          <w:i w:val="0"/>
          <w:sz w:val="20"/>
        </w:rPr>
        <w:t xml:space="preserve"> Demuestra conducta ética intachable, independencia de criterio y alineamiento con los principios del Código Internacional de Ética del IESBA y el Estatuto Orgánico de la UMSA.</w:t>
      </w:r>
    </w:p>
    <w:p>
      <w:pPr>
        <w:numPr>
          <w:ilvl w:val="0"/>
          <w:numId w:val="1024"/>
        </w:numPr>
        <w:spacing w:before="0" w:after="200" w:line="240" w:lineRule="auto"/>
        <w:jc w:val="both"/>
      </w:pPr>
      <w:r>
        <w:rPr>
          <w:rFonts w:ascii="Century Gothic" w:hAnsi="Century Gothic" w:cs="Century Gothic" w:eastAsia="Century Gothic"/>
          <w:b/>
          <w:i w:val="0"/>
          <w:sz w:val="20"/>
        </w:rPr>
        <w:t>Formación de Posgrado y Acreditación:</w:t>
      </w:r>
      <w:r>
        <w:rPr>
          <w:rFonts w:ascii="Century Gothic" w:hAnsi="Century Gothic" w:cs="Century Gothic" w:eastAsia="Century Gothic"/>
          <w:b w:val="0"/>
          <w:i w:val="0"/>
          <w:sz w:val="20"/>
        </w:rPr>
        <w:t xml:space="preserve"> En alineación con los estándares de acreditación universitaria (CEUB), al menos el 51% del plantel docente debe contar con grado académico de Posgrado (Especialidad, Maestría o Doctorado) en el área de conocimiento de su cátedra.</w:t>
      </w:r>
    </w:p>
    <w:p>
      <w:pPr>
        <w:keepNext/>
        <w:tabs>
          <w:tab w:pos="709" w:val="left"/>
        </w:tabs>
        <w:spacing w:before="40" w:after="200" w:line="240" w:lineRule="auto"/>
        <w:ind w:left="709" w:hanging="709"/>
        <w:jc w:val="left"/>
      </w:pPr>
      <w:r>
        <w:rPr>
          <w:rFonts w:ascii="Century Gothic" w:hAnsi="Century Gothic" w:cs="Century Gothic" w:eastAsia="Century Gothic"/>
          <w:b/>
          <w:i w:val="0"/>
          <w:sz w:val="22"/>
        </w:rPr>
        <w:t>b.</w:t>
        <w:tab/>
      </w:r>
      <w:r>
        <w:rPr>
          <w:rFonts w:ascii="Century Gothic" w:hAnsi="Century Gothic" w:cs="Century Gothic" w:eastAsia="Century Gothic"/>
          <w:b/>
          <w:i w:val="0"/>
          <w:sz w:val="22"/>
        </w:rPr>
        <w:t>Requisitos especializados por área de conocimiento</w:t>
      </w:r>
    </w:p>
    <w:p>
      <w:pPr>
        <w:spacing w:before="0" w:after="200" w:line="240" w:lineRule="auto"/>
        <w:jc w:val="both"/>
      </w:pPr>
      <w:r>
        <w:rPr>
          <w:rFonts w:ascii="Century Gothic" w:hAnsi="Century Gothic" w:cs="Century Gothic" w:eastAsia="Century Gothic"/>
          <w:b w:val="0"/>
          <w:i w:val="0"/>
          <w:sz w:val="20"/>
        </w:rPr>
        <w:t xml:space="preserve">Dada la naturaleza especializada de las </w:t>
      </w:r>
      <w:r>
        <w:rPr>
          <w:rFonts w:ascii="Century Gothic" w:hAnsi="Century Gothic" w:cs="Century Gothic" w:eastAsia="Century Gothic"/>
          <w:b/>
          <w:i w:val="0"/>
          <w:sz w:val="20"/>
        </w:rPr>
        <w:t>seis áreas del conocimiento</w:t>
      </w:r>
      <w:r>
        <w:rPr>
          <w:rFonts w:ascii="Century Gothic" w:hAnsi="Century Gothic" w:cs="Century Gothic" w:eastAsia="Century Gothic"/>
          <w:b w:val="0"/>
          <w:i w:val="0"/>
          <w:sz w:val="20"/>
        </w:rPr>
        <w:t xml:space="preserve"> que conforman la malla curricular 2027 y en cumplimiento de las Normas IES 2 e IES 4 de la IFAC, del Reglamento de Acreditación de la UMSA (Resolución HCU Nº 443/2025) y de los estándares del CEUB, se establecen los siguientes perfiles y titulaciones requeridas</w:t>
      </w:r>
    </w:p>
    <w:p>
      <w:pPr>
        <w:keepNext/>
        <w:spacing w:before="40" w:after="200" w:line="240" w:lineRule="auto"/>
        <w:jc w:val="left"/>
      </w:pPr>
      <w:r>
        <w:rPr>
          <w:rFonts w:ascii="Century Gothic" w:hAnsi="Century Gothic" w:cs="Century Gothic" w:eastAsia="Century Gothic"/>
          <w:b/>
          <w:i w:val="0"/>
          <w:sz w:val="22"/>
        </w:rPr>
        <w:t>Área de Información Financiera:</w:t>
      </w:r>
    </w:p>
    <w:p>
      <w:pPr>
        <w:keepNext/>
        <w:spacing w:before="0" w:after="120" w:line="240" w:lineRule="auto"/>
        <w:jc w:val="left"/>
      </w:pPr>
      <w:r>
        <w:rPr>
          <w:rFonts w:ascii="Century Gothic" w:hAnsi="Century Gothic" w:cs="Century Gothic" w:eastAsia="Century Gothic"/>
          <w:b/>
          <w:i w:val="0"/>
          <w:sz w:val="20"/>
        </w:rPr>
        <w:t>Requisito Base:</w:t>
      </w:r>
    </w:p>
    <w:p>
      <w:pPr>
        <w:numPr>
          <w:ilvl w:val="0"/>
          <w:numId w:val="1024"/>
        </w:numPr>
        <w:spacing w:before="0" w:after="160" w:line="240" w:lineRule="auto"/>
        <w:jc w:val="both"/>
      </w:pPr>
      <w:r>
        <w:rPr>
          <w:rFonts w:ascii="Century Gothic" w:hAnsi="Century Gothic" w:cs="Century Gothic" w:eastAsia="Century Gothic"/>
          <w:b w:val="0"/>
          <w:i w:val="0"/>
          <w:sz w:val="20"/>
        </w:rPr>
        <w:t>Licenciatura en Contaduría Pública / Auditoría con Título en Provisión Nacional de Auditor Financiero / Contador Público Autorizado.</w:t>
      </w:r>
    </w:p>
    <w:p>
      <w:pPr>
        <w:numPr>
          <w:ilvl w:val="0"/>
          <w:numId w:val="1024"/>
        </w:numPr>
        <w:spacing w:before="0" w:after="200" w:line="240" w:lineRule="auto"/>
        <w:jc w:val="both"/>
      </w:pPr>
      <w:r>
        <w:rPr>
          <w:rFonts w:ascii="Century Gothic" w:hAnsi="Century Gothic" w:cs="Century Gothic" w:eastAsia="Century Gothic"/>
          <w:b w:val="0"/>
          <w:i w:val="0"/>
          <w:sz w:val="20"/>
        </w:rPr>
        <w:t>Experiencia práctica comprobada en aplicación de NCGA en Bolivia, Normas NIIF de Contabilidad, NIIF para las PYMES, Sistema Básico de Contabilidad Gubernamental Integrada y NICSP.</w:t>
      </w:r>
    </w:p>
    <w:p>
      <w:pPr>
        <w:keepNext/>
        <w:spacing w:before="0" w:after="120" w:line="240" w:lineRule="auto"/>
        <w:jc w:val="left"/>
      </w:pPr>
      <w:r>
        <w:rPr>
          <w:rFonts w:ascii="Century Gothic" w:hAnsi="Century Gothic" w:cs="Century Gothic" w:eastAsia="Century Gothic"/>
          <w:b/>
          <w:i w:val="0"/>
          <w:sz w:val="20"/>
        </w:rPr>
        <w:t>Asignaturas con Perfil Cruzado o Especializado:</w:t>
      </w:r>
    </w:p>
    <w:p>
      <w:pPr>
        <w:numPr>
          <w:ilvl w:val="0"/>
          <w:numId w:val="1024"/>
        </w:numPr>
        <w:spacing w:before="0" w:after="160" w:line="240" w:lineRule="auto"/>
        <w:jc w:val="both"/>
      </w:pPr>
      <w:r>
        <w:rPr>
          <w:rFonts w:ascii="Century Gothic" w:hAnsi="Century Gothic" w:cs="Century Gothic" w:eastAsia="Century Gothic"/>
          <w:b w:val="0"/>
          <w:i/>
          <w:sz w:val="20"/>
        </w:rPr>
        <w:t>CPA-102 Herramientas Digitales y CPA-305 Sistemas ERP y Analítica:</w:t>
      </w:r>
      <w:r>
        <w:rPr>
          <w:rFonts w:ascii="Century Gothic" w:hAnsi="Century Gothic" w:cs="Century Gothic" w:eastAsia="Century Gothic"/>
          <w:b w:val="0"/>
          <w:i w:val="0"/>
          <w:sz w:val="20"/>
        </w:rPr>
        <w:t xml:space="preserve"> Licenciatura en Contaduría Pública / Auditoría con Título en Provisión Nacional de Auditor Financiero / Contador Público Autorizado con Posgrado en el área de Informática / TIC; o Licenciatura en Informática / Ingeniería de Sistemas con Título en Provisión Nacional correspondiente con Posgrado en Contaduría Pública / Auditoría.</w:t>
      </w:r>
    </w:p>
    <w:p>
      <w:pPr>
        <w:numPr>
          <w:ilvl w:val="0"/>
          <w:numId w:val="1024"/>
        </w:numPr>
        <w:spacing w:before="0" w:after="200" w:line="240" w:lineRule="auto"/>
        <w:jc w:val="both"/>
      </w:pPr>
      <w:r>
        <w:rPr>
          <w:rFonts w:ascii="Century Gothic" w:hAnsi="Century Gothic" w:cs="Century Gothic" w:eastAsia="Century Gothic"/>
          <w:b w:val="0"/>
          <w:i/>
          <w:sz w:val="20"/>
        </w:rPr>
        <w:t>CPA-204 Métodos de Investigación:</w:t>
      </w:r>
      <w:r>
        <w:rPr>
          <w:rFonts w:ascii="Century Gothic" w:hAnsi="Century Gothic" w:cs="Century Gothic" w:eastAsia="Century Gothic"/>
          <w:b w:val="0"/>
          <w:i w:val="0"/>
          <w:sz w:val="20"/>
        </w:rPr>
        <w:t xml:space="preserve"> Licenciatura en Contaduría Pública / Auditoría con Título en Provisión Nacional de Auditor Financiero / Contador Público Autorizado con Posgrado en el área de Investigación; o Licenciatura en Economía y Titulo en Provisión Nacional de Economista con Posgrado relacionado con el área de Contaduría Pública / Auditoría.</w:t>
      </w:r>
    </w:p>
    <w:p>
      <w:pPr>
        <w:keepNext/>
        <w:spacing w:before="40" w:after="200" w:line="240" w:lineRule="auto"/>
        <w:jc w:val="left"/>
      </w:pPr>
      <w:r>
        <w:rPr>
          <w:rFonts w:ascii="Century Gothic" w:hAnsi="Century Gothic" w:cs="Century Gothic" w:eastAsia="Century Gothic"/>
          <w:b/>
          <w:i w:val="0"/>
          <w:sz w:val="22"/>
        </w:rPr>
        <w:t>Área de Servicios de Aseguramiento:</w:t>
      </w:r>
    </w:p>
    <w:p>
      <w:pPr>
        <w:keepNext/>
        <w:spacing w:before="0" w:after="120" w:line="240" w:lineRule="auto"/>
        <w:jc w:val="left"/>
      </w:pPr>
      <w:r>
        <w:rPr>
          <w:rFonts w:ascii="Century Gothic" w:hAnsi="Century Gothic" w:cs="Century Gothic" w:eastAsia="Century Gothic"/>
          <w:b/>
          <w:i w:val="0"/>
          <w:sz w:val="20"/>
        </w:rPr>
        <w:t>Requisito Base:</w:t>
      </w:r>
    </w:p>
    <w:p>
      <w:pPr>
        <w:numPr>
          <w:ilvl w:val="0"/>
          <w:numId w:val="1024"/>
        </w:numPr>
        <w:spacing w:before="0" w:after="160" w:line="240" w:lineRule="auto"/>
        <w:jc w:val="both"/>
      </w:pPr>
      <w:r>
        <w:rPr>
          <w:rFonts w:ascii="Century Gothic" w:hAnsi="Century Gothic" w:cs="Century Gothic" w:eastAsia="Century Gothic"/>
          <w:b w:val="0"/>
          <w:i w:val="0"/>
          <w:sz w:val="20"/>
        </w:rPr>
        <w:t>Licenciatura en Contaduría Pública / Auditoría con Título en Provisional Nacional de Auditor Financiero o Contador Público Autorizado.</w:t>
      </w:r>
    </w:p>
    <w:p>
      <w:pPr>
        <w:numPr>
          <w:ilvl w:val="0"/>
          <w:numId w:val="1024"/>
        </w:numPr>
        <w:spacing w:before="0" w:after="200" w:line="240" w:lineRule="auto"/>
        <w:jc w:val="both"/>
      </w:pPr>
      <w:r>
        <w:rPr>
          <w:rFonts w:ascii="Century Gothic" w:hAnsi="Century Gothic" w:cs="Century Gothic" w:eastAsia="Century Gothic"/>
          <w:b w:val="0"/>
          <w:i w:val="0"/>
          <w:sz w:val="20"/>
        </w:rPr>
        <w:t>Experiencia comprobada en firmas de auditoría o el sector gubernamental.</w:t>
      </w:r>
    </w:p>
    <w:p>
      <w:pPr>
        <w:keepNext/>
        <w:spacing w:before="0" w:after="120" w:line="240" w:lineRule="auto"/>
        <w:jc w:val="left"/>
      </w:pPr>
      <w:r>
        <w:rPr>
          <w:rFonts w:ascii="Century Gothic" w:hAnsi="Century Gothic" w:cs="Century Gothic" w:eastAsia="Century Gothic"/>
          <w:b/>
          <w:i w:val="0"/>
          <w:sz w:val="20"/>
        </w:rPr>
        <w:t>Asignaturas Especializadas del Área:</w:t>
      </w:r>
    </w:p>
    <w:p>
      <w:pPr>
        <w:numPr>
          <w:ilvl w:val="0"/>
          <w:numId w:val="1024"/>
        </w:numPr>
        <w:spacing w:before="0" w:after="160" w:line="240" w:lineRule="auto"/>
        <w:jc w:val="both"/>
      </w:pPr>
      <w:r>
        <w:rPr>
          <w:rFonts w:ascii="Century Gothic" w:hAnsi="Century Gothic" w:cs="Century Gothic" w:eastAsia="Century Gothic"/>
          <w:b w:val="0"/>
          <w:i/>
          <w:sz w:val="20"/>
        </w:rPr>
        <w:t>CPA-505 Auditoría Digital y Ciberseguridad:</w:t>
      </w:r>
      <w:r>
        <w:rPr>
          <w:rFonts w:ascii="Century Gothic" w:hAnsi="Century Gothic" w:cs="Century Gothic" w:eastAsia="Century Gothic"/>
          <w:b w:val="0"/>
          <w:i w:val="0"/>
          <w:sz w:val="20"/>
        </w:rPr>
        <w:t xml:space="preserve"> Licenciatura en Contaduría Pública / Auditoría con Título en Provisión Nacional de Auditor Financiero o Contador Público Autorizado con Posgrado en Auditoría de Sistemas / Ciberseguridad / TIC; o Licenciatura en Informática / Ingeniería de Sistemas con Título en Provisión Nacional correspondiente con Posgrado relacionado con el área de Contaduría Pública / Auditoría.</w:t>
      </w:r>
    </w:p>
    <w:p>
      <w:pPr>
        <w:numPr>
          <w:ilvl w:val="0"/>
          <w:numId w:val="1024"/>
        </w:numPr>
        <w:spacing w:before="0" w:after="160" w:line="240" w:lineRule="auto"/>
        <w:jc w:val="both"/>
      </w:pPr>
      <w:r>
        <w:rPr>
          <w:rFonts w:ascii="Century Gothic" w:hAnsi="Century Gothic" w:cs="Century Gothic" w:eastAsia="Century Gothic"/>
          <w:b w:val="0"/>
          <w:i/>
          <w:sz w:val="20"/>
        </w:rPr>
        <w:t>CPA-506 Reportes y Aseguramiento de Sostenibilidad:</w:t>
      </w:r>
      <w:r>
        <w:rPr>
          <w:rFonts w:ascii="Century Gothic" w:hAnsi="Century Gothic" w:cs="Century Gothic" w:eastAsia="Century Gothic"/>
          <w:b w:val="0"/>
          <w:i w:val="0"/>
          <w:sz w:val="20"/>
        </w:rPr>
        <w:t xml:space="preserve"> Licenciatura en Contaduría Pública / Auditoría con Título en Provisión Nacional de Auditor Financiero o Contador Público Autorizado con Posgrado en Sostenibilidad, ESG, NIEA 3000 o NIAS 5000.</w:t>
      </w:r>
    </w:p>
    <w:p>
      <w:pPr>
        <w:numPr>
          <w:ilvl w:val="0"/>
          <w:numId w:val="1024"/>
        </w:numPr>
        <w:spacing w:before="0" w:after="160" w:line="240" w:lineRule="auto"/>
        <w:jc w:val="both"/>
      </w:pPr>
      <w:r>
        <w:rPr>
          <w:rFonts w:ascii="Century Gothic" w:hAnsi="Century Gothic" w:cs="Century Gothic" w:eastAsia="Century Gothic"/>
          <w:b w:val="0"/>
          <w:i/>
          <w:sz w:val="20"/>
        </w:rPr>
        <w:t>CPA-508 Auditoría Forense y Peritajes:</w:t>
      </w:r>
      <w:r>
        <w:rPr>
          <w:rFonts w:ascii="Century Gothic" w:hAnsi="Century Gothic" w:cs="Century Gothic" w:eastAsia="Century Gothic"/>
          <w:b w:val="0"/>
          <w:i w:val="0"/>
          <w:sz w:val="20"/>
        </w:rPr>
        <w:t xml:space="preserve"> Licenciatura en Contaduría Pública / Auditoría con Título en Provisión Nacional de Auditor Financiero o Contador Público Autorizado con Posgrado acreditado en Auditoría Forense, Peritaje o Delitos Económicos.</w:t>
      </w:r>
    </w:p>
    <w:p>
      <w:pPr>
        <w:numPr>
          <w:ilvl w:val="0"/>
          <w:numId w:val="1024"/>
        </w:numPr>
        <w:spacing w:before="0" w:after="200" w:line="240" w:lineRule="auto"/>
        <w:jc w:val="both"/>
      </w:pPr>
      <w:r>
        <w:rPr>
          <w:rFonts w:ascii="Century Gothic" w:hAnsi="Century Gothic" w:cs="Century Gothic" w:eastAsia="Century Gothic"/>
          <w:b w:val="0"/>
          <w:i/>
          <w:sz w:val="20"/>
        </w:rPr>
        <w:t>CPA-510 Taller de Grado:</w:t>
      </w:r>
      <w:r>
        <w:rPr>
          <w:rFonts w:ascii="Century Gothic" w:hAnsi="Century Gothic" w:cs="Century Gothic" w:eastAsia="Century Gothic"/>
          <w:b w:val="0"/>
          <w:i w:val="0"/>
          <w:sz w:val="20"/>
        </w:rPr>
        <w:t xml:space="preserve"> Licenciatura en Contaduría Pública / Auditoría con Título en Provisión Nacional de Auditor Financiero o Contador Público Autorizado con Posgrado en el área de investigación Científica; o Licenciatura en Economía con Titulo en Provisión Nacional de Economista con formación de posgrado relacionada con el área de Contaduría Pública / Auditoría; y Trayectoria comprobada como Tutor / Tribunal de Grado.</w:t>
      </w:r>
    </w:p>
    <w:p>
      <w:pPr>
        <w:keepNext/>
        <w:spacing w:before="40" w:after="200" w:line="240" w:lineRule="auto"/>
        <w:jc w:val="left"/>
      </w:pPr>
      <w:r>
        <w:rPr>
          <w:rFonts w:ascii="Century Gothic" w:hAnsi="Century Gothic" w:cs="Century Gothic" w:eastAsia="Century Gothic"/>
          <w:b/>
          <w:i w:val="0"/>
          <w:sz w:val="22"/>
        </w:rPr>
        <w:t>Área de Administración:</w:t>
      </w:r>
    </w:p>
    <w:p>
      <w:pPr>
        <w:keepNext/>
        <w:spacing w:before="0" w:after="120" w:line="240" w:lineRule="auto"/>
        <w:jc w:val="left"/>
      </w:pPr>
      <w:r>
        <w:rPr>
          <w:rFonts w:ascii="Century Gothic" w:hAnsi="Century Gothic" w:cs="Century Gothic" w:eastAsia="Century Gothic"/>
          <w:b/>
          <w:i w:val="0"/>
          <w:sz w:val="20"/>
        </w:rPr>
        <w:t>Requisito Base:</w:t>
      </w:r>
    </w:p>
    <w:p>
      <w:pPr>
        <w:spacing w:before="0" w:after="200" w:line="240" w:lineRule="auto"/>
        <w:jc w:val="both"/>
      </w:pPr>
      <w:r>
        <w:rPr>
          <w:rFonts w:ascii="Century Gothic" w:hAnsi="Century Gothic" w:cs="Century Gothic" w:eastAsia="Century Gothic"/>
          <w:b w:val="0"/>
          <w:i w:val="0"/>
          <w:sz w:val="20"/>
        </w:rPr>
        <w:t>Licenciatura  en  Administración  de  Empresas  con  Título  en  Provisión  Nacional  de</w:t>
      </w:r>
    </w:p>
    <w:p>
      <w:pPr>
        <w:spacing w:before="0" w:after="200" w:line="240" w:lineRule="auto"/>
        <w:jc w:val="both"/>
      </w:pPr>
      <w:r>
        <w:rPr>
          <w:rFonts w:ascii="Century Gothic" w:hAnsi="Century Gothic" w:cs="Century Gothic" w:eastAsia="Century Gothic"/>
          <w:b w:val="0"/>
          <w:i w:val="0"/>
          <w:sz w:val="20"/>
        </w:rPr>
        <w:t>Administrador de Empresas; o Licenciatura en Contaduría Pública / Auditoría con Título en Provisión Nacional de Auditor Financiero o Contador Público Autorizado.</w:t>
      </w:r>
    </w:p>
    <w:p>
      <w:pPr>
        <w:numPr>
          <w:ilvl w:val="0"/>
          <w:numId w:val="1024"/>
        </w:numPr>
        <w:spacing w:before="0" w:after="200" w:line="240" w:lineRule="auto"/>
        <w:jc w:val="both"/>
      </w:pPr>
      <w:r>
        <w:rPr>
          <w:rFonts w:ascii="Century Gothic" w:hAnsi="Century Gothic" w:cs="Century Gothic" w:eastAsia="Century Gothic"/>
          <w:b w:val="0"/>
          <w:i w:val="0"/>
          <w:sz w:val="20"/>
        </w:rPr>
        <w:t>Experiencia comprobada en desarrollo organizacional y gestión de sistemas gerenciales.</w:t>
      </w:r>
    </w:p>
    <w:p>
      <w:pPr>
        <w:keepNext/>
        <w:spacing w:before="40" w:after="200" w:line="240" w:lineRule="auto"/>
        <w:jc w:val="left"/>
      </w:pPr>
      <w:r>
        <w:rPr>
          <w:rFonts w:ascii="Century Gothic" w:hAnsi="Century Gothic" w:cs="Century Gothic" w:eastAsia="Century Gothic"/>
          <w:b/>
          <w:i w:val="0"/>
          <w:sz w:val="22"/>
        </w:rPr>
        <w:t>Área de Derecho:</w:t>
      </w:r>
    </w:p>
    <w:p>
      <w:pPr>
        <w:keepNext/>
        <w:spacing w:before="0" w:after="120" w:line="240" w:lineRule="auto"/>
        <w:jc w:val="left"/>
      </w:pPr>
      <w:r>
        <w:rPr>
          <w:rFonts w:ascii="Century Gothic" w:hAnsi="Century Gothic" w:cs="Century Gothic" w:eastAsia="Century Gothic"/>
          <w:b/>
          <w:i w:val="0"/>
          <w:sz w:val="20"/>
        </w:rPr>
        <w:t>Requisito Base:</w:t>
      </w:r>
    </w:p>
    <w:p>
      <w:pPr>
        <w:numPr>
          <w:ilvl w:val="0"/>
          <w:numId w:val="1024"/>
        </w:numPr>
        <w:spacing w:before="0" w:after="160" w:line="240" w:lineRule="auto"/>
        <w:jc w:val="both"/>
      </w:pPr>
      <w:r>
        <w:rPr>
          <w:rFonts w:ascii="Century Gothic" w:hAnsi="Century Gothic" w:cs="Century Gothic" w:eastAsia="Century Gothic"/>
          <w:b w:val="0"/>
          <w:i w:val="0"/>
          <w:sz w:val="20"/>
        </w:rPr>
        <w:t>Licenciatura en Derecho con Título en Provisión Nacional de Abogado o Licenciatura en Contaduría Pública / Auditoría con Título en Provisión Nacional de Auditor Financiero o Contador Público Autorizado</w:t>
      </w:r>
    </w:p>
    <w:p>
      <w:pPr>
        <w:numPr>
          <w:ilvl w:val="0"/>
          <w:numId w:val="1024"/>
        </w:numPr>
        <w:spacing w:before="0" w:after="200" w:line="240" w:lineRule="auto"/>
        <w:jc w:val="both"/>
      </w:pPr>
      <w:r>
        <w:rPr>
          <w:rFonts w:ascii="Century Gothic" w:hAnsi="Century Gothic" w:cs="Century Gothic" w:eastAsia="Century Gothic"/>
          <w:b w:val="0"/>
          <w:i w:val="0"/>
          <w:sz w:val="20"/>
        </w:rPr>
        <w:t>Experiencia profesional probada relacionada con la asignatura a la que postulan.</w:t>
      </w:r>
    </w:p>
    <w:p>
      <w:pPr>
        <w:keepNext/>
        <w:spacing w:before="0" w:after="120" w:line="240" w:lineRule="auto"/>
        <w:jc w:val="left"/>
      </w:pPr>
      <w:r>
        <w:rPr>
          <w:rFonts w:ascii="Century Gothic" w:hAnsi="Century Gothic" w:cs="Century Gothic" w:eastAsia="Century Gothic"/>
          <w:b/>
          <w:i w:val="0"/>
          <w:sz w:val="20"/>
        </w:rPr>
        <w:t>Asignaturas Especializadas del Área:</w:t>
      </w:r>
    </w:p>
    <w:p>
      <w:pPr>
        <w:numPr>
          <w:ilvl w:val="0"/>
          <w:numId w:val="1024"/>
        </w:numPr>
        <w:spacing w:before="0" w:after="200" w:line="240" w:lineRule="auto"/>
        <w:jc w:val="both"/>
      </w:pPr>
      <w:r>
        <w:rPr>
          <w:rFonts w:ascii="Century Gothic" w:hAnsi="Century Gothic" w:cs="Century Gothic" w:eastAsia="Century Gothic"/>
          <w:b w:val="0"/>
          <w:i/>
          <w:sz w:val="20"/>
        </w:rPr>
        <w:t>DER-201 Derecho Tributario y Legislación Aduanera:</w:t>
      </w:r>
      <w:r>
        <w:rPr>
          <w:rFonts w:ascii="Century Gothic" w:hAnsi="Century Gothic" w:cs="Century Gothic" w:eastAsia="Century Gothic"/>
          <w:b w:val="0"/>
          <w:i w:val="0"/>
          <w:sz w:val="20"/>
        </w:rPr>
        <w:t xml:space="preserve"> Licenciatura en Contaduría Pública / Auditoría con Título en Provisión Nacional de Auditor Financiero o Contador Público Autorizado con Posgrado en el área de tributación; o Licenciatura en Derecho con Titulo en Provisión Nacional de Abogado con Posgrado relacionado con el área de Contaduría Pública / Auditoría.</w:t>
      </w:r>
    </w:p>
    <w:p>
      <w:pPr>
        <w:keepNext/>
        <w:spacing w:before="40" w:after="200" w:line="240" w:lineRule="auto"/>
        <w:jc w:val="left"/>
      </w:pPr>
      <w:r>
        <w:rPr>
          <w:rFonts w:ascii="Century Gothic" w:hAnsi="Century Gothic" w:cs="Century Gothic" w:eastAsia="Century Gothic"/>
          <w:b/>
          <w:i w:val="0"/>
          <w:sz w:val="22"/>
        </w:rPr>
        <w:t>Área de Economía:</w:t>
      </w:r>
    </w:p>
    <w:p>
      <w:pPr>
        <w:keepNext/>
        <w:spacing w:before="0" w:after="120" w:line="240" w:lineRule="auto"/>
        <w:jc w:val="left"/>
      </w:pPr>
      <w:r>
        <w:rPr>
          <w:rFonts w:ascii="Century Gothic" w:hAnsi="Century Gothic" w:cs="Century Gothic" w:eastAsia="Century Gothic"/>
          <w:b/>
          <w:i w:val="0"/>
          <w:sz w:val="20"/>
        </w:rPr>
        <w:t>Requisito Base:</w:t>
      </w:r>
    </w:p>
    <w:p>
      <w:pPr>
        <w:numPr>
          <w:ilvl w:val="0"/>
          <w:numId w:val="1024"/>
        </w:numPr>
        <w:spacing w:before="0" w:after="160" w:line="240" w:lineRule="auto"/>
        <w:jc w:val="both"/>
      </w:pPr>
      <w:r>
        <w:rPr>
          <w:rFonts w:ascii="Century Gothic" w:hAnsi="Century Gothic" w:cs="Century Gothic" w:eastAsia="Century Gothic"/>
          <w:b w:val="0"/>
          <w:i w:val="0"/>
          <w:sz w:val="20"/>
        </w:rPr>
        <w:t>Licenciatura en Economía con Título en Provisión Nacional de Economista,</w:t>
      </w:r>
    </w:p>
    <w:p>
      <w:pPr>
        <w:numPr>
          <w:ilvl w:val="0"/>
          <w:numId w:val="1024"/>
        </w:numPr>
        <w:spacing w:before="0" w:after="200" w:line="240" w:lineRule="auto"/>
        <w:jc w:val="both"/>
      </w:pPr>
      <w:r>
        <w:rPr>
          <w:rFonts w:ascii="Century Gothic" w:hAnsi="Century Gothic" w:cs="Century Gothic" w:eastAsia="Century Gothic"/>
          <w:b w:val="0"/>
          <w:i w:val="0"/>
          <w:sz w:val="20"/>
        </w:rPr>
        <w:t>Experiencia comprobada en análisis micro/macroeconómico y evaluación de proyectos.</w:t>
      </w:r>
    </w:p>
    <w:p>
      <w:pPr>
        <w:keepNext/>
        <w:spacing w:before="40" w:after="200" w:line="240" w:lineRule="auto"/>
        <w:jc w:val="left"/>
      </w:pPr>
      <w:r>
        <w:rPr>
          <w:rFonts w:ascii="Century Gothic" w:hAnsi="Century Gothic" w:cs="Century Gothic" w:eastAsia="Century Gothic"/>
          <w:b/>
          <w:i w:val="0"/>
          <w:sz w:val="22"/>
        </w:rPr>
        <w:t>Área de Matemáticas:</w:t>
      </w:r>
    </w:p>
    <w:p>
      <w:pPr>
        <w:keepNext/>
        <w:spacing w:before="0" w:after="120" w:line="240" w:lineRule="auto"/>
        <w:jc w:val="left"/>
      </w:pPr>
      <w:r>
        <w:rPr>
          <w:rFonts w:ascii="Century Gothic" w:hAnsi="Century Gothic" w:cs="Century Gothic" w:eastAsia="Century Gothic"/>
          <w:b/>
          <w:i w:val="0"/>
          <w:sz w:val="20"/>
        </w:rPr>
        <w:t>Requisito Base:</w:t>
      </w:r>
    </w:p>
    <w:p>
      <w:pPr>
        <w:numPr>
          <w:ilvl w:val="0"/>
          <w:numId w:val="1024"/>
        </w:numPr>
        <w:spacing w:before="0" w:after="160" w:line="240" w:lineRule="auto"/>
        <w:jc w:val="both"/>
      </w:pPr>
      <w:r>
        <w:rPr>
          <w:rFonts w:ascii="Century Gothic" w:hAnsi="Century Gothic" w:cs="Century Gothic" w:eastAsia="Century Gothic"/>
          <w:b w:val="0"/>
          <w:i w:val="0"/>
          <w:sz w:val="20"/>
        </w:rPr>
        <w:t>Licenciatura en Contaduría Pública / Auditoría, Matemáticas, Estadística o Economía con Título en Provisión Nacional correspondiente, con especialización en métodos cuantitativos aplicados a los negocios y finanzas (cálculo actuarial, estadística y programación operativa).</w:t>
      </w:r>
    </w:p>
    <w:p>
      <w:pPr>
        <w:numPr>
          <w:ilvl w:val="0"/>
          <w:numId w:val="1024"/>
        </w:numPr>
        <w:spacing w:before="0" w:after="200" w:line="240" w:lineRule="auto"/>
        <w:jc w:val="both"/>
      </w:pPr>
      <w:r>
        <w:rPr>
          <w:rFonts w:ascii="Century Gothic" w:hAnsi="Century Gothic" w:cs="Century Gothic" w:eastAsia="Century Gothic"/>
          <w:b w:val="0"/>
          <w:i w:val="0"/>
          <w:sz w:val="20"/>
        </w:rPr>
        <w:t>Experiencia profesional probada relacionada con la asignatura a la que postulan.</w:t>
      </w:r>
    </w:p>
    <w:p>
      <w:pPr>
        <w:spacing w:before="0" w:after="200" w:line="240" w:lineRule="auto"/>
        <w:jc w:val="both"/>
      </w:pPr>
      <w:r>
        <w:rPr>
          <w:rFonts w:ascii="Century Gothic" w:hAnsi="Century Gothic" w:cs="Century Gothic" w:eastAsia="Century Gothic"/>
          <w:b w:val="0"/>
          <w:i w:val="0"/>
          <w:sz w:val="20"/>
        </w:rPr>
        <w:t xml:space="preserve">Los </w:t>
      </w:r>
      <w:r>
        <w:rPr>
          <w:rFonts w:ascii="Century Gothic" w:hAnsi="Century Gothic" w:cs="Century Gothic" w:eastAsia="Century Gothic"/>
          <w:b/>
          <w:i w:val="0"/>
          <w:sz w:val="20"/>
        </w:rPr>
        <w:t>Docentes Titulares</w:t>
      </w:r>
      <w:r>
        <w:rPr>
          <w:rFonts w:ascii="Century Gothic" w:hAnsi="Century Gothic" w:cs="Century Gothic" w:eastAsia="Century Gothic"/>
          <w:b w:val="0"/>
          <w:i w:val="0"/>
          <w:sz w:val="20"/>
        </w:rPr>
        <w:t xml:space="preserve"> en ejercicio, antes de la aplicación del Plan de Estudios 2027, conservan la cátedra.</w:t>
      </w:r>
    </w:p>
    <w:p>
      <w:pPr>
        <w:keepNext/>
        <w:tabs>
          <w:tab w:pos="709" w:val="left"/>
        </w:tabs>
        <w:spacing w:before="40" w:after="200" w:line="240" w:lineRule="auto"/>
        <w:ind w:left="709" w:hanging="709"/>
        <w:jc w:val="left"/>
      </w:pPr>
      <w:r>
        <w:rPr>
          <w:rFonts w:ascii="Century Gothic" w:hAnsi="Century Gothic" w:cs="Century Gothic" w:eastAsia="Century Gothic"/>
          <w:b/>
          <w:i w:val="0"/>
          <w:sz w:val="22"/>
        </w:rPr>
        <w:t>c.</w:t>
        <w:tab/>
      </w:r>
      <w:r>
        <w:rPr>
          <w:rFonts w:ascii="Century Gothic" w:hAnsi="Century Gothic" w:cs="Century Gothic" w:eastAsia="Century Gothic"/>
          <w:b/>
          <w:i w:val="0"/>
          <w:sz w:val="22"/>
        </w:rPr>
        <w:t>Mecanismos de Selección, Permanencia y Capacitación Continua</w:t>
      </w:r>
    </w:p>
    <w:p>
      <w:pPr>
        <w:spacing w:before="0" w:after="200" w:line="240" w:lineRule="auto"/>
        <w:jc w:val="both"/>
      </w:pPr>
      <w:r>
        <w:rPr>
          <w:rFonts w:ascii="Century Gothic" w:hAnsi="Century Gothic" w:cs="Century Gothic" w:eastAsia="Century Gothic"/>
          <w:b w:val="0"/>
          <w:i w:val="0"/>
          <w:sz w:val="20"/>
        </w:rPr>
        <w:t>En conformidad con la normativa de la UMSA y el CEUB, el plantel docente se administra bajo los siguientes criterios institucionales:</w:t>
      </w:r>
    </w:p>
    <w:p>
      <w:pPr>
        <w:numPr>
          <w:ilvl w:val="0"/>
          <w:numId w:val="1024"/>
        </w:numPr>
        <w:spacing w:before="0" w:after="160" w:line="240" w:lineRule="auto"/>
        <w:jc w:val="both"/>
      </w:pPr>
      <w:r>
        <w:rPr>
          <w:rFonts w:ascii="Century Gothic" w:hAnsi="Century Gothic" w:cs="Century Gothic" w:eastAsia="Century Gothic"/>
          <w:b/>
          <w:i w:val="0"/>
          <w:sz w:val="20"/>
        </w:rPr>
        <w:t>Ingreso y Admisión (Concurso de Méritos y Examen de Competencia):</w:t>
      </w:r>
      <w:r>
        <w:rPr>
          <w:rFonts w:ascii="Century Gothic" w:hAnsi="Century Gothic" w:cs="Century Gothic" w:eastAsia="Century Gothic"/>
          <w:b w:val="0"/>
          <w:i w:val="0"/>
          <w:sz w:val="20"/>
        </w:rPr>
        <w:t xml:space="preserve"> La incorporación de nuevos docentes ordinarios/titulares se realiza mediante convocatoria pública transparente a Concurso de Méritos y Examen de Competencia Público ante comisiones evaluadoras paritarias.</w:t>
      </w:r>
    </w:p>
    <w:p>
      <w:pPr>
        <w:numPr>
          <w:ilvl w:val="0"/>
          <w:numId w:val="1024"/>
        </w:numPr>
        <w:spacing w:before="0" w:after="160" w:line="240" w:lineRule="auto"/>
        <w:jc w:val="both"/>
      </w:pPr>
      <w:r>
        <w:rPr>
          <w:rFonts w:ascii="Century Gothic" w:hAnsi="Century Gothic" w:cs="Century Gothic" w:eastAsia="Century Gothic"/>
          <w:b/>
          <w:i w:val="0"/>
          <w:sz w:val="20"/>
        </w:rPr>
        <w:t>Capacitación Docente Continua:</w:t>
      </w:r>
      <w:r>
        <w:rPr>
          <w:rFonts w:ascii="Century Gothic" w:hAnsi="Century Gothic" w:cs="Century Gothic" w:eastAsia="Century Gothic"/>
          <w:b w:val="0"/>
          <w:i w:val="0"/>
          <w:sz w:val="20"/>
        </w:rPr>
        <w:t xml:space="preserve"> La Dirección de Carrera e instancias universitarias mantendrán un programa permanente de actualización pedagógica y técnica obligatoria en: Tecnologías Emergentes (IA generativa, análisis de datos en Power BI/Python y ERPs); Estándares Internacionales (Normas NIIF de Contabilidad, NIIF para las PYMES, Normas NIIF de Sostenibilidad y pronunciamientos del IAASB); y Estrategias de Didáctica por Competencias y Evaluación Auténtica.</w:t>
      </w:r>
    </w:p>
    <w:p>
      <w:pPr>
        <w:numPr>
          <w:ilvl w:val="0"/>
          <w:numId w:val="1024"/>
        </w:numPr>
        <w:spacing w:before="0" w:after="200" w:line="240" w:lineRule="auto"/>
        <w:jc w:val="both"/>
      </w:pPr>
      <w:r>
        <w:rPr>
          <w:rFonts w:ascii="Century Gothic" w:hAnsi="Century Gothic" w:cs="Century Gothic" w:eastAsia="Century Gothic"/>
          <w:b/>
          <w:i w:val="0"/>
          <w:sz w:val="20"/>
        </w:rPr>
        <w:t>Producción Intelectual y Tutorías:</w:t>
      </w:r>
      <w:r>
        <w:rPr>
          <w:rFonts w:ascii="Century Gothic" w:hAnsi="Century Gothic" w:cs="Century Gothic" w:eastAsia="Century Gothic"/>
          <w:b w:val="0"/>
          <w:i w:val="0"/>
          <w:sz w:val="20"/>
        </w:rPr>
        <w:t xml:space="preserve"> Se valora y fomenta la elaboración de guías de estudio, textos académicos, artículos de investigación aplicada y la dirección activa de Trabajos Dirigidos, Proyectos de Grado y Tesis de Grado.</w:t>
      </w:r>
    </w:p>
    <w:p>
      <w:pPr>
        <w:pageBreakBefore/>
        <w:spacing w:before="0" w:after="0" w:line="240" w:lineRule="auto"/>
        <w:jc w:val="center"/>
      </w:pPr>
      <w:r>
        <w:rPr>
          <w:rFonts w:ascii="Century Gothic" w:hAnsi="Century Gothic" w:cs="Century Gothic" w:eastAsia="Century Gothic"/>
          <w:b/>
          <w:i w:val="0"/>
          <w:sz w:val="28"/>
        </w:rPr>
        <w:t>Diseño Curricular</w:t>
      </w:r>
    </w:p>
    <w:p>
      <w:pPr>
        <w:spacing w:before="0" w:after="360" w:line="240" w:lineRule="auto"/>
        <w:jc w:val="center"/>
      </w:pPr>
      <w:r>
        <w:rPr>
          <w:rFonts w:ascii="Century Gothic" w:hAnsi="Century Gothic" w:cs="Century Gothic" w:eastAsia="Century Gothic"/>
          <w:b/>
          <w:i w:val="0"/>
          <w:sz w:val="28"/>
        </w:rPr>
        <w:t>Evaluación Curricular</w:t>
      </w:r>
    </w:p>
    <w:p>
      <w:pPr>
        <w:keepNext/>
        <w:tabs>
          <w:tab w:pos="709" w:val="left"/>
        </w:tabs>
        <w:spacing w:before="160" w:after="200" w:line="240" w:lineRule="auto"/>
        <w:ind w:left="709" w:hanging="709"/>
        <w:jc w:val="left"/>
      </w:pPr>
      <w:r>
        <w:rPr>
          <w:rFonts w:ascii="Century Gothic" w:hAnsi="Century Gothic" w:cs="Century Gothic" w:eastAsia="Century Gothic"/>
          <w:b/>
          <w:i w:val="0"/>
          <w:sz w:val="24"/>
        </w:rPr>
        <w:t>12.</w:t>
        <w:tab/>
      </w:r>
      <w:r>
        <w:rPr>
          <w:rFonts w:ascii="Century Gothic" w:hAnsi="Century Gothic" w:cs="Century Gothic" w:eastAsia="Century Gothic"/>
          <w:b/>
          <w:i w:val="0"/>
          <w:sz w:val="24"/>
        </w:rPr>
        <w:t>Evaluación curricular</w:t>
      </w:r>
    </w:p>
    <w:p>
      <w:pPr>
        <w:keepNext/>
        <w:tabs>
          <w:tab w:pos="709" w:val="left"/>
        </w:tabs>
        <w:spacing w:before="120" w:after="200" w:line="240" w:lineRule="auto"/>
        <w:ind w:left="709" w:hanging="709"/>
        <w:jc w:val="left"/>
      </w:pPr>
      <w:r>
        <w:rPr>
          <w:rFonts w:ascii="Century Gothic" w:hAnsi="Century Gothic" w:cs="Century Gothic" w:eastAsia="Century Gothic"/>
          <w:b/>
          <w:i w:val="0"/>
          <w:sz w:val="24"/>
        </w:rPr>
        <w:t>12.1</w:t>
        <w:tab/>
      </w:r>
      <w:r>
        <w:rPr>
          <w:rFonts w:ascii="Century Gothic" w:hAnsi="Century Gothic" w:cs="Century Gothic" w:eastAsia="Century Gothic"/>
          <w:b/>
          <w:i w:val="0"/>
          <w:sz w:val="24"/>
        </w:rPr>
        <w:t>Lineamientos para la evaluación curricular</w:t>
      </w:r>
    </w:p>
    <w:p>
      <w:pPr>
        <w:keepNext/>
        <w:tabs>
          <w:tab w:pos="992" w:val="left"/>
        </w:tabs>
        <w:spacing w:before="80" w:after="200" w:line="240" w:lineRule="auto"/>
        <w:ind w:left="992" w:hanging="992"/>
        <w:jc w:val="left"/>
      </w:pPr>
      <w:r>
        <w:rPr>
          <w:rFonts w:ascii="Century Gothic" w:hAnsi="Century Gothic" w:cs="Century Gothic" w:eastAsia="Century Gothic"/>
          <w:b/>
          <w:i w:val="0"/>
          <w:sz w:val="22"/>
        </w:rPr>
        <w:t>12.1.1</w:t>
        <w:tab/>
      </w:r>
      <w:r>
        <w:rPr>
          <w:rFonts w:ascii="Century Gothic" w:hAnsi="Century Gothic" w:cs="Century Gothic" w:eastAsia="Century Gothic"/>
          <w:b/>
          <w:i w:val="0"/>
          <w:sz w:val="22"/>
        </w:rPr>
        <w:t>Evaluación y Actualización Periódica del Plan de Estudios</w:t>
      </w:r>
    </w:p>
    <w:p>
      <w:pPr>
        <w:spacing w:before="0" w:after="200" w:line="240" w:lineRule="auto"/>
        <w:jc w:val="both"/>
      </w:pPr>
      <w:r>
        <w:rPr>
          <w:rFonts w:ascii="Century Gothic" w:hAnsi="Century Gothic" w:cs="Century Gothic" w:eastAsia="Century Gothic"/>
          <w:b w:val="0"/>
          <w:i w:val="0"/>
          <w:sz w:val="20"/>
        </w:rPr>
        <w:t>De conformidad con el Artículo 5º del Reglamento de Innovación Curricular de la UMSA (Resolución HCU Nº 032/2025), el presente Plan de Estudios será sometido a un proceso de evaluación curricular de medio término a los tres (3) años de su aplicación y a una revisión integral ordinaria cada cinco (5) años, evitando la obsolescencia normativa y garantizando su permanente actualización técnica.</w:t>
      </w:r>
    </w:p>
    <w:p>
      <w:pPr>
        <w:pageBreakBefore/>
        <w:spacing w:before="0" w:after="0" w:line="240" w:lineRule="auto"/>
        <w:jc w:val="center"/>
      </w:pPr>
      <w:r>
        <w:rPr>
          <w:rFonts w:ascii="Century Gothic" w:hAnsi="Century Gothic" w:cs="Century Gothic" w:eastAsia="Century Gothic"/>
          <w:b/>
          <w:i w:val="0"/>
          <w:sz w:val="28"/>
        </w:rPr>
        <w:t>Diseño Curricular</w:t>
      </w:r>
    </w:p>
    <w:p>
      <w:pPr>
        <w:spacing w:before="0" w:after="360" w:line="240" w:lineRule="auto"/>
        <w:jc w:val="center"/>
      </w:pPr>
      <w:r>
        <w:rPr>
          <w:rFonts w:ascii="Century Gothic" w:hAnsi="Century Gothic" w:cs="Century Gothic" w:eastAsia="Century Gothic"/>
          <w:b/>
          <w:i w:val="0"/>
          <w:sz w:val="28"/>
        </w:rPr>
        <w:t>Disposiciones de Ejecución</w:t>
      </w:r>
    </w:p>
    <w:p>
      <w:pPr>
        <w:keepNext/>
        <w:tabs>
          <w:tab w:pos="709" w:val="left"/>
        </w:tabs>
        <w:spacing w:before="160" w:after="200" w:line="240" w:lineRule="auto"/>
        <w:ind w:left="709" w:hanging="709"/>
        <w:jc w:val="left"/>
      </w:pPr>
      <w:r>
        <w:rPr>
          <w:rFonts w:ascii="Century Gothic" w:hAnsi="Century Gothic" w:cs="Century Gothic" w:eastAsia="Century Gothic"/>
          <w:b/>
          <w:i w:val="0"/>
          <w:sz w:val="24"/>
        </w:rPr>
        <w:t>16.</w:t>
        <w:tab/>
      </w:r>
      <w:r>
        <w:rPr>
          <w:rFonts w:ascii="Century Gothic" w:hAnsi="Century Gothic" w:cs="Century Gothic" w:eastAsia="Century Gothic"/>
          <w:b/>
          <w:i w:val="0"/>
          <w:sz w:val="24"/>
        </w:rPr>
        <w:t>Disposiciones de ejecución</w:t>
      </w:r>
    </w:p>
    <w:p>
      <w:pPr>
        <w:keepNext/>
        <w:tabs>
          <w:tab w:pos="709" w:val="left"/>
        </w:tabs>
        <w:spacing w:before="120" w:after="200" w:line="240" w:lineRule="auto"/>
        <w:ind w:left="709" w:hanging="709"/>
        <w:jc w:val="left"/>
      </w:pPr>
      <w:r>
        <w:rPr>
          <w:rFonts w:ascii="Century Gothic" w:hAnsi="Century Gothic" w:cs="Century Gothic" w:eastAsia="Century Gothic"/>
          <w:b/>
          <w:i w:val="0"/>
          <w:sz w:val="24"/>
        </w:rPr>
        <w:t>16.1</w:t>
        <w:tab/>
      </w:r>
      <w:r>
        <w:rPr>
          <w:rFonts w:ascii="Century Gothic" w:hAnsi="Century Gothic" w:cs="Century Gothic" w:eastAsia="Century Gothic"/>
          <w:b/>
          <w:i w:val="0"/>
          <w:sz w:val="24"/>
        </w:rPr>
        <w:t>Cuadro de convalidación y homologación</w:t>
      </w:r>
    </w:p>
    <w:p>
      <w:pPr>
        <w:keepNext/>
        <w:tabs>
          <w:tab w:pos="992" w:val="left"/>
        </w:tabs>
        <w:spacing w:before="80" w:after="200" w:line="240" w:lineRule="auto"/>
        <w:ind w:left="992" w:hanging="992"/>
        <w:jc w:val="left"/>
      </w:pPr>
      <w:r>
        <w:rPr>
          <w:rFonts w:ascii="Century Gothic" w:hAnsi="Century Gothic" w:cs="Century Gothic" w:eastAsia="Century Gothic"/>
          <w:b/>
          <w:i w:val="0"/>
          <w:sz w:val="22"/>
        </w:rPr>
        <w:t>16.1.1</w:t>
        <w:tab/>
      </w:r>
      <w:r>
        <w:rPr>
          <w:rFonts w:ascii="Century Gothic" w:hAnsi="Century Gothic" w:cs="Century Gothic" w:eastAsia="Century Gothic"/>
          <w:b/>
          <w:i w:val="0"/>
          <w:sz w:val="22"/>
        </w:rPr>
        <w:t>Principios Rectores de la Transición Curricular</w:t>
      </w:r>
    </w:p>
    <w:p>
      <w:pPr>
        <w:spacing w:before="0" w:after="200" w:line="240" w:lineRule="auto"/>
        <w:jc w:val="both"/>
      </w:pPr>
      <w:r>
        <w:rPr>
          <w:rFonts w:ascii="Century Gothic" w:hAnsi="Century Gothic" w:cs="Century Gothic" w:eastAsia="Century Gothic"/>
          <w:b w:val="0"/>
          <w:i w:val="0"/>
          <w:sz w:val="20"/>
        </w:rPr>
        <w:t xml:space="preserve">La migración del </w:t>
      </w:r>
      <w:r>
        <w:rPr>
          <w:rFonts w:ascii="Century Gothic" w:hAnsi="Century Gothic" w:cs="Century Gothic" w:eastAsia="Century Gothic"/>
          <w:b/>
          <w:i w:val="0"/>
          <w:sz w:val="20"/>
        </w:rPr>
        <w:t>Plan de Estudios 2013</w:t>
      </w:r>
      <w:r>
        <w:rPr>
          <w:rFonts w:ascii="Century Gothic" w:hAnsi="Century Gothic" w:cs="Century Gothic" w:eastAsia="Century Gothic"/>
          <w:b w:val="0"/>
          <w:i w:val="0"/>
          <w:sz w:val="20"/>
        </w:rPr>
        <w:t xml:space="preserve"> hacia el </w:t>
      </w:r>
      <w:r>
        <w:rPr>
          <w:rFonts w:ascii="Century Gothic" w:hAnsi="Century Gothic" w:cs="Century Gothic" w:eastAsia="Century Gothic"/>
          <w:b/>
          <w:i w:val="0"/>
          <w:sz w:val="20"/>
        </w:rPr>
        <w:t>Plan de Estudios 2027 (Contador Público Autorizado - CPA)</w:t>
      </w:r>
      <w:r>
        <w:rPr>
          <w:rFonts w:ascii="Century Gothic" w:hAnsi="Century Gothic" w:cs="Century Gothic" w:eastAsia="Century Gothic"/>
          <w:b w:val="0"/>
          <w:i w:val="0"/>
          <w:sz w:val="20"/>
        </w:rPr>
        <w:t xml:space="preserve"> de la Carrera de Contaduría Pública de la UMSA se rige estrictamente por el </w:t>
      </w:r>
      <w:r>
        <w:rPr>
          <w:rFonts w:ascii="Century Gothic" w:hAnsi="Century Gothic" w:cs="Century Gothic" w:eastAsia="Century Gothic"/>
          <w:b/>
          <w:i w:val="0"/>
          <w:sz w:val="20"/>
        </w:rPr>
        <w:t>Principio de Transitabilidad</w:t>
      </w:r>
      <w:r>
        <w:rPr>
          <w:rFonts w:ascii="Century Gothic" w:hAnsi="Century Gothic" w:cs="Century Gothic" w:eastAsia="Century Gothic"/>
          <w:b w:val="0"/>
          <w:i w:val="0"/>
          <w:sz w:val="20"/>
        </w:rPr>
        <w:t xml:space="preserve"> contemplado en los reglamentos de innovación curricular universitarios:</w:t>
      </w:r>
    </w:p>
    <w:p>
      <w:pPr>
        <w:numPr>
          <w:ilvl w:val="0"/>
          <w:numId w:val="1043"/>
        </w:numPr>
        <w:spacing w:before="0" w:after="160" w:line="240" w:lineRule="auto"/>
        <w:jc w:val="both"/>
      </w:pPr>
      <w:r>
        <w:rPr>
          <w:rFonts w:ascii="Century Gothic" w:hAnsi="Century Gothic" w:cs="Century Gothic" w:eastAsia="Century Gothic"/>
          <w:b/>
          <w:i w:val="0"/>
          <w:sz w:val="20"/>
        </w:rPr>
        <w:t>Principio de Transitabilidad (No Perjuicio):</w:t>
      </w:r>
      <w:r>
        <w:rPr>
          <w:rFonts w:ascii="Century Gothic" w:hAnsi="Century Gothic" w:cs="Century Gothic" w:eastAsia="Century Gothic"/>
          <w:b w:val="0"/>
          <w:i w:val="0"/>
          <w:sz w:val="20"/>
        </w:rPr>
        <w:t xml:space="preserve"> Garantiza el paso fluido de los estudiantes de un currículo a otro sin causar perjuicios en los estudios cursados, asignaturas aprobadas, avance académico ni retrasos en su titulación.</w:t>
      </w:r>
    </w:p>
    <w:p>
      <w:pPr>
        <w:numPr>
          <w:ilvl w:val="0"/>
          <w:numId w:val="1043"/>
        </w:numPr>
        <w:spacing w:before="0" w:after="160" w:line="240" w:lineRule="auto"/>
        <w:jc w:val="both"/>
      </w:pPr>
      <w:r>
        <w:rPr>
          <w:rFonts w:ascii="Century Gothic" w:hAnsi="Century Gothic" w:cs="Century Gothic" w:eastAsia="Century Gothic"/>
          <w:b/>
          <w:i w:val="0"/>
          <w:sz w:val="20"/>
        </w:rPr>
        <w:t>Respeto a los Derechos Adquiridos:</w:t>
      </w:r>
    </w:p>
    <w:p>
      <w:pPr>
        <w:numPr>
          <w:ilvl w:val="1"/>
          <w:numId w:val="1043"/>
        </w:numPr>
        <w:spacing w:before="0" w:after="60" w:line="240" w:lineRule="auto"/>
        <w:jc w:val="both"/>
      </w:pPr>
      <w:r>
        <w:rPr>
          <w:rFonts w:ascii="Century Gothic" w:hAnsi="Century Gothic" w:cs="Century Gothic" w:eastAsia="Century Gothic"/>
          <w:b/>
          <w:i w:val="0"/>
          <w:sz w:val="20"/>
        </w:rPr>
        <w:t>Para los Estudiantes:</w:t>
      </w:r>
      <w:r>
        <w:rPr>
          <w:rFonts w:ascii="Century Gothic" w:hAnsi="Century Gothic" w:cs="Century Gothic" w:eastAsia="Century Gothic"/>
          <w:b w:val="0"/>
          <w:i w:val="0"/>
          <w:sz w:val="20"/>
        </w:rPr>
        <w:t xml:space="preserve"> Toda asignatura aprobada en el Plan 2013 mantiene su validez plena y es convalidada u homologada en el Plan 2027.</w:t>
      </w:r>
    </w:p>
    <w:p>
      <w:pPr>
        <w:numPr>
          <w:ilvl w:val="1"/>
          <w:numId w:val="1043"/>
        </w:numPr>
        <w:spacing w:before="0" w:after="60" w:line="240" w:lineRule="auto"/>
        <w:jc w:val="both"/>
      </w:pPr>
      <w:r>
        <w:rPr>
          <w:rFonts w:ascii="Century Gothic" w:hAnsi="Century Gothic" w:cs="Century Gothic" w:eastAsia="Century Gothic"/>
          <w:b/>
          <w:i w:val="0"/>
          <w:sz w:val="20"/>
        </w:rPr>
        <w:t>Para los Docentes Titulares:</w:t>
      </w:r>
      <w:r>
        <w:rPr>
          <w:rFonts w:ascii="Century Gothic" w:hAnsi="Century Gothic" w:cs="Century Gothic" w:eastAsia="Century Gothic"/>
          <w:b w:val="0"/>
          <w:i w:val="0"/>
          <w:sz w:val="20"/>
        </w:rPr>
        <w:t xml:space="preserve"> Se garantiza la titularidad ganada por concurso de méritos y examen de competencia en el Plan 2013, asignando la cátedra titular equivalente en el Plan 2027.</w:t>
      </w:r>
    </w:p>
    <w:p>
      <w:pPr>
        <w:numPr>
          <w:ilvl w:val="0"/>
          <w:numId w:val="1043"/>
        </w:numPr>
        <w:spacing w:before="0" w:after="200" w:line="240" w:lineRule="auto"/>
        <w:jc w:val="both"/>
      </w:pPr>
      <w:r>
        <w:rPr>
          <w:rFonts w:ascii="Century Gothic" w:hAnsi="Century Gothic" w:cs="Century Gothic" w:eastAsia="Century Gothic"/>
          <w:b/>
          <w:i w:val="0"/>
          <w:sz w:val="20"/>
        </w:rPr>
        <w:t>Implantación Gradual y Paralelismo Temporal:</w:t>
      </w:r>
      <w:r>
        <w:rPr>
          <w:rFonts w:ascii="Century Gothic" w:hAnsi="Century Gothic" w:cs="Century Gothic" w:eastAsia="Century Gothic"/>
          <w:b w:val="0"/>
          <w:i w:val="0"/>
          <w:sz w:val="20"/>
        </w:rPr>
        <w:t xml:space="preserve"> La aplicación del nuevo plan se realizará de manera progresiva año por año a partir de la gestión de inicio. Se establece un periodo de gracia (extinción gradual) para que los estudiantes de los cursos superiores (Cuarto y Quinto año) concluyan sus estudios en la malla 2013 o migren voluntariamente al Plan 2027.</w:t>
      </w:r>
    </w:p>
    <w:p>
      <w:pPr>
        <w:keepNext/>
        <w:tabs>
          <w:tab w:pos="992" w:val="left"/>
        </w:tabs>
        <w:spacing w:before="80" w:after="200" w:line="240" w:lineRule="auto"/>
        <w:ind w:left="992" w:hanging="992"/>
        <w:jc w:val="left"/>
      </w:pPr>
      <w:r>
        <w:rPr>
          <w:rFonts w:ascii="Century Gothic" w:hAnsi="Century Gothic" w:cs="Century Gothic" w:eastAsia="Century Gothic"/>
          <w:b/>
          <w:i w:val="0"/>
          <w:sz w:val="22"/>
        </w:rPr>
        <w:t>16.1.2</w:t>
        <w:tab/>
      </w:r>
      <w:r>
        <w:rPr>
          <w:rFonts w:ascii="Century Gothic" w:hAnsi="Century Gothic" w:cs="Century Gothic" w:eastAsia="Century Gothic"/>
          <w:b/>
          <w:i w:val="0"/>
          <w:sz w:val="22"/>
        </w:rPr>
        <w:t>Definiciones Reglamentarias de Homologación, Convalidación y Compensación</w:t>
      </w:r>
    </w:p>
    <w:p>
      <w:pPr>
        <w:spacing w:before="0" w:after="200" w:line="240" w:lineRule="auto"/>
        <w:jc w:val="both"/>
      </w:pPr>
      <w:r>
        <w:rPr>
          <w:rFonts w:ascii="Century Gothic" w:hAnsi="Century Gothic" w:cs="Century Gothic" w:eastAsia="Century Gothic"/>
          <w:b w:val="0"/>
          <w:i w:val="0"/>
          <w:sz w:val="20"/>
        </w:rPr>
        <w:t>En conformidad con las resoluciones del Comité Ejecutivo de la Universidad Boliviana (CEUB) y la reglamentación de la UMSA, se aplican los tres mecanismos técnico-académicos de migración:</w:t>
      </w:r>
    </w:p>
    <w:p>
      <w:pPr>
        <w:numPr>
          <w:ilvl w:val="0"/>
          <w:numId w:val="1044"/>
        </w:numPr>
        <w:spacing w:before="0" w:after="160" w:line="240" w:lineRule="auto"/>
        <w:jc w:val="both"/>
      </w:pPr>
      <w:r>
        <w:rPr>
          <w:rFonts w:ascii="Century Gothic" w:hAnsi="Century Gothic" w:cs="Century Gothic" w:eastAsia="Century Gothic"/>
          <w:b/>
          <w:i w:val="0"/>
          <w:sz w:val="20"/>
        </w:rPr>
        <w:t>Homologación:</w:t>
      </w:r>
      <w:r>
        <w:rPr>
          <w:rFonts w:ascii="Century Gothic" w:hAnsi="Century Gothic" w:cs="Century Gothic" w:eastAsia="Century Gothic"/>
          <w:b w:val="0"/>
          <w:i w:val="0"/>
          <w:sz w:val="20"/>
        </w:rPr>
        <w:t xml:space="preserve"> Procedimiento administrativo-académico aplicado cuando la asignatura del nuevo plan mantiene el contenido analítico básico y/o la carga horaria, habiendo sufrido únicamente ajustes en la denominación, código o reubicación de año.</w:t>
      </w:r>
    </w:p>
    <w:p>
      <w:pPr>
        <w:numPr>
          <w:ilvl w:val="0"/>
          <w:numId w:val="1044"/>
        </w:numPr>
        <w:spacing w:before="0" w:after="160" w:line="240" w:lineRule="auto"/>
        <w:jc w:val="both"/>
      </w:pPr>
      <w:r>
        <w:rPr>
          <w:rFonts w:ascii="Century Gothic" w:hAnsi="Century Gothic" w:cs="Century Gothic" w:eastAsia="Century Gothic"/>
          <w:b/>
          <w:i w:val="0"/>
          <w:sz w:val="20"/>
        </w:rPr>
        <w:t>Convalidación:</w:t>
      </w:r>
      <w:r>
        <w:rPr>
          <w:rFonts w:ascii="Century Gothic" w:hAnsi="Century Gothic" w:cs="Century Gothic" w:eastAsia="Century Gothic"/>
          <w:b w:val="0"/>
          <w:i w:val="0"/>
          <w:sz w:val="20"/>
        </w:rPr>
        <w:t xml:space="preserve"> Reconocimiento técnico de equivalencia aplicado cuando existen modificaciones en los contenidos temáticos en una proporción igual o superior al 60% - 70%, o ajustes en el enfoque metodológico manteniéndose la carga horaria.</w:t>
      </w:r>
    </w:p>
    <w:p>
      <w:pPr>
        <w:numPr>
          <w:ilvl w:val="0"/>
          <w:numId w:val="1044"/>
        </w:numPr>
        <w:spacing w:before="0" w:after="200" w:line="240" w:lineRule="auto"/>
        <w:jc w:val="both"/>
      </w:pPr>
      <w:r>
        <w:rPr>
          <w:rFonts w:ascii="Century Gothic" w:hAnsi="Century Gothic" w:cs="Century Gothic" w:eastAsia="Century Gothic"/>
          <w:b/>
          <w:i w:val="0"/>
          <w:sz w:val="20"/>
        </w:rPr>
        <w:t>Compensación:</w:t>
      </w:r>
      <w:r>
        <w:rPr>
          <w:rFonts w:ascii="Century Gothic" w:hAnsi="Century Gothic" w:cs="Century Gothic" w:eastAsia="Century Gothic"/>
          <w:b w:val="0"/>
          <w:i w:val="0"/>
          <w:sz w:val="20"/>
        </w:rPr>
        <w:t xml:space="preserve"> Mecanismo aplicado cuando hay variaciones en la carga horaria o sustitución de asignaturas, asignando horas o actividades académicas equivalentes en formación, investigación o interacción social para no afectar los derechos del docente ni del estudiante.</w:t>
      </w:r>
    </w:p>
    <w:p>
      <w:pPr>
        <w:keepNext/>
        <w:tabs>
          <w:tab w:pos="992" w:val="left"/>
        </w:tabs>
        <w:spacing w:before="80" w:after="200" w:line="240" w:lineRule="auto"/>
        <w:ind w:left="992" w:hanging="992"/>
        <w:jc w:val="left"/>
      </w:pPr>
      <w:r>
        <w:rPr>
          <w:rFonts w:ascii="Century Gothic" w:hAnsi="Century Gothic" w:cs="Century Gothic" w:eastAsia="Century Gothic"/>
          <w:b/>
          <w:i w:val="0"/>
          <w:sz w:val="22"/>
        </w:rPr>
        <w:t>16.1.3</w:t>
        <w:tab/>
      </w:r>
      <w:r>
        <w:rPr>
          <w:rFonts w:ascii="Century Gothic" w:hAnsi="Century Gothic" w:cs="Century Gothic" w:eastAsia="Century Gothic"/>
          <w:b/>
          <w:i w:val="0"/>
          <w:sz w:val="22"/>
        </w:rPr>
        <w:t>Cuadro de Homologación y Convalidación de Asignaturas para Estudiantes</w:t>
      </w:r>
    </w:p>
    <w:p>
      <w:pPr>
        <w:spacing w:before="0" w:after="200" w:line="240" w:lineRule="auto"/>
        <w:jc w:val="both"/>
      </w:pPr>
      <w:r>
        <w:rPr>
          <w:rFonts w:ascii="Century Gothic" w:hAnsi="Century Gothic" w:cs="Century Gothic" w:eastAsia="Century Gothic"/>
          <w:b w:val="0"/>
          <w:i w:val="0"/>
          <w:sz w:val="20"/>
        </w:rPr>
        <w:t xml:space="preserve">Los estudiantes matriculados en la Carrera de Contaduría Pública se acogerán a la siguiente </w:t>
      </w:r>
      <w:r>
        <w:rPr>
          <w:rFonts w:ascii="Century Gothic" w:hAnsi="Century Gothic" w:cs="Century Gothic" w:eastAsia="Century Gothic"/>
          <w:b/>
          <w:i w:val="0"/>
          <w:sz w:val="20"/>
        </w:rPr>
        <w:t>tabla de equivalencias directas</w:t>
      </w:r>
      <w:r>
        <w:rPr>
          <w:rFonts w:ascii="Century Gothic" w:hAnsi="Century Gothic" w:cs="Century Gothic" w:eastAsia="Century Gothic"/>
          <w:b w:val="0"/>
          <w:i w:val="0"/>
          <w:sz w:val="20"/>
        </w:rPr>
        <w:t xml:space="preserve"> entre el Plan de Estudios 2013 y el Plan de Estudios 2027</w:t>
      </w:r>
    </w:p>
    <w:tbl>
      <w:tblPr>
        <w:tblW w:type="auto" w:w="0"/>
        <w:jc w:val="center"/>
        <w:tblLayout w:type="fixed"/>
        <w:tblLook w:firstColumn="1" w:firstRow="1" w:lastColumn="0" w:lastRow="0" w:noHBand="0" w:noVBand="1" w:val="04A0"/>
      </w:tblPr>
      <w:tblGrid>
        <w:gridCol w:w="2703"/>
        <w:gridCol w:w="1030"/>
        <w:gridCol w:w="3100"/>
        <w:gridCol w:w="2238"/>
      </w:tblGrid>
      <w:tr>
        <w:trPr>
          <w:tblHeader/>
        </w:trPr>
        <w:tc>
          <w:tcPr>
            <w:tcW w:type="dxa" w:w="2703"/>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Asignatura Plan de Estudios 2013</w:t>
            </w:r>
          </w:p>
        </w:tc>
        <w:tc>
          <w:tcPr>
            <w:tcW w:type="dxa" w:w="1030"/>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p>
        </w:tc>
        <w:tc>
          <w:tcPr>
            <w:tcW w:type="dxa" w:w="3100"/>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Asignatura Equivalente Plan de Estudios 2027</w:t>
            </w:r>
          </w:p>
        </w:tc>
        <w:tc>
          <w:tcPr>
            <w:tcW w:type="dxa" w:w="2238"/>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Mecanismo</w:t>
            </w:r>
          </w:p>
        </w:tc>
      </w:tr>
      <w:tr>
        <w:tc>
          <w:tcPr>
            <w:tcW w:type="dxa" w:w="270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i w:val="0"/>
                <w:sz w:val="20"/>
              </w:rPr>
              <w:t>PRIMER AÑO</w:t>
            </w:r>
          </w:p>
        </w:tc>
        <w:tc>
          <w:tcPr>
            <w:tcW w:type="dxa" w:w="103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p>
        </w:tc>
        <w:tc>
          <w:tcPr>
            <w:tcW w:type="dxa" w:w="31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p>
        </w:tc>
        <w:tc>
          <w:tcPr>
            <w:tcW w:type="dxa" w:w="22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p>
        </w:tc>
      </w:tr>
      <w:tr>
        <w:tc>
          <w:tcPr>
            <w:tcW w:type="dxa" w:w="270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CPA-101 Contabilidad Básica</w:t>
            </w:r>
          </w:p>
        </w:tc>
        <w:tc>
          <w:tcPr>
            <w:tcW w:type="dxa" w:w="103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Por</w:t>
            </w:r>
          </w:p>
        </w:tc>
        <w:tc>
          <w:tcPr>
            <w:tcW w:type="dxa" w:w="31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CPA-101 Contabilidad Básica</w:t>
            </w:r>
          </w:p>
        </w:tc>
        <w:tc>
          <w:tcPr>
            <w:tcW w:type="dxa" w:w="22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Homologación directa</w:t>
            </w:r>
          </w:p>
        </w:tc>
      </w:tr>
      <w:tr>
        <w:tc>
          <w:tcPr>
            <w:tcW w:type="dxa" w:w="270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CPA-102 Métodos y Técnicas de Investigación</w:t>
            </w:r>
          </w:p>
        </w:tc>
        <w:tc>
          <w:tcPr>
            <w:tcW w:type="dxa" w:w="103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Por</w:t>
            </w:r>
          </w:p>
        </w:tc>
        <w:tc>
          <w:tcPr>
            <w:tcW w:type="dxa" w:w="31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CPA-204 Métodos y Técnicas de Investigación</w:t>
            </w:r>
          </w:p>
        </w:tc>
        <w:tc>
          <w:tcPr>
            <w:tcW w:type="dxa" w:w="22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Homologación por reubicación de nivel</w:t>
            </w:r>
          </w:p>
        </w:tc>
      </w:tr>
      <w:tr>
        <w:tc>
          <w:tcPr>
            <w:tcW w:type="dxa" w:w="270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ADM-101 Administración General</w:t>
            </w:r>
          </w:p>
        </w:tc>
        <w:tc>
          <w:tcPr>
            <w:tcW w:type="dxa" w:w="103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Por</w:t>
            </w:r>
          </w:p>
        </w:tc>
        <w:tc>
          <w:tcPr>
            <w:tcW w:type="dxa" w:w="31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ADM-101 Administración General</w:t>
            </w:r>
          </w:p>
        </w:tc>
        <w:tc>
          <w:tcPr>
            <w:tcW w:type="dxa" w:w="22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Homologación directa</w:t>
            </w:r>
          </w:p>
        </w:tc>
      </w:tr>
      <w:tr>
        <w:tc>
          <w:tcPr>
            <w:tcW w:type="dxa" w:w="270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DER-101 Derecho Comercial y Corporativo</w:t>
            </w:r>
          </w:p>
        </w:tc>
        <w:tc>
          <w:tcPr>
            <w:tcW w:type="dxa" w:w="103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Por</w:t>
            </w:r>
          </w:p>
        </w:tc>
        <w:tc>
          <w:tcPr>
            <w:tcW w:type="dxa" w:w="31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DER-101 Derecho Comercial y Corporativo</w:t>
            </w:r>
          </w:p>
        </w:tc>
        <w:tc>
          <w:tcPr>
            <w:tcW w:type="dxa" w:w="22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Homologación directa</w:t>
            </w:r>
          </w:p>
        </w:tc>
      </w:tr>
      <w:tr>
        <w:tc>
          <w:tcPr>
            <w:tcW w:type="dxa" w:w="270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DER-102 Derecho Laboral y de Seguridad Social</w:t>
            </w:r>
          </w:p>
        </w:tc>
        <w:tc>
          <w:tcPr>
            <w:tcW w:type="dxa" w:w="103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Por</w:t>
            </w:r>
          </w:p>
        </w:tc>
        <w:tc>
          <w:tcPr>
            <w:tcW w:type="dxa" w:w="31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DER-102 Derecho Laboral y Seguridad Social</w:t>
            </w:r>
          </w:p>
        </w:tc>
        <w:tc>
          <w:tcPr>
            <w:tcW w:type="dxa" w:w="22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Homologación directa</w:t>
            </w:r>
          </w:p>
        </w:tc>
      </w:tr>
      <w:tr>
        <w:tc>
          <w:tcPr>
            <w:tcW w:type="dxa" w:w="270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ECO-101 Microeconomía</w:t>
            </w:r>
          </w:p>
        </w:tc>
        <w:tc>
          <w:tcPr>
            <w:tcW w:type="dxa" w:w="103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Por</w:t>
            </w:r>
          </w:p>
        </w:tc>
        <w:tc>
          <w:tcPr>
            <w:tcW w:type="dxa" w:w="31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ECO-101 Microeconomía</w:t>
            </w:r>
          </w:p>
        </w:tc>
        <w:tc>
          <w:tcPr>
            <w:tcW w:type="dxa" w:w="22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Homologación directa</w:t>
            </w:r>
          </w:p>
        </w:tc>
      </w:tr>
      <w:tr>
        <w:tc>
          <w:tcPr>
            <w:tcW w:type="dxa" w:w="270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MAT-101 Cálculo</w:t>
            </w:r>
          </w:p>
        </w:tc>
        <w:tc>
          <w:tcPr>
            <w:tcW w:type="dxa" w:w="103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Por</w:t>
            </w:r>
          </w:p>
        </w:tc>
        <w:tc>
          <w:tcPr>
            <w:tcW w:type="dxa" w:w="31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MAT-101 Cálculo</w:t>
            </w:r>
          </w:p>
        </w:tc>
        <w:tc>
          <w:tcPr>
            <w:tcW w:type="dxa" w:w="22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Homologación directa</w:t>
            </w:r>
          </w:p>
        </w:tc>
      </w:tr>
      <w:tr>
        <w:tc>
          <w:tcPr>
            <w:tcW w:type="dxa" w:w="270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MAT-102 Matemáticas Financieras</w:t>
            </w:r>
          </w:p>
        </w:tc>
        <w:tc>
          <w:tcPr>
            <w:tcW w:type="dxa" w:w="103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Por</w:t>
            </w:r>
          </w:p>
        </w:tc>
        <w:tc>
          <w:tcPr>
            <w:tcW w:type="dxa" w:w="31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MAT-102 Matemáticas Financieras</w:t>
            </w:r>
          </w:p>
        </w:tc>
        <w:tc>
          <w:tcPr>
            <w:tcW w:type="dxa" w:w="22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Homologación directa</w:t>
            </w:r>
          </w:p>
        </w:tc>
      </w:tr>
      <w:tr>
        <w:tc>
          <w:tcPr>
            <w:tcW w:type="dxa" w:w="270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i w:val="0"/>
                <w:sz w:val="20"/>
              </w:rPr>
              <w:t>SEGUNDO AÑO</w:t>
            </w:r>
          </w:p>
        </w:tc>
        <w:tc>
          <w:tcPr>
            <w:tcW w:type="dxa" w:w="103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p>
        </w:tc>
        <w:tc>
          <w:tcPr>
            <w:tcW w:type="dxa" w:w="31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p>
        </w:tc>
        <w:tc>
          <w:tcPr>
            <w:tcW w:type="dxa" w:w="22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p>
        </w:tc>
      </w:tr>
      <w:tr>
        <w:tc>
          <w:tcPr>
            <w:tcW w:type="dxa" w:w="270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CPA-201 Contabilidad Intermedia</w:t>
            </w:r>
          </w:p>
        </w:tc>
        <w:tc>
          <w:tcPr>
            <w:tcW w:type="dxa" w:w="103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Por</w:t>
            </w:r>
          </w:p>
        </w:tc>
        <w:tc>
          <w:tcPr>
            <w:tcW w:type="dxa" w:w="31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CPA-201 Contabilidad Intermedia</w:t>
            </w:r>
          </w:p>
        </w:tc>
        <w:tc>
          <w:tcPr>
            <w:tcW w:type="dxa" w:w="22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Homologación directa</w:t>
            </w:r>
          </w:p>
        </w:tc>
      </w:tr>
      <w:tr>
        <w:tc>
          <w:tcPr>
            <w:tcW w:type="dxa" w:w="270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CPA-202 Contabilidad de Sociedades</w:t>
            </w:r>
          </w:p>
        </w:tc>
        <w:tc>
          <w:tcPr>
            <w:tcW w:type="dxa" w:w="103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Por</w:t>
            </w:r>
          </w:p>
        </w:tc>
        <w:tc>
          <w:tcPr>
            <w:tcW w:type="dxa" w:w="31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CPA-202 Contabilidad de Sociedades</w:t>
            </w:r>
          </w:p>
        </w:tc>
        <w:tc>
          <w:tcPr>
            <w:tcW w:type="dxa" w:w="22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Homologación directa</w:t>
            </w:r>
          </w:p>
        </w:tc>
      </w:tr>
      <w:tr>
        <w:tc>
          <w:tcPr>
            <w:tcW w:type="dxa" w:w="270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CPA-203 Contabilidad de Tributos</w:t>
            </w:r>
          </w:p>
        </w:tc>
        <w:tc>
          <w:tcPr>
            <w:tcW w:type="dxa" w:w="103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Por</w:t>
            </w:r>
          </w:p>
        </w:tc>
        <w:tc>
          <w:tcPr>
            <w:tcW w:type="dxa" w:w="31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CPA-203 Contabilidad de Tributos</w:t>
            </w:r>
          </w:p>
        </w:tc>
        <w:tc>
          <w:tcPr>
            <w:tcW w:type="dxa" w:w="22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Homologación directa</w:t>
            </w:r>
          </w:p>
        </w:tc>
      </w:tr>
      <w:tr>
        <w:tc>
          <w:tcPr>
            <w:tcW w:type="dxa" w:w="270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ADM-201 Administración de Sistemas Gerenciales</w:t>
            </w:r>
          </w:p>
        </w:tc>
        <w:tc>
          <w:tcPr>
            <w:tcW w:type="dxa" w:w="103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Por</w:t>
            </w:r>
          </w:p>
        </w:tc>
        <w:tc>
          <w:tcPr>
            <w:tcW w:type="dxa" w:w="31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ADM-201 Administración de Sistemas Gerenciales</w:t>
            </w:r>
          </w:p>
        </w:tc>
        <w:tc>
          <w:tcPr>
            <w:tcW w:type="dxa" w:w="22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Homologación directa</w:t>
            </w:r>
          </w:p>
        </w:tc>
      </w:tr>
      <w:tr>
        <w:tc>
          <w:tcPr>
            <w:tcW w:type="dxa" w:w="270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DER-201 Derecho Tributario y Legislación Aduanera</w:t>
            </w:r>
          </w:p>
        </w:tc>
        <w:tc>
          <w:tcPr>
            <w:tcW w:type="dxa" w:w="103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Por</w:t>
            </w:r>
          </w:p>
        </w:tc>
        <w:tc>
          <w:tcPr>
            <w:tcW w:type="dxa" w:w="31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DER-201 Derecho Tributario y Legislación Aduanera</w:t>
            </w:r>
          </w:p>
        </w:tc>
        <w:tc>
          <w:tcPr>
            <w:tcW w:type="dxa" w:w="22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Homologación directa</w:t>
            </w:r>
          </w:p>
        </w:tc>
      </w:tr>
      <w:tr>
        <w:tc>
          <w:tcPr>
            <w:tcW w:type="dxa" w:w="270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ECO-201 Macroeconomía</w:t>
            </w:r>
          </w:p>
        </w:tc>
        <w:tc>
          <w:tcPr>
            <w:tcW w:type="dxa" w:w="103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Por</w:t>
            </w:r>
          </w:p>
        </w:tc>
        <w:tc>
          <w:tcPr>
            <w:tcW w:type="dxa" w:w="31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ECO-201 Macroeconomía</w:t>
            </w:r>
          </w:p>
        </w:tc>
        <w:tc>
          <w:tcPr>
            <w:tcW w:type="dxa" w:w="22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Homologación directa</w:t>
            </w:r>
          </w:p>
        </w:tc>
      </w:tr>
      <w:tr>
        <w:tc>
          <w:tcPr>
            <w:tcW w:type="dxa" w:w="270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MAT-201 Algebra y Programación Lineales</w:t>
            </w:r>
          </w:p>
        </w:tc>
        <w:tc>
          <w:tcPr>
            <w:tcW w:type="dxa" w:w="103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Por</w:t>
            </w:r>
          </w:p>
        </w:tc>
        <w:tc>
          <w:tcPr>
            <w:tcW w:type="dxa" w:w="31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MAT-201 Algebra Lineal y Programación Operativa Aplicada a los Negocios</w:t>
            </w:r>
          </w:p>
        </w:tc>
        <w:tc>
          <w:tcPr>
            <w:tcW w:type="dxa" w:w="22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Convalidación</w:t>
            </w:r>
          </w:p>
        </w:tc>
      </w:tr>
      <w:tr>
        <w:tc>
          <w:tcPr>
            <w:tcW w:type="dxa" w:w="270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i w:val="0"/>
                <w:sz w:val="20"/>
              </w:rPr>
              <w:t>TERCER AÑO</w:t>
            </w:r>
          </w:p>
        </w:tc>
        <w:tc>
          <w:tcPr>
            <w:tcW w:type="dxa" w:w="103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p>
        </w:tc>
        <w:tc>
          <w:tcPr>
            <w:tcW w:type="dxa" w:w="31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p>
        </w:tc>
        <w:tc>
          <w:tcPr>
            <w:tcW w:type="dxa" w:w="22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p>
        </w:tc>
      </w:tr>
      <w:tr>
        <w:tc>
          <w:tcPr>
            <w:tcW w:type="dxa" w:w="270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CPA-301 Contabilidad Internacional</w:t>
            </w:r>
          </w:p>
        </w:tc>
        <w:tc>
          <w:tcPr>
            <w:tcW w:type="dxa" w:w="103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Por</w:t>
            </w:r>
          </w:p>
        </w:tc>
        <w:tc>
          <w:tcPr>
            <w:tcW w:type="dxa" w:w="31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CPA-301 Contabilidad Internacional</w:t>
            </w:r>
          </w:p>
        </w:tc>
        <w:tc>
          <w:tcPr>
            <w:tcW w:type="dxa" w:w="22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Homologación directa</w:t>
            </w:r>
          </w:p>
        </w:tc>
      </w:tr>
      <w:tr>
        <w:tc>
          <w:tcPr>
            <w:tcW w:type="dxa" w:w="270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CPA-302 Contabilidad de Costos y Gestión</w:t>
            </w:r>
          </w:p>
        </w:tc>
        <w:tc>
          <w:tcPr>
            <w:tcW w:type="dxa" w:w="103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Por</w:t>
            </w:r>
          </w:p>
        </w:tc>
        <w:tc>
          <w:tcPr>
            <w:tcW w:type="dxa" w:w="31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CPA-302 Contabilidad de Costos y Gestión</w:t>
            </w:r>
          </w:p>
        </w:tc>
        <w:tc>
          <w:tcPr>
            <w:tcW w:type="dxa" w:w="22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Homologación directa</w:t>
            </w:r>
          </w:p>
        </w:tc>
      </w:tr>
      <w:tr>
        <w:tc>
          <w:tcPr>
            <w:tcW w:type="dxa" w:w="270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CPA-303 Contabilidad de Bancos y Entidades Financieras</w:t>
            </w:r>
          </w:p>
        </w:tc>
        <w:tc>
          <w:tcPr>
            <w:tcW w:type="dxa" w:w="103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Por</w:t>
            </w:r>
          </w:p>
        </w:tc>
        <w:tc>
          <w:tcPr>
            <w:tcW w:type="dxa" w:w="31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CPA-303 Contabilidad de Bancos y Entidades Financieras</w:t>
            </w:r>
          </w:p>
        </w:tc>
        <w:tc>
          <w:tcPr>
            <w:tcW w:type="dxa" w:w="22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Homologación directa</w:t>
            </w:r>
          </w:p>
        </w:tc>
      </w:tr>
      <w:tr>
        <w:tc>
          <w:tcPr>
            <w:tcW w:type="dxa" w:w="270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CPA-304 Contabilidad y</w:t>
            </w:r>
          </w:p>
          <w:p>
            <w:pPr>
              <w:spacing w:before="0" w:after="0" w:line="240" w:lineRule="auto"/>
              <w:jc w:val="left"/>
            </w:pPr>
            <w:r>
              <w:rPr>
                <w:rFonts w:ascii="Century Gothic" w:hAnsi="Century Gothic" w:cs="Century Gothic" w:eastAsia="Century Gothic"/>
                <w:b w:val="0"/>
                <w:i w:val="0"/>
                <w:sz w:val="20"/>
              </w:rPr>
              <w:t>Presupuesto Gubernamental</w:t>
            </w:r>
          </w:p>
        </w:tc>
        <w:tc>
          <w:tcPr>
            <w:tcW w:type="dxa" w:w="103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Por</w:t>
            </w:r>
          </w:p>
        </w:tc>
        <w:tc>
          <w:tcPr>
            <w:tcW w:type="dxa" w:w="31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CPA-304 Contabilidad y</w:t>
            </w:r>
          </w:p>
          <w:p>
            <w:pPr>
              <w:spacing w:before="0" w:after="0" w:line="240" w:lineRule="auto"/>
              <w:jc w:val="left"/>
            </w:pPr>
            <w:r>
              <w:rPr>
                <w:rFonts w:ascii="Century Gothic" w:hAnsi="Century Gothic" w:cs="Century Gothic" w:eastAsia="Century Gothic"/>
                <w:b w:val="0"/>
                <w:i w:val="0"/>
                <w:sz w:val="20"/>
              </w:rPr>
              <w:t>Presupuesto Gubernamental</w:t>
            </w:r>
          </w:p>
        </w:tc>
        <w:tc>
          <w:tcPr>
            <w:tcW w:type="dxa" w:w="22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Homologación directa</w:t>
            </w:r>
          </w:p>
        </w:tc>
      </w:tr>
      <w:tr>
        <w:tc>
          <w:tcPr>
            <w:tcW w:type="dxa" w:w="270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CPA-305 Sistemas de Información</w:t>
            </w:r>
          </w:p>
        </w:tc>
        <w:tc>
          <w:tcPr>
            <w:tcW w:type="dxa" w:w="103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Por</w:t>
            </w:r>
          </w:p>
        </w:tc>
        <w:tc>
          <w:tcPr>
            <w:tcW w:type="dxa" w:w="31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CPA-102 Tecnologías de Información y Herramientas Digitales</w:t>
            </w:r>
          </w:p>
        </w:tc>
        <w:tc>
          <w:tcPr>
            <w:tcW w:type="dxa" w:w="22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Convalidación / Actualización</w:t>
            </w:r>
          </w:p>
        </w:tc>
      </w:tr>
      <w:tr>
        <w:tc>
          <w:tcPr>
            <w:tcW w:type="dxa" w:w="270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ADM-301 Desarrollo Organizacional y Comportamiento</w:t>
            </w:r>
          </w:p>
          <w:p>
            <w:pPr>
              <w:spacing w:before="0" w:after="0" w:line="240" w:lineRule="auto"/>
              <w:jc w:val="left"/>
            </w:pPr>
            <w:r>
              <w:rPr>
                <w:rFonts w:ascii="Century Gothic" w:hAnsi="Century Gothic" w:cs="Century Gothic" w:eastAsia="Century Gothic"/>
                <w:b w:val="0"/>
                <w:i w:val="0"/>
                <w:sz w:val="20"/>
              </w:rPr>
              <w:t>Organizacional</w:t>
            </w:r>
          </w:p>
        </w:tc>
        <w:tc>
          <w:tcPr>
            <w:tcW w:type="dxa" w:w="103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Por</w:t>
            </w:r>
          </w:p>
        </w:tc>
        <w:tc>
          <w:tcPr>
            <w:tcW w:type="dxa" w:w="31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ADM-301 Desarrollo Organizacional y Comportamiento</w:t>
            </w:r>
          </w:p>
          <w:p>
            <w:pPr>
              <w:spacing w:before="0" w:after="0" w:line="240" w:lineRule="auto"/>
              <w:jc w:val="left"/>
            </w:pPr>
            <w:r>
              <w:rPr>
                <w:rFonts w:ascii="Century Gothic" w:hAnsi="Century Gothic" w:cs="Century Gothic" w:eastAsia="Century Gothic"/>
                <w:b w:val="0"/>
                <w:i w:val="0"/>
                <w:sz w:val="20"/>
              </w:rPr>
              <w:t>Organizacional</w:t>
            </w:r>
          </w:p>
        </w:tc>
        <w:tc>
          <w:tcPr>
            <w:tcW w:type="dxa" w:w="22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Homologación directa</w:t>
            </w:r>
          </w:p>
        </w:tc>
      </w:tr>
      <w:tr>
        <w:tc>
          <w:tcPr>
            <w:tcW w:type="dxa" w:w="270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ECO-301 Preparación y</w:t>
            </w:r>
          </w:p>
        </w:tc>
        <w:tc>
          <w:tcPr>
            <w:tcW w:type="dxa" w:w="103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Por</w:t>
            </w:r>
          </w:p>
        </w:tc>
        <w:tc>
          <w:tcPr>
            <w:tcW w:type="dxa" w:w="310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ECO-301 Preparación y</w:t>
            </w:r>
          </w:p>
        </w:tc>
        <w:tc>
          <w:tcPr>
            <w:tcW w:type="dxa" w:w="22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Homologación directa</w:t>
            </w:r>
          </w:p>
        </w:tc>
      </w:tr>
    </w:tbl>
    <w:p>
      <w:pPr>
        <w:spacing w:before="0" w:after="120" w:line="240" w:lineRule="auto"/>
        <w:jc w:val="left"/>
      </w:pPr>
    </w:p>
    <w:tbl>
      <w:tblPr>
        <w:tblW w:type="auto" w:w="0"/>
        <w:jc w:val="center"/>
        <w:tblLayout w:type="fixed"/>
        <w:tblLook w:firstColumn="1" w:firstRow="1" w:lastColumn="0" w:lastRow="0" w:noHBand="0" w:noVBand="1" w:val="04A0"/>
      </w:tblPr>
      <w:tblGrid>
        <w:gridCol w:w="2908"/>
        <w:gridCol w:w="1026"/>
        <w:gridCol w:w="2908"/>
        <w:gridCol w:w="2229"/>
      </w:tblGrid>
      <w:tr>
        <w:trPr>
          <w:tblHeader/>
        </w:trPr>
        <w:tc>
          <w:tcPr>
            <w:tcW w:type="dxa" w:w="2908"/>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Asignatura Plan de Estudios 2013</w:t>
            </w:r>
          </w:p>
        </w:tc>
        <w:tc>
          <w:tcPr>
            <w:tcW w:type="dxa" w:w="1026"/>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p>
        </w:tc>
        <w:tc>
          <w:tcPr>
            <w:tcW w:type="dxa" w:w="2908"/>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Asignatura Equivalente Plan de Estudios 2027</w:t>
            </w:r>
          </w:p>
        </w:tc>
        <w:tc>
          <w:tcPr>
            <w:tcW w:type="dxa" w:w="2229"/>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Mecanismo</w:t>
            </w:r>
          </w:p>
        </w:tc>
      </w:tr>
      <w:tr>
        <w:tc>
          <w:tcPr>
            <w:tcW w:type="dxa" w:w="29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Evaluación de Proyectos</w:t>
            </w:r>
          </w:p>
        </w:tc>
        <w:tc>
          <w:tcPr>
            <w:tcW w:type="dxa" w:w="102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p>
        </w:tc>
        <w:tc>
          <w:tcPr>
            <w:tcW w:type="dxa" w:w="29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Evaluación de Proyectos</w:t>
            </w:r>
          </w:p>
        </w:tc>
        <w:tc>
          <w:tcPr>
            <w:tcW w:type="dxa" w:w="222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p>
        </w:tc>
      </w:tr>
      <w:tr>
        <w:tc>
          <w:tcPr>
            <w:tcW w:type="dxa" w:w="29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MAT-301 Estadística</w:t>
            </w:r>
          </w:p>
        </w:tc>
        <w:tc>
          <w:tcPr>
            <w:tcW w:type="dxa" w:w="102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Por</w:t>
            </w:r>
          </w:p>
        </w:tc>
        <w:tc>
          <w:tcPr>
            <w:tcW w:type="dxa" w:w="29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MAT-301 Estadística</w:t>
            </w:r>
          </w:p>
        </w:tc>
        <w:tc>
          <w:tcPr>
            <w:tcW w:type="dxa" w:w="222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Homologación directa</w:t>
            </w:r>
          </w:p>
        </w:tc>
      </w:tr>
      <w:tr>
        <w:tc>
          <w:tcPr>
            <w:tcW w:type="dxa" w:w="29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MAT-302 Matemáticas Actuariales</w:t>
            </w:r>
          </w:p>
        </w:tc>
        <w:tc>
          <w:tcPr>
            <w:tcW w:type="dxa" w:w="102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Por</w:t>
            </w:r>
          </w:p>
        </w:tc>
        <w:tc>
          <w:tcPr>
            <w:tcW w:type="dxa" w:w="29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MAT-401 Matemáticas Actuariales y Técnicas Financieras</w:t>
            </w:r>
          </w:p>
        </w:tc>
        <w:tc>
          <w:tcPr>
            <w:tcW w:type="dxa" w:w="222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Homologación por reubicación de nivel</w:t>
            </w:r>
          </w:p>
        </w:tc>
      </w:tr>
      <w:tr>
        <w:tc>
          <w:tcPr>
            <w:tcW w:type="dxa" w:w="29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i w:val="0"/>
                <w:sz w:val="20"/>
              </w:rPr>
              <w:t>CUARTO AÑO</w:t>
            </w:r>
          </w:p>
        </w:tc>
        <w:tc>
          <w:tcPr>
            <w:tcW w:type="dxa" w:w="102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p>
        </w:tc>
        <w:tc>
          <w:tcPr>
            <w:tcW w:type="dxa" w:w="29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p>
        </w:tc>
        <w:tc>
          <w:tcPr>
            <w:tcW w:type="dxa" w:w="222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p>
        </w:tc>
      </w:tr>
      <w:tr>
        <w:tc>
          <w:tcPr>
            <w:tcW w:type="dxa" w:w="29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CPA-401 Contabilidad Minera y Petrolera</w:t>
            </w:r>
          </w:p>
        </w:tc>
        <w:tc>
          <w:tcPr>
            <w:tcW w:type="dxa" w:w="102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Por</w:t>
            </w:r>
          </w:p>
        </w:tc>
        <w:tc>
          <w:tcPr>
            <w:tcW w:type="dxa" w:w="29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CPA-401 Contabilidad Minera y Petrolera</w:t>
            </w:r>
          </w:p>
        </w:tc>
        <w:tc>
          <w:tcPr>
            <w:tcW w:type="dxa" w:w="222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Homologación directa</w:t>
            </w:r>
          </w:p>
        </w:tc>
      </w:tr>
      <w:tr>
        <w:tc>
          <w:tcPr>
            <w:tcW w:type="dxa" w:w="29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CPA-402 Contabilidad Agrícola y Ganadera</w:t>
            </w:r>
          </w:p>
        </w:tc>
        <w:tc>
          <w:tcPr>
            <w:tcW w:type="dxa" w:w="102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Por</w:t>
            </w:r>
          </w:p>
        </w:tc>
        <w:tc>
          <w:tcPr>
            <w:tcW w:type="dxa" w:w="29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CPA-402 Contabilidad Agrícola y Ganadera</w:t>
            </w:r>
          </w:p>
        </w:tc>
        <w:tc>
          <w:tcPr>
            <w:tcW w:type="dxa" w:w="222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Homologación directa</w:t>
            </w:r>
          </w:p>
        </w:tc>
      </w:tr>
      <w:tr>
        <w:tc>
          <w:tcPr>
            <w:tcW w:type="dxa" w:w="29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CPA-403 Contabilidad del Seguro</w:t>
            </w:r>
          </w:p>
          <w:p>
            <w:pPr>
              <w:spacing w:before="0" w:after="0" w:line="240" w:lineRule="auto"/>
              <w:jc w:val="left"/>
            </w:pPr>
            <w:r>
              <w:rPr>
                <w:rFonts w:ascii="Century Gothic" w:hAnsi="Century Gothic" w:cs="Century Gothic" w:eastAsia="Century Gothic"/>
                <w:b w:val="0"/>
                <w:i w:val="0"/>
                <w:sz w:val="20"/>
              </w:rPr>
              <w:t>Privado y Seguro Social</w:t>
            </w:r>
          </w:p>
        </w:tc>
        <w:tc>
          <w:tcPr>
            <w:tcW w:type="dxa" w:w="102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Por</w:t>
            </w:r>
          </w:p>
        </w:tc>
        <w:tc>
          <w:tcPr>
            <w:tcW w:type="dxa" w:w="29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CPA-403 Contabilidad de</w:t>
            </w:r>
          </w:p>
          <w:p>
            <w:pPr>
              <w:spacing w:before="0" w:after="0" w:line="240" w:lineRule="auto"/>
              <w:jc w:val="left"/>
            </w:pPr>
            <w:r>
              <w:rPr>
                <w:rFonts w:ascii="Century Gothic" w:hAnsi="Century Gothic" w:cs="Century Gothic" w:eastAsia="Century Gothic"/>
                <w:b w:val="0"/>
                <w:i w:val="0"/>
                <w:sz w:val="20"/>
              </w:rPr>
              <w:t>Seguros: Privado y Social</w:t>
            </w:r>
          </w:p>
        </w:tc>
        <w:tc>
          <w:tcPr>
            <w:tcW w:type="dxa" w:w="222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Homologación directa</w:t>
            </w:r>
          </w:p>
        </w:tc>
      </w:tr>
      <w:tr>
        <w:tc>
          <w:tcPr>
            <w:tcW w:type="dxa" w:w="29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CPA-404 Sistemas de Contabilidad Automatizados</w:t>
            </w:r>
          </w:p>
        </w:tc>
        <w:tc>
          <w:tcPr>
            <w:tcW w:type="dxa" w:w="102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Por</w:t>
            </w:r>
          </w:p>
        </w:tc>
        <w:tc>
          <w:tcPr>
            <w:tcW w:type="dxa" w:w="29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CPA-305 Sistemas Contables ERP y Análisis de Datos</w:t>
            </w:r>
          </w:p>
        </w:tc>
        <w:tc>
          <w:tcPr>
            <w:tcW w:type="dxa" w:w="222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Convalidación y actualización</w:t>
            </w:r>
          </w:p>
          <w:p>
            <w:pPr>
              <w:spacing w:before="0" w:after="0" w:line="240" w:lineRule="auto"/>
              <w:jc w:val="left"/>
            </w:pPr>
            <w:r>
              <w:rPr>
                <w:rFonts w:ascii="Century Gothic" w:hAnsi="Century Gothic" w:cs="Century Gothic" w:eastAsia="Century Gothic"/>
                <w:b w:val="0"/>
                <w:i w:val="0"/>
                <w:sz w:val="20"/>
              </w:rPr>
              <w:t>tecnológica</w:t>
            </w:r>
          </w:p>
        </w:tc>
      </w:tr>
      <w:tr>
        <w:tc>
          <w:tcPr>
            <w:tcW w:type="dxa" w:w="29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CPA-405 Diseño e Implantación de Sistemas de Contabilidad</w:t>
            </w:r>
          </w:p>
        </w:tc>
        <w:tc>
          <w:tcPr>
            <w:tcW w:type="dxa" w:w="102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Por</w:t>
            </w:r>
          </w:p>
        </w:tc>
        <w:tc>
          <w:tcPr>
            <w:tcW w:type="dxa" w:w="29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CPA-404 Diseño e Implantación de Sistemas de Contabilidad</w:t>
            </w:r>
          </w:p>
        </w:tc>
        <w:tc>
          <w:tcPr>
            <w:tcW w:type="dxa" w:w="222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Homologación directa</w:t>
            </w:r>
          </w:p>
        </w:tc>
      </w:tr>
      <w:tr>
        <w:tc>
          <w:tcPr>
            <w:tcW w:type="dxa" w:w="29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CPA-406 Finanzas y Finanzas Corporativas</w:t>
            </w:r>
          </w:p>
        </w:tc>
        <w:tc>
          <w:tcPr>
            <w:tcW w:type="dxa" w:w="102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Por</w:t>
            </w:r>
          </w:p>
        </w:tc>
        <w:tc>
          <w:tcPr>
            <w:tcW w:type="dxa" w:w="29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CPA-405 Finanzas Corporativas</w:t>
            </w:r>
          </w:p>
        </w:tc>
        <w:tc>
          <w:tcPr>
            <w:tcW w:type="dxa" w:w="222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Homologación directa</w:t>
            </w:r>
          </w:p>
        </w:tc>
      </w:tr>
      <w:tr>
        <w:tc>
          <w:tcPr>
            <w:tcW w:type="dxa" w:w="29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CPA-407 Auditoría Financiera</w:t>
            </w:r>
          </w:p>
        </w:tc>
        <w:tc>
          <w:tcPr>
            <w:tcW w:type="dxa" w:w="102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Por</w:t>
            </w:r>
          </w:p>
        </w:tc>
        <w:tc>
          <w:tcPr>
            <w:tcW w:type="dxa" w:w="29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CPA-407 Auditoría Financiera</w:t>
            </w:r>
          </w:p>
        </w:tc>
        <w:tc>
          <w:tcPr>
            <w:tcW w:type="dxa" w:w="222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Homologación directa</w:t>
            </w:r>
          </w:p>
        </w:tc>
      </w:tr>
      <w:tr>
        <w:tc>
          <w:tcPr>
            <w:tcW w:type="dxa" w:w="29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CPA-408 Auditoría Interna, Control Interno y Gestión de Riesgos</w:t>
            </w:r>
          </w:p>
        </w:tc>
        <w:tc>
          <w:tcPr>
            <w:tcW w:type="dxa" w:w="102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Por</w:t>
            </w:r>
          </w:p>
        </w:tc>
        <w:tc>
          <w:tcPr>
            <w:tcW w:type="dxa" w:w="29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CPA-408 Auditoría Interna, Control Interno y Gestión de Riesgos</w:t>
            </w:r>
          </w:p>
        </w:tc>
        <w:tc>
          <w:tcPr>
            <w:tcW w:type="dxa" w:w="222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Homologación directa</w:t>
            </w:r>
          </w:p>
        </w:tc>
      </w:tr>
      <w:tr>
        <w:tc>
          <w:tcPr>
            <w:tcW w:type="dxa" w:w="29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i w:val="0"/>
                <w:sz w:val="20"/>
              </w:rPr>
              <w:t>QUINTO AÑO</w:t>
            </w:r>
          </w:p>
        </w:tc>
        <w:tc>
          <w:tcPr>
            <w:tcW w:type="dxa" w:w="102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p>
        </w:tc>
        <w:tc>
          <w:tcPr>
            <w:tcW w:type="dxa" w:w="29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p>
        </w:tc>
        <w:tc>
          <w:tcPr>
            <w:tcW w:type="dxa" w:w="222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p>
        </w:tc>
      </w:tr>
      <w:tr>
        <w:tc>
          <w:tcPr>
            <w:tcW w:type="dxa" w:w="29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CPA-501 Auditoría Operativa</w:t>
            </w:r>
          </w:p>
        </w:tc>
        <w:tc>
          <w:tcPr>
            <w:tcW w:type="dxa" w:w="102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Por</w:t>
            </w:r>
          </w:p>
        </w:tc>
        <w:tc>
          <w:tcPr>
            <w:tcW w:type="dxa" w:w="29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CPA-501 Auditoría Operativa</w:t>
            </w:r>
          </w:p>
        </w:tc>
        <w:tc>
          <w:tcPr>
            <w:tcW w:type="dxa" w:w="222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Homologación directa</w:t>
            </w:r>
          </w:p>
        </w:tc>
      </w:tr>
      <w:tr>
        <w:tc>
          <w:tcPr>
            <w:tcW w:type="dxa" w:w="29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CPA-502 Gabinete de Auditoría Financiera</w:t>
            </w:r>
          </w:p>
        </w:tc>
        <w:tc>
          <w:tcPr>
            <w:tcW w:type="dxa" w:w="102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Por</w:t>
            </w:r>
          </w:p>
        </w:tc>
        <w:tc>
          <w:tcPr>
            <w:tcW w:type="dxa" w:w="29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CPA-502 Gabinete de Auditoría Financiera</w:t>
            </w:r>
          </w:p>
        </w:tc>
        <w:tc>
          <w:tcPr>
            <w:tcW w:type="dxa" w:w="222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Homologación directa</w:t>
            </w:r>
          </w:p>
        </w:tc>
      </w:tr>
      <w:tr>
        <w:tc>
          <w:tcPr>
            <w:tcW w:type="dxa" w:w="29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CPA-503 Gabinete de Auditoría Tributaria</w:t>
            </w:r>
          </w:p>
        </w:tc>
        <w:tc>
          <w:tcPr>
            <w:tcW w:type="dxa" w:w="102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Por</w:t>
            </w:r>
          </w:p>
        </w:tc>
        <w:tc>
          <w:tcPr>
            <w:tcW w:type="dxa" w:w="29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CPA-503 Auditoría Tributaria</w:t>
            </w:r>
          </w:p>
        </w:tc>
        <w:tc>
          <w:tcPr>
            <w:tcW w:type="dxa" w:w="222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Homologación directa</w:t>
            </w:r>
          </w:p>
        </w:tc>
      </w:tr>
      <w:tr>
        <w:tc>
          <w:tcPr>
            <w:tcW w:type="dxa" w:w="29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CPA-504 Gabinete de Auditoría Gubernamental</w:t>
            </w:r>
          </w:p>
        </w:tc>
        <w:tc>
          <w:tcPr>
            <w:tcW w:type="dxa" w:w="102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Por</w:t>
            </w:r>
          </w:p>
        </w:tc>
        <w:tc>
          <w:tcPr>
            <w:tcW w:type="dxa" w:w="29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CPA-504 Auditoría Gubernamental</w:t>
            </w:r>
          </w:p>
        </w:tc>
        <w:tc>
          <w:tcPr>
            <w:tcW w:type="dxa" w:w="222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Homologación directa</w:t>
            </w:r>
          </w:p>
        </w:tc>
      </w:tr>
      <w:tr>
        <w:tc>
          <w:tcPr>
            <w:tcW w:type="dxa" w:w="29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CPA-505 Gabinete de Auditoría de Sistemas</w:t>
            </w:r>
          </w:p>
        </w:tc>
        <w:tc>
          <w:tcPr>
            <w:tcW w:type="dxa" w:w="102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Por</w:t>
            </w:r>
          </w:p>
        </w:tc>
        <w:tc>
          <w:tcPr>
            <w:tcW w:type="dxa" w:w="29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CPA-505 Auditoría Digital,</w:t>
            </w:r>
          </w:p>
          <w:p>
            <w:pPr>
              <w:spacing w:before="0" w:after="0" w:line="240" w:lineRule="auto"/>
              <w:jc w:val="left"/>
            </w:pPr>
            <w:r>
              <w:rPr>
                <w:rFonts w:ascii="Century Gothic" w:hAnsi="Century Gothic" w:cs="Century Gothic" w:eastAsia="Century Gothic"/>
                <w:b w:val="0"/>
                <w:i w:val="0"/>
                <w:sz w:val="20"/>
              </w:rPr>
              <w:t>Ciberseguridad y Tecnologías Emergentes</w:t>
            </w:r>
          </w:p>
        </w:tc>
        <w:tc>
          <w:tcPr>
            <w:tcW w:type="dxa" w:w="222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Convalidación y</w:t>
            </w:r>
          </w:p>
          <w:p>
            <w:pPr>
              <w:spacing w:before="0" w:after="0" w:line="240" w:lineRule="auto"/>
              <w:jc w:val="left"/>
            </w:pPr>
            <w:r>
              <w:rPr>
                <w:rFonts w:ascii="Century Gothic" w:hAnsi="Century Gothic" w:cs="Century Gothic" w:eastAsia="Century Gothic"/>
                <w:b w:val="0"/>
                <w:i w:val="0"/>
                <w:sz w:val="20"/>
              </w:rPr>
              <w:t>actualización tecnológica</w:t>
            </w:r>
          </w:p>
        </w:tc>
      </w:tr>
      <w:tr>
        <w:tc>
          <w:tcPr>
            <w:tcW w:type="dxa" w:w="29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CPA-506 Gabinete de Auditoría Ambiental</w:t>
            </w:r>
          </w:p>
        </w:tc>
        <w:tc>
          <w:tcPr>
            <w:tcW w:type="dxa" w:w="102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Por</w:t>
            </w:r>
          </w:p>
        </w:tc>
        <w:tc>
          <w:tcPr>
            <w:tcW w:type="dxa" w:w="29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CPA-506 Reportes y</w:t>
            </w:r>
          </w:p>
          <w:p>
            <w:pPr>
              <w:spacing w:before="0" w:after="0" w:line="240" w:lineRule="auto"/>
              <w:jc w:val="left"/>
            </w:pPr>
            <w:r>
              <w:rPr>
                <w:rFonts w:ascii="Century Gothic" w:hAnsi="Century Gothic" w:cs="Century Gothic" w:eastAsia="Century Gothic"/>
                <w:b w:val="0"/>
                <w:i w:val="0"/>
                <w:sz w:val="20"/>
              </w:rPr>
              <w:t>Aseguramiento de Sostenibilidad y Auditoría Ambiental</w:t>
            </w:r>
          </w:p>
        </w:tc>
        <w:tc>
          <w:tcPr>
            <w:tcW w:type="dxa" w:w="222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Convalidación / Actualización</w:t>
            </w:r>
          </w:p>
        </w:tc>
      </w:tr>
      <w:tr>
        <w:tc>
          <w:tcPr>
            <w:tcW w:type="dxa" w:w="29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CPA-507 Gabinete de Auditoría de Proyectos</w:t>
            </w:r>
          </w:p>
        </w:tc>
        <w:tc>
          <w:tcPr>
            <w:tcW w:type="dxa" w:w="102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Por</w:t>
            </w:r>
          </w:p>
        </w:tc>
        <w:tc>
          <w:tcPr>
            <w:tcW w:type="dxa" w:w="29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CPA-507 Auditoría de Proyectos: Público y Privado</w:t>
            </w:r>
          </w:p>
        </w:tc>
        <w:tc>
          <w:tcPr>
            <w:tcW w:type="dxa" w:w="222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Homologación directa</w:t>
            </w:r>
          </w:p>
        </w:tc>
      </w:tr>
      <w:tr>
        <w:tc>
          <w:tcPr>
            <w:tcW w:type="dxa" w:w="29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CPA-508 Gabinete de Auditoría Forense</w:t>
            </w:r>
          </w:p>
        </w:tc>
        <w:tc>
          <w:tcPr>
            <w:tcW w:type="dxa" w:w="102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Por</w:t>
            </w:r>
          </w:p>
        </w:tc>
        <w:tc>
          <w:tcPr>
            <w:tcW w:type="dxa" w:w="29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CPA-508 Auditoría Forense,</w:t>
            </w:r>
          </w:p>
          <w:p>
            <w:pPr>
              <w:spacing w:before="0" w:after="0" w:line="240" w:lineRule="auto"/>
              <w:jc w:val="left"/>
            </w:pPr>
            <w:r>
              <w:rPr>
                <w:rFonts w:ascii="Century Gothic" w:hAnsi="Century Gothic" w:cs="Century Gothic" w:eastAsia="Century Gothic"/>
                <w:b w:val="0"/>
                <w:i w:val="0"/>
                <w:sz w:val="20"/>
              </w:rPr>
              <w:t>Peritaje y Prevención de Delitos Económicos</w:t>
            </w:r>
          </w:p>
        </w:tc>
        <w:tc>
          <w:tcPr>
            <w:tcW w:type="dxa" w:w="222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Homologación / Actualización</w:t>
            </w:r>
          </w:p>
        </w:tc>
      </w:tr>
      <w:tr>
        <w:tc>
          <w:tcPr>
            <w:tcW w:type="dxa" w:w="29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CPA-509 Gabinete de Auditoría de Entidades Financieras</w:t>
            </w:r>
          </w:p>
        </w:tc>
        <w:tc>
          <w:tcPr>
            <w:tcW w:type="dxa" w:w="102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Por</w:t>
            </w:r>
          </w:p>
        </w:tc>
        <w:tc>
          <w:tcPr>
            <w:tcW w:type="dxa" w:w="29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CPA-509 Auditoría de Entidades</w:t>
            </w:r>
          </w:p>
          <w:p>
            <w:pPr>
              <w:spacing w:before="0" w:after="0" w:line="240" w:lineRule="auto"/>
              <w:jc w:val="left"/>
            </w:pPr>
            <w:r>
              <w:rPr>
                <w:rFonts w:ascii="Century Gothic" w:hAnsi="Century Gothic" w:cs="Century Gothic" w:eastAsia="Century Gothic"/>
                <w:b w:val="0"/>
                <w:i w:val="0"/>
                <w:sz w:val="20"/>
              </w:rPr>
              <w:t>Financieras y Servicios Relacionados</w:t>
            </w:r>
          </w:p>
        </w:tc>
        <w:tc>
          <w:tcPr>
            <w:tcW w:type="dxa" w:w="222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Homologación directa</w:t>
            </w:r>
          </w:p>
        </w:tc>
      </w:tr>
      <w:tr>
        <w:tc>
          <w:tcPr>
            <w:tcW w:type="dxa" w:w="29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CPA-510 Ética Profesional</w:t>
            </w:r>
          </w:p>
        </w:tc>
        <w:tc>
          <w:tcPr>
            <w:tcW w:type="dxa" w:w="102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Por</w:t>
            </w:r>
          </w:p>
        </w:tc>
        <w:tc>
          <w:tcPr>
            <w:tcW w:type="dxa" w:w="29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CPA-406 Ética e Independencia</w:t>
            </w:r>
          </w:p>
          <w:p>
            <w:pPr>
              <w:spacing w:before="0" w:after="0" w:line="240" w:lineRule="auto"/>
              <w:jc w:val="left"/>
            </w:pPr>
            <w:r>
              <w:rPr>
                <w:rFonts w:ascii="Century Gothic" w:hAnsi="Century Gothic" w:cs="Century Gothic" w:eastAsia="Century Gothic"/>
                <w:b w:val="0"/>
                <w:i w:val="0"/>
                <w:sz w:val="20"/>
              </w:rPr>
              <w:t>Profesional</w:t>
            </w:r>
          </w:p>
        </w:tc>
        <w:tc>
          <w:tcPr>
            <w:tcW w:type="dxa" w:w="222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Homologación por</w:t>
            </w:r>
          </w:p>
          <w:p>
            <w:pPr>
              <w:spacing w:before="0" w:after="0" w:line="240" w:lineRule="auto"/>
              <w:jc w:val="left"/>
            </w:pPr>
            <w:r>
              <w:rPr>
                <w:rFonts w:ascii="Century Gothic" w:hAnsi="Century Gothic" w:cs="Century Gothic" w:eastAsia="Century Gothic"/>
                <w:b w:val="0"/>
                <w:i w:val="0"/>
                <w:sz w:val="20"/>
              </w:rPr>
              <w:t>reubicación de nivel</w:t>
            </w:r>
          </w:p>
        </w:tc>
      </w:tr>
      <w:tr>
        <w:tc>
          <w:tcPr>
            <w:tcW w:type="dxa" w:w="29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CPA-511 Seminario de Grado</w:t>
            </w:r>
          </w:p>
        </w:tc>
        <w:tc>
          <w:tcPr>
            <w:tcW w:type="dxa" w:w="102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Por</w:t>
            </w:r>
          </w:p>
        </w:tc>
        <w:tc>
          <w:tcPr>
            <w:tcW w:type="dxa" w:w="290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CPA-510 Taller de Grado</w:t>
            </w:r>
          </w:p>
        </w:tc>
        <w:tc>
          <w:tcPr>
            <w:tcW w:type="dxa" w:w="222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Homologación directa</w:t>
            </w:r>
          </w:p>
        </w:tc>
      </w:tr>
    </w:tbl>
    <w:p>
      <w:pPr>
        <w:spacing w:before="0" w:after="120" w:line="240" w:lineRule="auto"/>
        <w:jc w:val="left"/>
      </w:pPr>
    </w:p>
    <w:p>
      <w:pPr>
        <w:keepNext/>
        <w:tabs>
          <w:tab w:pos="992" w:val="left"/>
        </w:tabs>
        <w:spacing w:before="80" w:after="200" w:line="240" w:lineRule="auto"/>
        <w:ind w:left="992" w:hanging="992"/>
        <w:jc w:val="left"/>
      </w:pPr>
      <w:r>
        <w:rPr>
          <w:rFonts w:ascii="Century Gothic" w:hAnsi="Century Gothic" w:cs="Century Gothic" w:eastAsia="Century Gothic"/>
          <w:b/>
          <w:i w:val="0"/>
          <w:sz w:val="22"/>
        </w:rPr>
        <w:t>16.1.4</w:t>
        <w:tab/>
      </w:r>
      <w:r>
        <w:rPr>
          <w:rFonts w:ascii="Century Gothic" w:hAnsi="Century Gothic" w:cs="Century Gothic" w:eastAsia="Century Gothic"/>
          <w:b/>
          <w:i w:val="0"/>
          <w:sz w:val="22"/>
        </w:rPr>
        <w:t>Cuadro de Homologación de Cátedra para Docentes Titulares</w:t>
      </w:r>
    </w:p>
    <w:p>
      <w:pPr>
        <w:spacing w:before="0" w:after="200" w:line="240" w:lineRule="auto"/>
        <w:jc w:val="both"/>
      </w:pPr>
      <w:r>
        <w:rPr>
          <w:rFonts w:ascii="Century Gothic" w:hAnsi="Century Gothic" w:cs="Century Gothic" w:eastAsia="Century Gothic"/>
          <w:b w:val="0"/>
          <w:i w:val="0"/>
          <w:sz w:val="20"/>
        </w:rPr>
        <w:t xml:space="preserve">En aplicación del </w:t>
      </w:r>
      <w:r>
        <w:rPr>
          <w:rFonts w:ascii="Century Gothic" w:hAnsi="Century Gothic" w:cs="Century Gothic" w:eastAsia="Century Gothic"/>
          <w:b/>
          <w:i w:val="0"/>
          <w:sz w:val="20"/>
        </w:rPr>
        <w:t>Principio de Transitabilidad y Respeto a los Derechos Adquiridos</w:t>
      </w:r>
      <w:r>
        <w:rPr>
          <w:rFonts w:ascii="Century Gothic" w:hAnsi="Century Gothic" w:cs="Century Gothic" w:eastAsia="Century Gothic"/>
          <w:b w:val="0"/>
          <w:i w:val="0"/>
          <w:sz w:val="20"/>
        </w:rPr>
        <w:t xml:space="preserve"> (Articulo 8 de la normativa de Innovación Curricular del SUB), a continuación, se incorpora el Cuadro de Equivalencias de Cátedra para las 43 asignaturas del Plan de Estudios 2013 frente al Plan de Estudios 2027, garantizando la continuidad e inamovilidad de los docentes titulares ordinarios que ganaron su cátedra por concurso de méritos y examen de competencia:</w:t>
      </w:r>
    </w:p>
    <w:tbl>
      <w:tblPr>
        <w:tblW w:type="auto" w:w="0"/>
        <w:jc w:val="center"/>
        <w:tblLayout w:type="fixed"/>
        <w:tblLook w:firstColumn="1" w:firstRow="1" w:lastColumn="0" w:lastRow="0" w:noHBand="0" w:noVBand="1" w:val="04A0"/>
      </w:tblPr>
      <w:tblGrid>
        <w:gridCol w:w="2887"/>
        <w:gridCol w:w="1003"/>
        <w:gridCol w:w="2887"/>
        <w:gridCol w:w="2293"/>
      </w:tblGrid>
      <w:tr>
        <w:trPr>
          <w:tblHeader/>
        </w:trPr>
        <w:tc>
          <w:tcPr>
            <w:tcW w:type="dxa" w:w="2887"/>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Asignatura Plan de Estudios 2013</w:t>
            </w:r>
          </w:p>
        </w:tc>
        <w:tc>
          <w:tcPr>
            <w:tcW w:type="dxa" w:w="1003"/>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p>
        </w:tc>
        <w:tc>
          <w:tcPr>
            <w:tcW w:type="dxa" w:w="2887"/>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Asignatura Equivalente Plan de Estudios 2027</w:t>
            </w:r>
          </w:p>
        </w:tc>
        <w:tc>
          <w:tcPr>
            <w:tcW w:type="dxa" w:w="2293"/>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Mecanismo</w:t>
            </w:r>
          </w:p>
        </w:tc>
      </w:tr>
      <w:tr>
        <w:tc>
          <w:tcPr>
            <w:tcW w:type="dxa" w:w="28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i w:val="0"/>
                <w:sz w:val="20"/>
              </w:rPr>
              <w:t>PRIMER AÑO</w:t>
            </w:r>
          </w:p>
        </w:tc>
        <w:tc>
          <w:tcPr>
            <w:tcW w:type="dxa" w:w="100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p>
        </w:tc>
        <w:tc>
          <w:tcPr>
            <w:tcW w:type="dxa" w:w="28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p>
        </w:tc>
        <w:tc>
          <w:tcPr>
            <w:tcW w:type="dxa" w:w="22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p>
        </w:tc>
      </w:tr>
      <w:tr>
        <w:tc>
          <w:tcPr>
            <w:tcW w:type="dxa" w:w="28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CPA-101 Contabilidad Básica</w:t>
            </w:r>
          </w:p>
        </w:tc>
        <w:tc>
          <w:tcPr>
            <w:tcW w:type="dxa" w:w="100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Por</w:t>
            </w:r>
          </w:p>
        </w:tc>
        <w:tc>
          <w:tcPr>
            <w:tcW w:type="dxa" w:w="28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CPA-101 Contabilidad Básica</w:t>
            </w:r>
          </w:p>
        </w:tc>
        <w:tc>
          <w:tcPr>
            <w:tcW w:type="dxa" w:w="22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Homologación directa</w:t>
            </w:r>
          </w:p>
        </w:tc>
      </w:tr>
      <w:tr>
        <w:tc>
          <w:tcPr>
            <w:tcW w:type="dxa" w:w="28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CPA-102 Métodos y Técnicas de Investigación</w:t>
            </w:r>
          </w:p>
        </w:tc>
        <w:tc>
          <w:tcPr>
            <w:tcW w:type="dxa" w:w="100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Por</w:t>
            </w:r>
          </w:p>
        </w:tc>
        <w:tc>
          <w:tcPr>
            <w:tcW w:type="dxa" w:w="28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CPA-204 Métodos y Técnicas de Investigación</w:t>
            </w:r>
          </w:p>
        </w:tc>
        <w:tc>
          <w:tcPr>
            <w:tcW w:type="dxa" w:w="22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Homologación por reubicación de Nivel</w:t>
            </w:r>
          </w:p>
        </w:tc>
      </w:tr>
      <w:tr>
        <w:tc>
          <w:tcPr>
            <w:tcW w:type="dxa" w:w="28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ADM-101 Administración General</w:t>
            </w:r>
          </w:p>
        </w:tc>
        <w:tc>
          <w:tcPr>
            <w:tcW w:type="dxa" w:w="100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Por</w:t>
            </w:r>
          </w:p>
        </w:tc>
        <w:tc>
          <w:tcPr>
            <w:tcW w:type="dxa" w:w="28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ADM-101 Administración General</w:t>
            </w:r>
          </w:p>
        </w:tc>
        <w:tc>
          <w:tcPr>
            <w:tcW w:type="dxa" w:w="22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Homologación directa</w:t>
            </w:r>
          </w:p>
        </w:tc>
      </w:tr>
      <w:tr>
        <w:tc>
          <w:tcPr>
            <w:tcW w:type="dxa" w:w="28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DER-101 Derecho Comercial y</w:t>
            </w:r>
          </w:p>
          <w:p>
            <w:pPr>
              <w:spacing w:before="0" w:after="0" w:line="240" w:lineRule="auto"/>
              <w:jc w:val="left"/>
            </w:pPr>
            <w:r>
              <w:rPr>
                <w:rFonts w:ascii="Century Gothic" w:hAnsi="Century Gothic" w:cs="Century Gothic" w:eastAsia="Century Gothic"/>
                <w:b w:val="0"/>
                <w:i w:val="0"/>
                <w:sz w:val="20"/>
              </w:rPr>
              <w:t>Corporativo</w:t>
            </w:r>
          </w:p>
        </w:tc>
        <w:tc>
          <w:tcPr>
            <w:tcW w:type="dxa" w:w="100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Por</w:t>
            </w:r>
          </w:p>
        </w:tc>
        <w:tc>
          <w:tcPr>
            <w:tcW w:type="dxa" w:w="28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DER-101 Derecho Comercial y</w:t>
            </w:r>
          </w:p>
          <w:p>
            <w:pPr>
              <w:spacing w:before="0" w:after="0" w:line="240" w:lineRule="auto"/>
              <w:jc w:val="left"/>
            </w:pPr>
            <w:r>
              <w:rPr>
                <w:rFonts w:ascii="Century Gothic" w:hAnsi="Century Gothic" w:cs="Century Gothic" w:eastAsia="Century Gothic"/>
                <w:b w:val="0"/>
                <w:i w:val="0"/>
                <w:sz w:val="20"/>
              </w:rPr>
              <w:t>Corporativo</w:t>
            </w:r>
          </w:p>
        </w:tc>
        <w:tc>
          <w:tcPr>
            <w:tcW w:type="dxa" w:w="22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Homologación directa</w:t>
            </w:r>
          </w:p>
        </w:tc>
      </w:tr>
      <w:tr>
        <w:tc>
          <w:tcPr>
            <w:tcW w:type="dxa" w:w="28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DER-102 Derecho Laboral y de Seguridad Social</w:t>
            </w:r>
          </w:p>
        </w:tc>
        <w:tc>
          <w:tcPr>
            <w:tcW w:type="dxa" w:w="100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Por</w:t>
            </w:r>
          </w:p>
        </w:tc>
        <w:tc>
          <w:tcPr>
            <w:tcW w:type="dxa" w:w="28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DER-102 Derecho Laboral y Seguridad Social</w:t>
            </w:r>
          </w:p>
        </w:tc>
        <w:tc>
          <w:tcPr>
            <w:tcW w:type="dxa" w:w="22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Homologación directa</w:t>
            </w:r>
          </w:p>
        </w:tc>
      </w:tr>
      <w:tr>
        <w:tc>
          <w:tcPr>
            <w:tcW w:type="dxa" w:w="28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ECO-101 Microeconomía</w:t>
            </w:r>
          </w:p>
        </w:tc>
        <w:tc>
          <w:tcPr>
            <w:tcW w:type="dxa" w:w="100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Por</w:t>
            </w:r>
          </w:p>
        </w:tc>
        <w:tc>
          <w:tcPr>
            <w:tcW w:type="dxa" w:w="28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ECO-101 Microeconomía</w:t>
            </w:r>
          </w:p>
        </w:tc>
        <w:tc>
          <w:tcPr>
            <w:tcW w:type="dxa" w:w="22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Homologación directa</w:t>
            </w:r>
          </w:p>
        </w:tc>
      </w:tr>
      <w:tr>
        <w:tc>
          <w:tcPr>
            <w:tcW w:type="dxa" w:w="28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MAT-101 Cálculo</w:t>
            </w:r>
          </w:p>
        </w:tc>
        <w:tc>
          <w:tcPr>
            <w:tcW w:type="dxa" w:w="100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Por</w:t>
            </w:r>
          </w:p>
        </w:tc>
        <w:tc>
          <w:tcPr>
            <w:tcW w:type="dxa" w:w="28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MAT-101 Cálculo</w:t>
            </w:r>
          </w:p>
        </w:tc>
        <w:tc>
          <w:tcPr>
            <w:tcW w:type="dxa" w:w="22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Homologación directa</w:t>
            </w:r>
          </w:p>
        </w:tc>
      </w:tr>
      <w:tr>
        <w:tc>
          <w:tcPr>
            <w:tcW w:type="dxa" w:w="28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MAT-102 Matemáticas</w:t>
            </w:r>
          </w:p>
          <w:p>
            <w:pPr>
              <w:spacing w:before="0" w:after="0" w:line="240" w:lineRule="auto"/>
              <w:jc w:val="left"/>
            </w:pPr>
            <w:r>
              <w:rPr>
                <w:rFonts w:ascii="Century Gothic" w:hAnsi="Century Gothic" w:cs="Century Gothic" w:eastAsia="Century Gothic"/>
                <w:b w:val="0"/>
                <w:i w:val="0"/>
                <w:sz w:val="20"/>
              </w:rPr>
              <w:t>Financieras</w:t>
            </w:r>
          </w:p>
        </w:tc>
        <w:tc>
          <w:tcPr>
            <w:tcW w:type="dxa" w:w="100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Por</w:t>
            </w:r>
          </w:p>
        </w:tc>
        <w:tc>
          <w:tcPr>
            <w:tcW w:type="dxa" w:w="28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MAT-102 Matemáticas</w:t>
            </w:r>
          </w:p>
          <w:p>
            <w:pPr>
              <w:spacing w:before="0" w:after="0" w:line="240" w:lineRule="auto"/>
              <w:jc w:val="left"/>
            </w:pPr>
            <w:r>
              <w:rPr>
                <w:rFonts w:ascii="Century Gothic" w:hAnsi="Century Gothic" w:cs="Century Gothic" w:eastAsia="Century Gothic"/>
                <w:b w:val="0"/>
                <w:i w:val="0"/>
                <w:sz w:val="20"/>
              </w:rPr>
              <w:t>Financieras</w:t>
            </w:r>
          </w:p>
        </w:tc>
        <w:tc>
          <w:tcPr>
            <w:tcW w:type="dxa" w:w="22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Homologación directa</w:t>
            </w:r>
          </w:p>
        </w:tc>
      </w:tr>
      <w:tr>
        <w:tc>
          <w:tcPr>
            <w:tcW w:type="dxa" w:w="28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i w:val="0"/>
                <w:sz w:val="20"/>
              </w:rPr>
              <w:t>SEGUNDO AÑO</w:t>
            </w:r>
          </w:p>
        </w:tc>
        <w:tc>
          <w:tcPr>
            <w:tcW w:type="dxa" w:w="100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p>
        </w:tc>
        <w:tc>
          <w:tcPr>
            <w:tcW w:type="dxa" w:w="28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p>
        </w:tc>
        <w:tc>
          <w:tcPr>
            <w:tcW w:type="dxa" w:w="22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p>
        </w:tc>
      </w:tr>
      <w:tr>
        <w:tc>
          <w:tcPr>
            <w:tcW w:type="dxa" w:w="28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CPA-201 Contabilidad Intermedia</w:t>
            </w:r>
          </w:p>
        </w:tc>
        <w:tc>
          <w:tcPr>
            <w:tcW w:type="dxa" w:w="100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Por</w:t>
            </w:r>
          </w:p>
        </w:tc>
        <w:tc>
          <w:tcPr>
            <w:tcW w:type="dxa" w:w="28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CPA-201 Contabilidad Intermedia</w:t>
            </w:r>
          </w:p>
        </w:tc>
        <w:tc>
          <w:tcPr>
            <w:tcW w:type="dxa" w:w="22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Homologación directa</w:t>
            </w:r>
          </w:p>
        </w:tc>
      </w:tr>
      <w:tr>
        <w:tc>
          <w:tcPr>
            <w:tcW w:type="dxa" w:w="28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CPA-202 Contabilidad de Sociedades</w:t>
            </w:r>
          </w:p>
        </w:tc>
        <w:tc>
          <w:tcPr>
            <w:tcW w:type="dxa" w:w="100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Por</w:t>
            </w:r>
          </w:p>
        </w:tc>
        <w:tc>
          <w:tcPr>
            <w:tcW w:type="dxa" w:w="28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CPA-202 Contabilidad de Sociedades</w:t>
            </w:r>
          </w:p>
        </w:tc>
        <w:tc>
          <w:tcPr>
            <w:tcW w:type="dxa" w:w="22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Homologación directa</w:t>
            </w:r>
          </w:p>
        </w:tc>
      </w:tr>
      <w:tr>
        <w:tc>
          <w:tcPr>
            <w:tcW w:type="dxa" w:w="28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CPA-203 Contabilidad de Tributos</w:t>
            </w:r>
          </w:p>
        </w:tc>
        <w:tc>
          <w:tcPr>
            <w:tcW w:type="dxa" w:w="100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Por</w:t>
            </w:r>
          </w:p>
        </w:tc>
        <w:tc>
          <w:tcPr>
            <w:tcW w:type="dxa" w:w="28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CPA-203 Contabilidad de Tributos</w:t>
            </w:r>
          </w:p>
        </w:tc>
        <w:tc>
          <w:tcPr>
            <w:tcW w:type="dxa" w:w="22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Homologación directa</w:t>
            </w:r>
          </w:p>
        </w:tc>
      </w:tr>
      <w:tr>
        <w:tc>
          <w:tcPr>
            <w:tcW w:type="dxa" w:w="28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ADM-201 Administración de Sistemas Gerenciales</w:t>
            </w:r>
          </w:p>
        </w:tc>
        <w:tc>
          <w:tcPr>
            <w:tcW w:type="dxa" w:w="100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Por</w:t>
            </w:r>
          </w:p>
        </w:tc>
        <w:tc>
          <w:tcPr>
            <w:tcW w:type="dxa" w:w="28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ADM-201 Administración de Sistemas Gerenciales</w:t>
            </w:r>
          </w:p>
        </w:tc>
        <w:tc>
          <w:tcPr>
            <w:tcW w:type="dxa" w:w="22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Homologación directa</w:t>
            </w:r>
          </w:p>
        </w:tc>
      </w:tr>
      <w:tr>
        <w:tc>
          <w:tcPr>
            <w:tcW w:type="dxa" w:w="28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DER-201 Derecho Tributario y Legislación Aduanera</w:t>
            </w:r>
          </w:p>
        </w:tc>
        <w:tc>
          <w:tcPr>
            <w:tcW w:type="dxa" w:w="100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Por</w:t>
            </w:r>
          </w:p>
        </w:tc>
        <w:tc>
          <w:tcPr>
            <w:tcW w:type="dxa" w:w="28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DER-201 Derecho Tributario y Legislación Aduanera</w:t>
            </w:r>
          </w:p>
        </w:tc>
        <w:tc>
          <w:tcPr>
            <w:tcW w:type="dxa" w:w="22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Homologación directa</w:t>
            </w:r>
          </w:p>
        </w:tc>
      </w:tr>
      <w:tr>
        <w:tc>
          <w:tcPr>
            <w:tcW w:type="dxa" w:w="28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ECO-201 Macroeconomía</w:t>
            </w:r>
          </w:p>
        </w:tc>
        <w:tc>
          <w:tcPr>
            <w:tcW w:type="dxa" w:w="100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Por</w:t>
            </w:r>
          </w:p>
        </w:tc>
        <w:tc>
          <w:tcPr>
            <w:tcW w:type="dxa" w:w="28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ECO-201 Macroeconomía</w:t>
            </w:r>
          </w:p>
        </w:tc>
        <w:tc>
          <w:tcPr>
            <w:tcW w:type="dxa" w:w="22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Homologación directa</w:t>
            </w:r>
          </w:p>
        </w:tc>
      </w:tr>
      <w:tr>
        <w:tc>
          <w:tcPr>
            <w:tcW w:type="dxa" w:w="28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MAT-201 Algebra y Programación Lineales</w:t>
            </w:r>
          </w:p>
        </w:tc>
        <w:tc>
          <w:tcPr>
            <w:tcW w:type="dxa" w:w="100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Por</w:t>
            </w:r>
          </w:p>
        </w:tc>
        <w:tc>
          <w:tcPr>
            <w:tcW w:type="dxa" w:w="28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MAT-201 Algebra Lineal y</w:t>
            </w:r>
          </w:p>
          <w:p>
            <w:pPr>
              <w:spacing w:before="0" w:after="0" w:line="240" w:lineRule="auto"/>
              <w:jc w:val="left"/>
            </w:pPr>
            <w:r>
              <w:rPr>
                <w:rFonts w:ascii="Century Gothic" w:hAnsi="Century Gothic" w:cs="Century Gothic" w:eastAsia="Century Gothic"/>
                <w:b w:val="0"/>
                <w:i w:val="0"/>
                <w:sz w:val="20"/>
              </w:rPr>
              <w:t>Programación Operativa Aplicada a los Negocios</w:t>
            </w:r>
          </w:p>
        </w:tc>
        <w:tc>
          <w:tcPr>
            <w:tcW w:type="dxa" w:w="22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Convalidación de Cátedra</w:t>
            </w:r>
          </w:p>
        </w:tc>
      </w:tr>
      <w:tr>
        <w:tc>
          <w:tcPr>
            <w:tcW w:type="dxa" w:w="28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i w:val="0"/>
                <w:sz w:val="20"/>
              </w:rPr>
              <w:t>TERCER AÑO</w:t>
            </w:r>
          </w:p>
        </w:tc>
        <w:tc>
          <w:tcPr>
            <w:tcW w:type="dxa" w:w="100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p>
        </w:tc>
        <w:tc>
          <w:tcPr>
            <w:tcW w:type="dxa" w:w="28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p>
        </w:tc>
        <w:tc>
          <w:tcPr>
            <w:tcW w:type="dxa" w:w="22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p>
        </w:tc>
      </w:tr>
      <w:tr>
        <w:tc>
          <w:tcPr>
            <w:tcW w:type="dxa" w:w="28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CPA-301 Contabilidad Internacional</w:t>
            </w:r>
          </w:p>
        </w:tc>
        <w:tc>
          <w:tcPr>
            <w:tcW w:type="dxa" w:w="100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Por</w:t>
            </w:r>
          </w:p>
        </w:tc>
        <w:tc>
          <w:tcPr>
            <w:tcW w:type="dxa" w:w="28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CPA-301 Contabilidad Internacional</w:t>
            </w:r>
          </w:p>
        </w:tc>
        <w:tc>
          <w:tcPr>
            <w:tcW w:type="dxa" w:w="22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Homologación directa</w:t>
            </w:r>
          </w:p>
        </w:tc>
      </w:tr>
      <w:tr>
        <w:tc>
          <w:tcPr>
            <w:tcW w:type="dxa" w:w="28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CPA-302 Contabilidad de Costos y Gestión</w:t>
            </w:r>
          </w:p>
        </w:tc>
        <w:tc>
          <w:tcPr>
            <w:tcW w:type="dxa" w:w="100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Por</w:t>
            </w:r>
          </w:p>
        </w:tc>
        <w:tc>
          <w:tcPr>
            <w:tcW w:type="dxa" w:w="28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CPA-302 Contabilidad de Costos y Gestión</w:t>
            </w:r>
          </w:p>
        </w:tc>
        <w:tc>
          <w:tcPr>
            <w:tcW w:type="dxa" w:w="22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Homologación directa</w:t>
            </w:r>
          </w:p>
        </w:tc>
      </w:tr>
      <w:tr>
        <w:tc>
          <w:tcPr>
            <w:tcW w:type="dxa" w:w="28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CPA-303 Contabilidad de Bancos y Entidades Financieras</w:t>
            </w:r>
          </w:p>
        </w:tc>
        <w:tc>
          <w:tcPr>
            <w:tcW w:type="dxa" w:w="100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Por</w:t>
            </w:r>
          </w:p>
        </w:tc>
        <w:tc>
          <w:tcPr>
            <w:tcW w:type="dxa" w:w="28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CPA-303 Contabilidad de Bancos y Entidades Financieras</w:t>
            </w:r>
          </w:p>
        </w:tc>
        <w:tc>
          <w:tcPr>
            <w:tcW w:type="dxa" w:w="22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Homologación directa</w:t>
            </w:r>
          </w:p>
        </w:tc>
      </w:tr>
      <w:tr>
        <w:tc>
          <w:tcPr>
            <w:tcW w:type="dxa" w:w="28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CPA-304 Contabilidad y Presupuesto Gubernamental</w:t>
            </w:r>
          </w:p>
        </w:tc>
        <w:tc>
          <w:tcPr>
            <w:tcW w:type="dxa" w:w="100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Por</w:t>
            </w:r>
          </w:p>
        </w:tc>
        <w:tc>
          <w:tcPr>
            <w:tcW w:type="dxa" w:w="28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CPA-304 Contabilidad y Presupuesto Gubernamental</w:t>
            </w:r>
          </w:p>
        </w:tc>
        <w:tc>
          <w:tcPr>
            <w:tcW w:type="dxa" w:w="22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Homologación directa</w:t>
            </w:r>
          </w:p>
        </w:tc>
      </w:tr>
      <w:tr>
        <w:tc>
          <w:tcPr>
            <w:tcW w:type="dxa" w:w="28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CPA-305 Sistemas de Información</w:t>
            </w:r>
          </w:p>
        </w:tc>
        <w:tc>
          <w:tcPr>
            <w:tcW w:type="dxa" w:w="100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Por</w:t>
            </w:r>
          </w:p>
        </w:tc>
        <w:tc>
          <w:tcPr>
            <w:tcW w:type="dxa" w:w="28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CPA-102 Tecnologías de Información y Herramientas Digitales</w:t>
            </w:r>
          </w:p>
        </w:tc>
        <w:tc>
          <w:tcPr>
            <w:tcW w:type="dxa" w:w="22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Convalidación y Actualización Tecnológica</w:t>
            </w:r>
          </w:p>
        </w:tc>
      </w:tr>
      <w:tr>
        <w:tc>
          <w:tcPr>
            <w:tcW w:type="dxa" w:w="28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ADM-301 Desarrollo Organizacional y Comportamiento Organizacional</w:t>
            </w:r>
          </w:p>
        </w:tc>
        <w:tc>
          <w:tcPr>
            <w:tcW w:type="dxa" w:w="100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Por</w:t>
            </w:r>
          </w:p>
        </w:tc>
        <w:tc>
          <w:tcPr>
            <w:tcW w:type="dxa" w:w="28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ADM-301 Desarrollo Organizacional y Comportamiento Organizacional</w:t>
            </w:r>
          </w:p>
        </w:tc>
        <w:tc>
          <w:tcPr>
            <w:tcW w:type="dxa" w:w="22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Homologación directa</w:t>
            </w:r>
          </w:p>
        </w:tc>
      </w:tr>
      <w:tr>
        <w:tc>
          <w:tcPr>
            <w:tcW w:type="dxa" w:w="28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ECO-301 Preparación y Evaluación de Proyectos</w:t>
            </w:r>
          </w:p>
        </w:tc>
        <w:tc>
          <w:tcPr>
            <w:tcW w:type="dxa" w:w="100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Por</w:t>
            </w:r>
          </w:p>
        </w:tc>
        <w:tc>
          <w:tcPr>
            <w:tcW w:type="dxa" w:w="28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ECO-301 Preparación y Evaluación de Proyectos</w:t>
            </w:r>
          </w:p>
        </w:tc>
        <w:tc>
          <w:tcPr>
            <w:tcW w:type="dxa" w:w="22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Homologación directa</w:t>
            </w:r>
          </w:p>
        </w:tc>
      </w:tr>
      <w:tr>
        <w:tc>
          <w:tcPr>
            <w:tcW w:type="dxa" w:w="28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MAT-301 Estadística</w:t>
            </w:r>
          </w:p>
        </w:tc>
        <w:tc>
          <w:tcPr>
            <w:tcW w:type="dxa" w:w="100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Por</w:t>
            </w:r>
          </w:p>
        </w:tc>
        <w:tc>
          <w:tcPr>
            <w:tcW w:type="dxa" w:w="28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MAT-301 Estadística</w:t>
            </w:r>
          </w:p>
        </w:tc>
        <w:tc>
          <w:tcPr>
            <w:tcW w:type="dxa" w:w="22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Homologación directa</w:t>
            </w:r>
          </w:p>
        </w:tc>
      </w:tr>
      <w:tr>
        <w:tc>
          <w:tcPr>
            <w:tcW w:type="dxa" w:w="28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MAT-302 Matemáticas Actuariales</w:t>
            </w:r>
          </w:p>
        </w:tc>
        <w:tc>
          <w:tcPr>
            <w:tcW w:type="dxa" w:w="100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Por</w:t>
            </w:r>
          </w:p>
        </w:tc>
        <w:tc>
          <w:tcPr>
            <w:tcW w:type="dxa" w:w="28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MAT-401 Matemáticas Actuariales y Técnicas</w:t>
            </w:r>
          </w:p>
          <w:p>
            <w:pPr>
              <w:spacing w:before="0" w:after="0" w:line="240" w:lineRule="auto"/>
              <w:jc w:val="left"/>
            </w:pPr>
            <w:r>
              <w:rPr>
                <w:rFonts w:ascii="Century Gothic" w:hAnsi="Century Gothic" w:cs="Century Gothic" w:eastAsia="Century Gothic"/>
                <w:b w:val="0"/>
                <w:i w:val="0"/>
                <w:sz w:val="20"/>
              </w:rPr>
              <w:t>Financieras</w:t>
            </w:r>
          </w:p>
        </w:tc>
        <w:tc>
          <w:tcPr>
            <w:tcW w:type="dxa" w:w="22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Homologación por reubicación de nivel</w:t>
            </w:r>
          </w:p>
        </w:tc>
      </w:tr>
      <w:tr>
        <w:tc>
          <w:tcPr>
            <w:tcW w:type="dxa" w:w="28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i w:val="0"/>
                <w:sz w:val="20"/>
              </w:rPr>
              <w:t>CUARTO AÑO</w:t>
            </w:r>
          </w:p>
        </w:tc>
        <w:tc>
          <w:tcPr>
            <w:tcW w:type="dxa" w:w="100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p>
        </w:tc>
        <w:tc>
          <w:tcPr>
            <w:tcW w:type="dxa" w:w="28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p>
        </w:tc>
        <w:tc>
          <w:tcPr>
            <w:tcW w:type="dxa" w:w="22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p>
        </w:tc>
      </w:tr>
      <w:tr>
        <w:tc>
          <w:tcPr>
            <w:tcW w:type="dxa" w:w="28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CPA-401 Contabilidad Minera y Petrolera</w:t>
            </w:r>
          </w:p>
        </w:tc>
        <w:tc>
          <w:tcPr>
            <w:tcW w:type="dxa" w:w="100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Por</w:t>
            </w:r>
          </w:p>
        </w:tc>
        <w:tc>
          <w:tcPr>
            <w:tcW w:type="dxa" w:w="28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CPA-401 Contabilidad Minera y Petrolera</w:t>
            </w:r>
          </w:p>
        </w:tc>
        <w:tc>
          <w:tcPr>
            <w:tcW w:type="dxa" w:w="22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Homologación directa</w:t>
            </w:r>
          </w:p>
        </w:tc>
      </w:tr>
      <w:tr>
        <w:tc>
          <w:tcPr>
            <w:tcW w:type="dxa" w:w="28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CPA-402 Contabilidad Agrícola y</w:t>
            </w:r>
          </w:p>
        </w:tc>
        <w:tc>
          <w:tcPr>
            <w:tcW w:type="dxa" w:w="100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Por</w:t>
            </w:r>
          </w:p>
        </w:tc>
        <w:tc>
          <w:tcPr>
            <w:tcW w:type="dxa" w:w="28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CPA-402 Contabilidad Agrícola y</w:t>
            </w:r>
          </w:p>
        </w:tc>
        <w:tc>
          <w:tcPr>
            <w:tcW w:type="dxa" w:w="229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Homologación directa</w:t>
            </w:r>
          </w:p>
        </w:tc>
      </w:tr>
    </w:tbl>
    <w:p>
      <w:pPr>
        <w:spacing w:before="0" w:after="120" w:line="240" w:lineRule="auto"/>
        <w:jc w:val="left"/>
      </w:pPr>
    </w:p>
    <w:tbl>
      <w:tblPr>
        <w:tblW w:type="auto" w:w="0"/>
        <w:jc w:val="center"/>
        <w:tblLayout w:type="fixed"/>
        <w:tblLook w:firstColumn="1" w:firstRow="1" w:lastColumn="0" w:lastRow="0" w:noHBand="0" w:noVBand="1" w:val="04A0"/>
      </w:tblPr>
      <w:tblGrid>
        <w:gridCol w:w="2871"/>
        <w:gridCol w:w="1013"/>
        <w:gridCol w:w="2871"/>
        <w:gridCol w:w="2316"/>
      </w:tblGrid>
      <w:tr>
        <w:trPr>
          <w:tblHeader/>
        </w:trPr>
        <w:tc>
          <w:tcPr>
            <w:tcW w:type="dxa" w:w="2871"/>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Asignatura Plan de Estudios 2013</w:t>
            </w:r>
          </w:p>
        </w:tc>
        <w:tc>
          <w:tcPr>
            <w:tcW w:type="dxa" w:w="1013"/>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p>
        </w:tc>
        <w:tc>
          <w:tcPr>
            <w:tcW w:type="dxa" w:w="2871"/>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Asignatura Equivalente Plan de Estudios 2027</w:t>
            </w:r>
          </w:p>
        </w:tc>
        <w:tc>
          <w:tcPr>
            <w:tcW w:type="dxa" w:w="2316"/>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Mecanismo</w:t>
            </w:r>
          </w:p>
        </w:tc>
      </w:tr>
      <w:tr>
        <w:tc>
          <w:tcPr>
            <w:tcW w:type="dxa" w:w="287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Ganadera</w:t>
            </w:r>
          </w:p>
        </w:tc>
        <w:tc>
          <w:tcPr>
            <w:tcW w:type="dxa" w:w="101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p>
        </w:tc>
        <w:tc>
          <w:tcPr>
            <w:tcW w:type="dxa" w:w="287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Ganadera</w:t>
            </w:r>
          </w:p>
        </w:tc>
        <w:tc>
          <w:tcPr>
            <w:tcW w:type="dxa" w:w="231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p>
        </w:tc>
      </w:tr>
      <w:tr>
        <w:tc>
          <w:tcPr>
            <w:tcW w:type="dxa" w:w="287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CPA-403 Contabilidad del Seguro Privado y Seguro Social</w:t>
            </w:r>
          </w:p>
        </w:tc>
        <w:tc>
          <w:tcPr>
            <w:tcW w:type="dxa" w:w="101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Por</w:t>
            </w:r>
          </w:p>
        </w:tc>
        <w:tc>
          <w:tcPr>
            <w:tcW w:type="dxa" w:w="287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CPA-403 Contabilidad de Seguros: Privado y Social</w:t>
            </w:r>
          </w:p>
        </w:tc>
        <w:tc>
          <w:tcPr>
            <w:tcW w:type="dxa" w:w="231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Homologación directa</w:t>
            </w:r>
          </w:p>
        </w:tc>
      </w:tr>
      <w:tr>
        <w:tc>
          <w:tcPr>
            <w:tcW w:type="dxa" w:w="287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CPA-404 Sistemas de Contabilidad Automatizados</w:t>
            </w:r>
          </w:p>
        </w:tc>
        <w:tc>
          <w:tcPr>
            <w:tcW w:type="dxa" w:w="101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Por</w:t>
            </w:r>
          </w:p>
        </w:tc>
        <w:tc>
          <w:tcPr>
            <w:tcW w:type="dxa" w:w="287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CPA-305 Sistemas Contables ERP y Análisis de Datos</w:t>
            </w:r>
          </w:p>
        </w:tc>
        <w:tc>
          <w:tcPr>
            <w:tcW w:type="dxa" w:w="231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Convalidación y actualización tecnológica</w:t>
            </w:r>
          </w:p>
        </w:tc>
      </w:tr>
      <w:tr>
        <w:tc>
          <w:tcPr>
            <w:tcW w:type="dxa" w:w="287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CPA-405 Diseño e Implantación de Sistemas de Contabilidad</w:t>
            </w:r>
          </w:p>
        </w:tc>
        <w:tc>
          <w:tcPr>
            <w:tcW w:type="dxa" w:w="101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Por</w:t>
            </w:r>
          </w:p>
        </w:tc>
        <w:tc>
          <w:tcPr>
            <w:tcW w:type="dxa" w:w="287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CPA-404 Diseño e Implantación de Sistemas de Contabilidad</w:t>
            </w:r>
          </w:p>
        </w:tc>
        <w:tc>
          <w:tcPr>
            <w:tcW w:type="dxa" w:w="231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Homologación directa</w:t>
            </w:r>
          </w:p>
        </w:tc>
      </w:tr>
      <w:tr>
        <w:tc>
          <w:tcPr>
            <w:tcW w:type="dxa" w:w="287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CPA-406 Finanzas y Finanzas Corporativas</w:t>
            </w:r>
          </w:p>
        </w:tc>
        <w:tc>
          <w:tcPr>
            <w:tcW w:type="dxa" w:w="101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Por</w:t>
            </w:r>
          </w:p>
        </w:tc>
        <w:tc>
          <w:tcPr>
            <w:tcW w:type="dxa" w:w="287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CPA-405 Finanzas Corporativas</w:t>
            </w:r>
          </w:p>
        </w:tc>
        <w:tc>
          <w:tcPr>
            <w:tcW w:type="dxa" w:w="231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Homologación directa</w:t>
            </w:r>
          </w:p>
        </w:tc>
      </w:tr>
      <w:tr>
        <w:tc>
          <w:tcPr>
            <w:tcW w:type="dxa" w:w="287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CPA-407 Auditoría Financiera</w:t>
            </w:r>
          </w:p>
        </w:tc>
        <w:tc>
          <w:tcPr>
            <w:tcW w:type="dxa" w:w="101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Por</w:t>
            </w:r>
          </w:p>
        </w:tc>
        <w:tc>
          <w:tcPr>
            <w:tcW w:type="dxa" w:w="287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CPA-407 Auditoría Financiera</w:t>
            </w:r>
          </w:p>
        </w:tc>
        <w:tc>
          <w:tcPr>
            <w:tcW w:type="dxa" w:w="231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Homologación directa</w:t>
            </w:r>
          </w:p>
        </w:tc>
      </w:tr>
      <w:tr>
        <w:tc>
          <w:tcPr>
            <w:tcW w:type="dxa" w:w="287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CPA-408 Auditoría Interna, Control Interno y Gestión de Riesgos</w:t>
            </w:r>
          </w:p>
        </w:tc>
        <w:tc>
          <w:tcPr>
            <w:tcW w:type="dxa" w:w="101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Por</w:t>
            </w:r>
          </w:p>
        </w:tc>
        <w:tc>
          <w:tcPr>
            <w:tcW w:type="dxa" w:w="287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CPA-408 Auditoría Interna, Control Interno y Gestión de Riesgos</w:t>
            </w:r>
          </w:p>
        </w:tc>
        <w:tc>
          <w:tcPr>
            <w:tcW w:type="dxa" w:w="231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Homologación directa</w:t>
            </w:r>
          </w:p>
        </w:tc>
      </w:tr>
      <w:tr>
        <w:tc>
          <w:tcPr>
            <w:tcW w:type="dxa" w:w="287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i w:val="0"/>
                <w:sz w:val="20"/>
              </w:rPr>
              <w:t>QUINTO AÑO</w:t>
            </w:r>
          </w:p>
        </w:tc>
        <w:tc>
          <w:tcPr>
            <w:tcW w:type="dxa" w:w="101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p>
        </w:tc>
        <w:tc>
          <w:tcPr>
            <w:tcW w:type="dxa" w:w="287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p>
        </w:tc>
        <w:tc>
          <w:tcPr>
            <w:tcW w:type="dxa" w:w="231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p>
        </w:tc>
      </w:tr>
      <w:tr>
        <w:tc>
          <w:tcPr>
            <w:tcW w:type="dxa" w:w="287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CPA-501 Auditoría Operativa</w:t>
            </w:r>
          </w:p>
        </w:tc>
        <w:tc>
          <w:tcPr>
            <w:tcW w:type="dxa" w:w="101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Por</w:t>
            </w:r>
          </w:p>
        </w:tc>
        <w:tc>
          <w:tcPr>
            <w:tcW w:type="dxa" w:w="287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CPA-501 Auditoría Operativa</w:t>
            </w:r>
          </w:p>
        </w:tc>
        <w:tc>
          <w:tcPr>
            <w:tcW w:type="dxa" w:w="231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Homologación directa</w:t>
            </w:r>
          </w:p>
        </w:tc>
      </w:tr>
      <w:tr>
        <w:tc>
          <w:tcPr>
            <w:tcW w:type="dxa" w:w="287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CPA-502 Gabinete de Auditoría Financiera</w:t>
            </w:r>
          </w:p>
        </w:tc>
        <w:tc>
          <w:tcPr>
            <w:tcW w:type="dxa" w:w="101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Por</w:t>
            </w:r>
          </w:p>
        </w:tc>
        <w:tc>
          <w:tcPr>
            <w:tcW w:type="dxa" w:w="287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CPA-502 Gabinete de Auditoría Financiera</w:t>
            </w:r>
          </w:p>
        </w:tc>
        <w:tc>
          <w:tcPr>
            <w:tcW w:type="dxa" w:w="231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Homologación directa</w:t>
            </w:r>
          </w:p>
        </w:tc>
      </w:tr>
      <w:tr>
        <w:tc>
          <w:tcPr>
            <w:tcW w:type="dxa" w:w="287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CPA-503 Gabinete de Auditoría Tributaria</w:t>
            </w:r>
          </w:p>
        </w:tc>
        <w:tc>
          <w:tcPr>
            <w:tcW w:type="dxa" w:w="101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Por</w:t>
            </w:r>
          </w:p>
        </w:tc>
        <w:tc>
          <w:tcPr>
            <w:tcW w:type="dxa" w:w="287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CPA-503 Auditoría Tributaria</w:t>
            </w:r>
          </w:p>
        </w:tc>
        <w:tc>
          <w:tcPr>
            <w:tcW w:type="dxa" w:w="231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Homologación directa</w:t>
            </w:r>
          </w:p>
        </w:tc>
      </w:tr>
      <w:tr>
        <w:tc>
          <w:tcPr>
            <w:tcW w:type="dxa" w:w="287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CPA-504 Gabinete de Auditoría Gubernamental</w:t>
            </w:r>
          </w:p>
        </w:tc>
        <w:tc>
          <w:tcPr>
            <w:tcW w:type="dxa" w:w="101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Por</w:t>
            </w:r>
          </w:p>
        </w:tc>
        <w:tc>
          <w:tcPr>
            <w:tcW w:type="dxa" w:w="287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CPA-504 Auditoría Gubernamental</w:t>
            </w:r>
          </w:p>
        </w:tc>
        <w:tc>
          <w:tcPr>
            <w:tcW w:type="dxa" w:w="231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Homologación directa</w:t>
            </w:r>
          </w:p>
        </w:tc>
      </w:tr>
      <w:tr>
        <w:tc>
          <w:tcPr>
            <w:tcW w:type="dxa" w:w="287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CPA-505 Gabinete de Auditoría de Sistemas</w:t>
            </w:r>
          </w:p>
        </w:tc>
        <w:tc>
          <w:tcPr>
            <w:tcW w:type="dxa" w:w="101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Por</w:t>
            </w:r>
          </w:p>
        </w:tc>
        <w:tc>
          <w:tcPr>
            <w:tcW w:type="dxa" w:w="287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CPA-505 Auditoría Digital,</w:t>
            </w:r>
          </w:p>
          <w:p>
            <w:pPr>
              <w:spacing w:before="0" w:after="0" w:line="240" w:lineRule="auto"/>
              <w:jc w:val="left"/>
            </w:pPr>
            <w:r>
              <w:rPr>
                <w:rFonts w:ascii="Century Gothic" w:hAnsi="Century Gothic" w:cs="Century Gothic" w:eastAsia="Century Gothic"/>
                <w:b w:val="0"/>
                <w:i w:val="0"/>
                <w:sz w:val="20"/>
              </w:rPr>
              <w:t>Ciberseguridad y Tecnologías Emergentes</w:t>
            </w:r>
          </w:p>
        </w:tc>
        <w:tc>
          <w:tcPr>
            <w:tcW w:type="dxa" w:w="231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Convalidación y</w:t>
            </w:r>
          </w:p>
          <w:p>
            <w:pPr>
              <w:spacing w:before="0" w:after="0" w:line="240" w:lineRule="auto"/>
              <w:jc w:val="left"/>
            </w:pPr>
            <w:r>
              <w:rPr>
                <w:rFonts w:ascii="Century Gothic" w:hAnsi="Century Gothic" w:cs="Century Gothic" w:eastAsia="Century Gothic"/>
                <w:b w:val="0"/>
                <w:i w:val="0"/>
                <w:sz w:val="20"/>
              </w:rPr>
              <w:t>actualización tecnológica</w:t>
            </w:r>
          </w:p>
        </w:tc>
      </w:tr>
      <w:tr>
        <w:tc>
          <w:tcPr>
            <w:tcW w:type="dxa" w:w="287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CPA-506 Gabinete de Auditoría Ambiental</w:t>
            </w:r>
          </w:p>
        </w:tc>
        <w:tc>
          <w:tcPr>
            <w:tcW w:type="dxa" w:w="101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Por</w:t>
            </w:r>
          </w:p>
        </w:tc>
        <w:tc>
          <w:tcPr>
            <w:tcW w:type="dxa" w:w="287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CPA-506 Reportes y</w:t>
            </w:r>
          </w:p>
          <w:p>
            <w:pPr>
              <w:spacing w:before="0" w:after="0" w:line="240" w:lineRule="auto"/>
              <w:jc w:val="left"/>
            </w:pPr>
            <w:r>
              <w:rPr>
                <w:rFonts w:ascii="Century Gothic" w:hAnsi="Century Gothic" w:cs="Century Gothic" w:eastAsia="Century Gothic"/>
                <w:b w:val="0"/>
                <w:i w:val="0"/>
                <w:sz w:val="20"/>
              </w:rPr>
              <w:t>Aseguramiento de Sostenibilidad y Auditoría Ambiental</w:t>
            </w:r>
          </w:p>
        </w:tc>
        <w:tc>
          <w:tcPr>
            <w:tcW w:type="dxa" w:w="231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Convalidación y Actualización Normativa</w:t>
            </w:r>
          </w:p>
        </w:tc>
      </w:tr>
      <w:tr>
        <w:tc>
          <w:tcPr>
            <w:tcW w:type="dxa" w:w="287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CPA-507 Gabinete de Auditoría de Proyectos</w:t>
            </w:r>
          </w:p>
        </w:tc>
        <w:tc>
          <w:tcPr>
            <w:tcW w:type="dxa" w:w="101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Por</w:t>
            </w:r>
          </w:p>
        </w:tc>
        <w:tc>
          <w:tcPr>
            <w:tcW w:type="dxa" w:w="287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CPA-507 Auditoría de Proyectos: Público y Privado</w:t>
            </w:r>
          </w:p>
        </w:tc>
        <w:tc>
          <w:tcPr>
            <w:tcW w:type="dxa" w:w="231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Homologación directa</w:t>
            </w:r>
          </w:p>
        </w:tc>
      </w:tr>
      <w:tr>
        <w:tc>
          <w:tcPr>
            <w:tcW w:type="dxa" w:w="287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CPA-508 Gabinete de Auditoría Forense</w:t>
            </w:r>
          </w:p>
        </w:tc>
        <w:tc>
          <w:tcPr>
            <w:tcW w:type="dxa" w:w="101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Por</w:t>
            </w:r>
          </w:p>
        </w:tc>
        <w:tc>
          <w:tcPr>
            <w:tcW w:type="dxa" w:w="287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CPA-508 Auditoría Forense, Peritaje y Prevención de Delitos</w:t>
            </w:r>
          </w:p>
          <w:p>
            <w:pPr>
              <w:spacing w:before="0" w:after="0" w:line="240" w:lineRule="auto"/>
              <w:jc w:val="left"/>
            </w:pPr>
            <w:r>
              <w:rPr>
                <w:rFonts w:ascii="Century Gothic" w:hAnsi="Century Gothic" w:cs="Century Gothic" w:eastAsia="Century Gothic"/>
                <w:b w:val="0"/>
                <w:i w:val="0"/>
                <w:sz w:val="20"/>
              </w:rPr>
              <w:t>Económicos</w:t>
            </w:r>
          </w:p>
        </w:tc>
        <w:tc>
          <w:tcPr>
            <w:tcW w:type="dxa" w:w="231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Homologación de cátedra</w:t>
            </w:r>
          </w:p>
        </w:tc>
      </w:tr>
      <w:tr>
        <w:tc>
          <w:tcPr>
            <w:tcW w:type="dxa" w:w="287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CPA-509 Gabinete de Auditoría de Entidades Financieras</w:t>
            </w:r>
          </w:p>
        </w:tc>
        <w:tc>
          <w:tcPr>
            <w:tcW w:type="dxa" w:w="101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Por</w:t>
            </w:r>
          </w:p>
        </w:tc>
        <w:tc>
          <w:tcPr>
            <w:tcW w:type="dxa" w:w="287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CPA-509 Auditoría de Entidades Financieras y Servicios</w:t>
            </w:r>
          </w:p>
          <w:p>
            <w:pPr>
              <w:spacing w:before="0" w:after="0" w:line="240" w:lineRule="auto"/>
              <w:jc w:val="left"/>
            </w:pPr>
            <w:r>
              <w:rPr>
                <w:rFonts w:ascii="Century Gothic" w:hAnsi="Century Gothic" w:cs="Century Gothic" w:eastAsia="Century Gothic"/>
                <w:b w:val="0"/>
                <w:i w:val="0"/>
                <w:sz w:val="20"/>
              </w:rPr>
              <w:t>Relacionados</w:t>
            </w:r>
          </w:p>
        </w:tc>
        <w:tc>
          <w:tcPr>
            <w:tcW w:type="dxa" w:w="231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Homologación directa</w:t>
            </w:r>
          </w:p>
        </w:tc>
      </w:tr>
      <w:tr>
        <w:tc>
          <w:tcPr>
            <w:tcW w:type="dxa" w:w="287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CPA-510 Ética Profesional</w:t>
            </w:r>
          </w:p>
        </w:tc>
        <w:tc>
          <w:tcPr>
            <w:tcW w:type="dxa" w:w="101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Por</w:t>
            </w:r>
          </w:p>
        </w:tc>
        <w:tc>
          <w:tcPr>
            <w:tcW w:type="dxa" w:w="287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CPA-406 Ética e Independencia Profesional</w:t>
            </w:r>
          </w:p>
        </w:tc>
        <w:tc>
          <w:tcPr>
            <w:tcW w:type="dxa" w:w="231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Homologación por reubicación de nivel</w:t>
            </w:r>
          </w:p>
        </w:tc>
      </w:tr>
      <w:tr>
        <w:tc>
          <w:tcPr>
            <w:tcW w:type="dxa" w:w="287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CPA-511 Seminario de Grado</w:t>
            </w:r>
          </w:p>
        </w:tc>
        <w:tc>
          <w:tcPr>
            <w:tcW w:type="dxa" w:w="101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Por</w:t>
            </w:r>
          </w:p>
        </w:tc>
        <w:tc>
          <w:tcPr>
            <w:tcW w:type="dxa" w:w="287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CPA-510 Taller de Grado</w:t>
            </w:r>
          </w:p>
        </w:tc>
        <w:tc>
          <w:tcPr>
            <w:tcW w:type="dxa" w:w="231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Homologación directa</w:t>
            </w:r>
          </w:p>
        </w:tc>
      </w:tr>
    </w:tbl>
    <w:p>
      <w:pPr>
        <w:spacing w:before="0" w:after="120" w:line="240" w:lineRule="auto"/>
        <w:jc w:val="left"/>
      </w:pPr>
    </w:p>
    <w:p>
      <w:pPr>
        <w:keepNext/>
        <w:tabs>
          <w:tab w:pos="709" w:val="left"/>
        </w:tabs>
        <w:spacing w:before="120" w:after="200" w:line="240" w:lineRule="auto"/>
        <w:ind w:left="709" w:hanging="709"/>
        <w:jc w:val="left"/>
      </w:pPr>
      <w:r>
        <w:rPr>
          <w:rFonts w:ascii="Century Gothic" w:hAnsi="Century Gothic" w:cs="Century Gothic" w:eastAsia="Century Gothic"/>
          <w:b/>
          <w:i w:val="0"/>
          <w:sz w:val="24"/>
        </w:rPr>
        <w:t>16.2</w:t>
        <w:tab/>
      </w:r>
      <w:r>
        <w:rPr>
          <w:rFonts w:ascii="Century Gothic" w:hAnsi="Century Gothic" w:cs="Century Gothic" w:eastAsia="Century Gothic"/>
          <w:b/>
          <w:i w:val="0"/>
          <w:sz w:val="24"/>
        </w:rPr>
        <w:t>Plan de implementación</w:t>
      </w:r>
    </w:p>
    <w:p>
      <w:pPr>
        <w:keepNext/>
        <w:tabs>
          <w:tab w:pos="992" w:val="left"/>
        </w:tabs>
        <w:spacing w:before="80" w:after="200" w:line="240" w:lineRule="auto"/>
        <w:ind w:left="992" w:hanging="992"/>
        <w:jc w:val="left"/>
      </w:pPr>
      <w:r>
        <w:rPr>
          <w:rFonts w:ascii="Century Gothic" w:hAnsi="Century Gothic" w:cs="Century Gothic" w:eastAsia="Century Gothic"/>
          <w:b/>
          <w:i w:val="0"/>
          <w:sz w:val="22"/>
        </w:rPr>
        <w:t>16.2.1</w:t>
        <w:tab/>
      </w:r>
      <w:r>
        <w:rPr>
          <w:rFonts w:ascii="Century Gothic" w:hAnsi="Century Gothic" w:cs="Century Gothic" w:eastAsia="Century Gothic"/>
          <w:b/>
          <w:i w:val="0"/>
          <w:sz w:val="22"/>
        </w:rPr>
        <w:t>Cronograma de Implementación y Disposiciones Transitorias</w:t>
      </w:r>
    </w:p>
    <w:p>
      <w:pPr>
        <w:spacing w:before="0" w:after="200" w:line="240" w:lineRule="auto"/>
        <w:jc w:val="both"/>
      </w:pPr>
      <w:r>
        <w:rPr>
          <w:rFonts w:ascii="Century Gothic" w:hAnsi="Century Gothic" w:cs="Century Gothic" w:eastAsia="Century Gothic"/>
          <w:b/>
          <w:i w:val="0"/>
          <w:sz w:val="20"/>
        </w:rPr>
        <w:t>Gestión 2027 (Año de Inicio):</w:t>
      </w:r>
      <w:r>
        <w:rPr>
          <w:rFonts w:ascii="Century Gothic" w:hAnsi="Century Gothic" w:cs="Century Gothic" w:eastAsia="Century Gothic"/>
          <w:b w:val="0"/>
          <w:i w:val="0"/>
          <w:sz w:val="20"/>
        </w:rPr>
        <w:t xml:space="preserve"> Puesta en marcha oficial de </w:t>
      </w:r>
      <w:r>
        <w:rPr>
          <w:rFonts w:ascii="Century Gothic" w:hAnsi="Century Gothic" w:cs="Century Gothic" w:eastAsia="Century Gothic"/>
          <w:b/>
          <w:i w:val="0"/>
          <w:sz w:val="20"/>
        </w:rPr>
        <w:t>Primer Año</w:t>
      </w:r>
      <w:r>
        <w:rPr>
          <w:rFonts w:ascii="Century Gothic" w:hAnsi="Century Gothic" w:cs="Century Gothic" w:eastAsia="Century Gothic"/>
          <w:b w:val="0"/>
          <w:i w:val="0"/>
          <w:sz w:val="20"/>
        </w:rPr>
        <w:t xml:space="preserve"> del Plan de Estudios 2027. Cierre del ingreso de nuevos postulantes al Plan de Estudios 2013.</w:t>
      </w:r>
    </w:p>
    <w:p>
      <w:pPr>
        <w:spacing w:before="0" w:after="200" w:line="240" w:lineRule="auto"/>
        <w:jc w:val="both"/>
      </w:pPr>
      <w:r>
        <w:rPr>
          <w:rFonts w:ascii="Century Gothic" w:hAnsi="Century Gothic" w:cs="Century Gothic" w:eastAsia="Century Gothic"/>
          <w:b/>
          <w:i w:val="0"/>
          <w:sz w:val="20"/>
        </w:rPr>
        <w:t>Gestión 2028:</w:t>
      </w:r>
      <w:r>
        <w:rPr>
          <w:rFonts w:ascii="Century Gothic" w:hAnsi="Century Gothic" w:cs="Century Gothic" w:eastAsia="Century Gothic"/>
          <w:b w:val="0"/>
          <w:i w:val="0"/>
          <w:sz w:val="20"/>
        </w:rPr>
        <w:t xml:space="preserve"> Puesta en marcha de </w:t>
      </w:r>
      <w:r>
        <w:rPr>
          <w:rFonts w:ascii="Century Gothic" w:hAnsi="Century Gothic" w:cs="Century Gothic" w:eastAsia="Century Gothic"/>
          <w:b/>
          <w:i w:val="0"/>
          <w:sz w:val="20"/>
        </w:rPr>
        <w:t>Segundo Año</w:t>
      </w:r>
      <w:r>
        <w:rPr>
          <w:rFonts w:ascii="Century Gothic" w:hAnsi="Century Gothic" w:cs="Century Gothic" w:eastAsia="Century Gothic"/>
          <w:b w:val="0"/>
          <w:i w:val="0"/>
          <w:sz w:val="20"/>
        </w:rPr>
        <w:t xml:space="preserve"> del Plan de Estudios 2027. Extinción del Primer año del Plan de Estudios 2013.</w:t>
      </w:r>
    </w:p>
    <w:p>
      <w:pPr>
        <w:spacing w:before="0" w:after="200" w:line="240" w:lineRule="auto"/>
        <w:jc w:val="both"/>
      </w:pPr>
      <w:r>
        <w:rPr>
          <w:rFonts w:ascii="Century Gothic" w:hAnsi="Century Gothic" w:cs="Century Gothic" w:eastAsia="Century Gothic"/>
          <w:b/>
          <w:i w:val="0"/>
          <w:sz w:val="20"/>
        </w:rPr>
        <w:t>Gestión 2029:</w:t>
      </w:r>
      <w:r>
        <w:rPr>
          <w:rFonts w:ascii="Century Gothic" w:hAnsi="Century Gothic" w:cs="Century Gothic" w:eastAsia="Century Gothic"/>
          <w:b w:val="0"/>
          <w:i w:val="0"/>
          <w:sz w:val="20"/>
        </w:rPr>
        <w:t xml:space="preserve"> Puesta en marcha de </w:t>
      </w:r>
      <w:r>
        <w:rPr>
          <w:rFonts w:ascii="Century Gothic" w:hAnsi="Century Gothic" w:cs="Century Gothic" w:eastAsia="Century Gothic"/>
          <w:b/>
          <w:i w:val="0"/>
          <w:sz w:val="20"/>
        </w:rPr>
        <w:t>Tercer Año</w:t>
      </w:r>
      <w:r>
        <w:rPr>
          <w:rFonts w:ascii="Century Gothic" w:hAnsi="Century Gothic" w:cs="Century Gothic" w:eastAsia="Century Gothic"/>
          <w:b w:val="0"/>
          <w:i w:val="0"/>
          <w:sz w:val="20"/>
        </w:rPr>
        <w:t xml:space="preserve"> del Plan de Estudios 2027. Extinción del Segundo año del Plan de Estudios 2013. Habilitación de la salida intermedia de Técnico Superior en Contabilidad General.</w:t>
      </w:r>
    </w:p>
    <w:p>
      <w:pPr>
        <w:spacing w:before="0" w:after="200" w:line="240" w:lineRule="auto"/>
        <w:jc w:val="both"/>
      </w:pPr>
      <w:r>
        <w:rPr>
          <w:rFonts w:ascii="Century Gothic" w:hAnsi="Century Gothic" w:cs="Century Gothic" w:eastAsia="Century Gothic"/>
          <w:b/>
          <w:i w:val="0"/>
          <w:sz w:val="20"/>
        </w:rPr>
        <w:t>Gestión 2030:</w:t>
      </w:r>
      <w:r>
        <w:rPr>
          <w:rFonts w:ascii="Century Gothic" w:hAnsi="Century Gothic" w:cs="Century Gothic" w:eastAsia="Century Gothic"/>
          <w:b w:val="0"/>
          <w:i w:val="0"/>
          <w:sz w:val="20"/>
        </w:rPr>
        <w:t xml:space="preserve"> Puesta en marcha de </w:t>
      </w:r>
      <w:r>
        <w:rPr>
          <w:rFonts w:ascii="Century Gothic" w:hAnsi="Century Gothic" w:cs="Century Gothic" w:eastAsia="Century Gothic"/>
          <w:b/>
          <w:i w:val="0"/>
          <w:sz w:val="20"/>
        </w:rPr>
        <w:t>Cuarto Año</w:t>
      </w:r>
      <w:r>
        <w:rPr>
          <w:rFonts w:ascii="Century Gothic" w:hAnsi="Century Gothic" w:cs="Century Gothic" w:eastAsia="Century Gothic"/>
          <w:b w:val="0"/>
          <w:i w:val="0"/>
          <w:sz w:val="20"/>
        </w:rPr>
        <w:t xml:space="preserve"> del Plan de Estudios 2027. Extinción del Tercer año del Plan de Estudios 2013.</w:t>
      </w:r>
    </w:p>
    <w:p>
      <w:pPr>
        <w:spacing w:before="0" w:after="200" w:line="240" w:lineRule="auto"/>
        <w:jc w:val="both"/>
      </w:pPr>
      <w:r>
        <w:rPr>
          <w:rFonts w:ascii="Century Gothic" w:hAnsi="Century Gothic" w:cs="Century Gothic" w:eastAsia="Century Gothic"/>
          <w:b/>
          <w:i w:val="0"/>
          <w:sz w:val="20"/>
        </w:rPr>
        <w:t>Gestión 2031:</w:t>
      </w:r>
      <w:r>
        <w:rPr>
          <w:rFonts w:ascii="Century Gothic" w:hAnsi="Century Gothic" w:cs="Century Gothic" w:eastAsia="Century Gothic"/>
          <w:b w:val="0"/>
          <w:i w:val="0"/>
          <w:sz w:val="20"/>
        </w:rPr>
        <w:t xml:space="preserve"> Puesta en marcha de </w:t>
      </w:r>
      <w:r>
        <w:rPr>
          <w:rFonts w:ascii="Century Gothic" w:hAnsi="Century Gothic" w:cs="Century Gothic" w:eastAsia="Century Gothic"/>
          <w:b/>
          <w:i w:val="0"/>
          <w:sz w:val="20"/>
        </w:rPr>
        <w:t>Quinto Año</w:t>
      </w:r>
      <w:r>
        <w:rPr>
          <w:rFonts w:ascii="Century Gothic" w:hAnsi="Century Gothic" w:cs="Century Gothic" w:eastAsia="Century Gothic"/>
          <w:b w:val="0"/>
          <w:i w:val="0"/>
          <w:sz w:val="20"/>
        </w:rPr>
        <w:t xml:space="preserve"> del Plan de Estudios 2027 y </w:t>
      </w:r>
      <w:r>
        <w:rPr>
          <w:rFonts w:ascii="Century Gothic" w:hAnsi="Century Gothic" w:cs="Century Gothic" w:eastAsia="Century Gothic"/>
          <w:b/>
          <w:i w:val="0"/>
          <w:sz w:val="20"/>
        </w:rPr>
        <w:t>Taller de Grado (CPA-510)</w:t>
      </w:r>
      <w:r>
        <w:rPr>
          <w:rFonts w:ascii="Century Gothic" w:hAnsi="Century Gothic" w:cs="Century Gothic" w:eastAsia="Century Gothic"/>
          <w:b w:val="0"/>
          <w:i w:val="0"/>
          <w:sz w:val="20"/>
        </w:rPr>
        <w:t>. Cierre definitivo de la enseñanza lectiva presencial del Plan de Estudios 2013.</w:t>
      </w:r>
    </w:p>
    <w:p>
      <w:pPr>
        <w:spacing w:before="0" w:after="200" w:line="240" w:lineRule="auto"/>
        <w:jc w:val="both"/>
      </w:pPr>
      <w:r>
        <w:rPr>
          <w:rFonts w:ascii="Century Gothic" w:hAnsi="Century Gothic" w:cs="Century Gothic" w:eastAsia="Century Gothic"/>
          <w:b/>
          <w:i w:val="0"/>
          <w:sz w:val="20"/>
        </w:rPr>
        <w:t>Disposición Transitoria sobre Graduación:</w:t>
      </w:r>
      <w:r>
        <w:rPr>
          <w:rFonts w:ascii="Century Gothic" w:hAnsi="Century Gothic" w:cs="Century Gothic" w:eastAsia="Century Gothic"/>
          <w:b w:val="0"/>
          <w:i w:val="0"/>
          <w:sz w:val="20"/>
        </w:rPr>
        <w:t xml:space="preserve"> Los estudiantes que hayan egresado o completado el Plan de Estudios 2013 dispondrán de un plazo de hasta </w:t>
      </w:r>
      <w:r>
        <w:rPr>
          <w:rFonts w:ascii="Century Gothic" w:hAnsi="Century Gothic" w:cs="Century Gothic" w:eastAsia="Century Gothic"/>
          <w:b/>
          <w:i w:val="0"/>
          <w:sz w:val="20"/>
        </w:rPr>
        <w:t>3 años calendarios</w:t>
      </w:r>
      <w:r>
        <w:rPr>
          <w:rFonts w:ascii="Century Gothic" w:hAnsi="Century Gothic" w:cs="Century Gothic" w:eastAsia="Century Gothic"/>
          <w:b w:val="0"/>
          <w:i w:val="0"/>
          <w:sz w:val="20"/>
        </w:rPr>
        <w:t xml:space="preserve"> para concluir sus modalidades de graduación bajo la reglamentación del Plan de Estudios 2013. Pasado dicho lapso, deberán acogerse a los mecanismos de titulación del Plan de Estudios 2027 o al programa P.E.T.A.E.N.G.</w:t>
      </w:r>
    </w:p>
    <w:sectPr w:rsidR="00FC693F" w:rsidRPr="0006063C" w:rsidSect="00034616">
      <w:headerReference w:type="default" r:id="rId9"/>
      <w:footerReference w:type="default" r:id="rId10"/>
      <w:pgSz w:w="12240" w:h="15840"/>
      <w:pgMar w:top="1701" w:right="1134" w:bottom="1134" w:left="1701"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jc w:val="right"/>
    </w:pPr>
    <w:r>
      <w:rPr>
        <w:rFonts w:ascii="Century Gothic" w:hAnsi="Century Gothic" w:cs="Century Gothic" w:eastAsia="Century Gothic"/>
        <w:sz w:val="20"/>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jc w:val="center"/>
      <w:tblBorders>
        <w:top w:val="nil"/>
        <w:left w:val="nil"/>
        <w:bottom w:val="single" w:sz="6" w:space="0" w:color="000000"/>
        <w:right w:val="nil"/>
        <w:insideH w:val="nil"/>
        <w:insideV w:val="nil"/>
      </w:tblBorders>
      <w:tblLayout w:type="fixed"/>
      <w:tblLook w:firstColumn="1" w:firstRow="1" w:lastColumn="0" w:lastRow="0" w:noHBand="0" w:noVBand="1" w:val="04A0"/>
    </w:tblPr>
    <w:tblGrid>
      <w:gridCol w:w="1247"/>
      <w:gridCol w:w="6911"/>
      <w:gridCol w:w="1247"/>
    </w:tblGrid>
    <w:tr>
      <w:tc>
        <w:tcPr>
          <w:tcW w:type="dxa" w:w="1247"/>
          <w:vAlign w:val="center"/>
        </w:tcPr>
        <w:p>
          <w:pPr>
            <w:spacing w:before="0" w:after="40" w:line="240" w:lineRule="auto"/>
            <w:jc w:val="left"/>
          </w:pPr>
          <w:r>
            <w:drawing>
              <wp:inline xmlns:a="http://schemas.openxmlformats.org/drawingml/2006/main" xmlns:pic="http://schemas.openxmlformats.org/drawingml/2006/picture">
                <wp:extent cx="484248" cy="684000"/>
                <wp:docPr id="1" name="Picture 1"/>
                <wp:cNvGraphicFramePr>
                  <a:graphicFrameLocks noChangeAspect="1"/>
                </wp:cNvGraphicFramePr>
                <a:graphic>
                  <a:graphicData uri="http://schemas.openxmlformats.org/drawingml/2006/picture">
                    <pic:pic>
                      <pic:nvPicPr>
                        <pic:cNvPr id="0" name="logo_umsa.png"/>
                        <pic:cNvPicPr/>
                      </pic:nvPicPr>
                      <pic:blipFill>
                        <a:blip r:embed="rId1"/>
                        <a:stretch>
                          <a:fillRect/>
                        </a:stretch>
                      </pic:blipFill>
                      <pic:spPr>
                        <a:xfrm>
                          <a:off x="0" y="0"/>
                          <a:ext cx="484248" cy="684000"/>
                        </a:xfrm>
                        <a:prstGeom prst="rect"/>
                      </pic:spPr>
                    </pic:pic>
                  </a:graphicData>
                </a:graphic>
              </wp:inline>
            </w:drawing>
          </w:r>
        </w:p>
      </w:tc>
      <w:tc>
        <w:tcPr>
          <w:tcW w:type="dxa" w:w="6911"/>
          <w:vAlign w:val="center"/>
        </w:tcPr>
        <w:p>
          <w:pPr>
            <w:spacing w:before="0" w:after="0" w:line="240" w:lineRule="auto"/>
            <w:jc w:val="center"/>
          </w:pPr>
          <w:r>
            <w:rPr>
              <w:rFonts w:ascii="Century Gothic" w:hAnsi="Century Gothic" w:cs="Century Gothic" w:eastAsia="Century Gothic"/>
              <w:b/>
              <w:sz w:val="22"/>
            </w:rPr>
            <w:t>Universidad Mayor de “San Andrés”</w:t>
            <w:br/>
          </w:r>
          <w:r>
            <w:rPr>
              <w:rFonts w:ascii="Century Gothic" w:hAnsi="Century Gothic" w:cs="Century Gothic" w:eastAsia="Century Gothic"/>
              <w:b/>
              <w:sz w:val="22"/>
            </w:rPr>
            <w:t>Facultad de Ciencias Económicas y Financieras</w:t>
            <w:br/>
          </w:r>
          <w:r>
            <w:rPr>
              <w:rFonts w:ascii="Century Gothic" w:hAnsi="Century Gothic" w:cs="Century Gothic" w:eastAsia="Century Gothic"/>
              <w:b/>
              <w:sz w:val="22"/>
            </w:rPr>
            <w:t>Carrera Contaduría Pública</w:t>
          </w:r>
        </w:p>
      </w:tc>
      <w:tc>
        <w:tcPr>
          <w:tcW w:type="dxa" w:w="1247"/>
          <w:vAlign w:val="center"/>
        </w:tcPr>
        <w:p>
          <w:pPr>
            <w:spacing w:before="0" w:after="40" w:line="240" w:lineRule="auto"/>
            <w:jc w:val="right"/>
          </w:pPr>
          <w:r>
            <w:drawing>
              <wp:inline xmlns:a="http://schemas.openxmlformats.org/drawingml/2006/main" xmlns:pic="http://schemas.openxmlformats.org/drawingml/2006/picture">
                <wp:extent cx="445846" cy="684000"/>
                <wp:docPr id="2" name="Picture 2"/>
                <wp:cNvGraphicFramePr>
                  <a:graphicFrameLocks noChangeAspect="1"/>
                </wp:cNvGraphicFramePr>
                <a:graphic>
                  <a:graphicData uri="http://schemas.openxmlformats.org/drawingml/2006/picture">
                    <pic:pic>
                      <pic:nvPicPr>
                        <pic:cNvPr id="0" name="logo_carrera.png"/>
                        <pic:cNvPicPr/>
                      </pic:nvPicPr>
                      <pic:blipFill>
                        <a:blip r:embed="rId2"/>
                        <a:stretch>
                          <a:fillRect/>
                        </a:stretch>
                      </pic:blipFill>
                      <pic:spPr>
                        <a:xfrm>
                          <a:off x="0" y="0"/>
                          <a:ext cx="445846" cy="684000"/>
                        </a:xfrm>
                        <a:prstGeom prst="rect"/>
                      </pic:spPr>
                    </pic:pic>
                  </a:graphicData>
                </a:graphic>
              </wp:inline>
            </w:drawing>
          </w:r>
        </w:p>
      </w:tc>
    </w:tr>
  </w:tbl>
  <w:p>
    <w:pPr>
      <w:spacing w:after="0"/>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00">
    <w:multiLevelType w:val="hybridMultilevel"/>
    <w:lvl w:ilvl="0">
      <w:start w:val="1"/>
      <w:numFmt w:val="bullet"/>
      <w:lvlText w:val=""/>
      <w:lvlJc w:val="left"/>
      <w:pPr>
        <w:ind w:left="357" w:hanging="357"/>
      </w:pPr>
      <w:rPr>
        <w:rFonts w:ascii="Wingdings" w:hAnsi="Wingdings" w:cs="Wingdings" w:hint="default"/>
        <w:sz w:val="20"/>
      </w:rPr>
    </w:lvl>
    <w:lvl w:ilvl="1">
      <w:start w:val="1"/>
      <w:numFmt w:val="bullet"/>
      <w:lvlText w:val="–"/>
      <w:lvlJc w:val="left"/>
      <w:pPr>
        <w:ind w:left="720" w:hanging="283"/>
      </w:pPr>
      <w:rPr>
        <w:rFonts w:ascii="Century Gothic" w:hAnsi="Century Gothic" w:cs="Century Gothic" w:hint="default"/>
        <w:sz w:val="20"/>
      </w:rPr>
    </w:lvl>
    <w:lvl w:ilvl="2">
      <w:start w:val="1"/>
      <w:numFmt w:val="bullet"/>
      <w:lvlText w:val="·"/>
      <w:lvlJc w:val="left"/>
      <w:pPr>
        <w:ind w:left="1077" w:hanging="283"/>
      </w:pPr>
      <w:rPr>
        <w:rFonts w:ascii="Symbol" w:hAnsi="Symbol" w:cs="Symbol" w:hint="default"/>
        <w:sz w:val="20"/>
      </w:rPr>
    </w:lvl>
  </w:abstractNum>
  <w:abstractNum w:abstractNumId="901">
    <w:multiLevelType w:val="hybridMultilevel"/>
    <w:lvl w:ilvl="0">
      <w:start w:val="1"/>
      <w:numFmt w:val="lowerLetter"/>
      <w:lvlText w:val="%1."/>
      <w:lvlJc w:val="left"/>
      <w:pPr>
        <w:ind w:left="357" w:hanging="357"/>
      </w:pPr>
      <w:rPr>
        <w:rFonts w:ascii="Century Gothic" w:hAnsi="Century Gothic" w:cs="Century Gothic" w:hint="default"/>
        <w:b/>
        <w:sz w:val="20"/>
      </w:rPr>
    </w:lvl>
    <w:lvl w:ilvl="1">
      <w:start w:val="1"/>
      <w:numFmt w:val="bullet"/>
      <w:lvlText w:val=""/>
      <w:lvlJc w:val="left"/>
      <w:pPr>
        <w:ind w:left="720" w:hanging="357"/>
      </w:pPr>
      <w:rPr>
        <w:rFonts w:ascii="Wingdings" w:hAnsi="Wingdings" w:cs="Wingdings" w:hint="default"/>
        <w:sz w:val="20"/>
      </w:rPr>
    </w:lvl>
    <w:lvl w:ilvl="2">
      <w:start w:val="1"/>
      <w:numFmt w:val="bullet"/>
      <w:lvlText w:val="–"/>
      <w:lvlJc w:val="left"/>
      <w:pPr>
        <w:ind w:left="1077" w:hanging="283"/>
      </w:pPr>
      <w:rPr>
        <w:rFonts w:ascii="Century Gothic" w:hAnsi="Century Gothic" w:cs="Century Gothic" w:hint="default"/>
        <w:sz w:val="20"/>
      </w:rPr>
    </w:lvl>
  </w:abstractNum>
  <w:abstractNum w:abstractNumId="902">
    <w:multiLevelType w:val="hybridMultilevel"/>
    <w:lvl w:ilvl="0">
      <w:start w:val="1"/>
      <w:numFmt w:val="decimal"/>
      <w:lvlText w:val="%1."/>
      <w:lvlJc w:val="left"/>
      <w:pPr>
        <w:ind w:left="357" w:hanging="357"/>
      </w:pPr>
      <w:rPr>
        <w:rFonts w:ascii="Century Gothic" w:hAnsi="Century Gothic" w:cs="Century Gothic" w:hint="default"/>
        <w:b/>
        <w:sz w:val="20"/>
      </w:rPr>
    </w:lvl>
    <w:lvl w:ilvl="1">
      <w:start w:val="1"/>
      <w:numFmt w:val="lowerLetter"/>
      <w:lvlText w:val="%2."/>
      <w:lvlJc w:val="left"/>
      <w:pPr>
        <w:ind w:left="720" w:hanging="357"/>
      </w:pPr>
      <w:rPr>
        <w:rFonts w:ascii="Century Gothic" w:hAnsi="Century Gothic" w:cs="Century Gothic" w:hint="default"/>
        <w:b/>
        <w:sz w:val="20"/>
      </w:rPr>
    </w:lvl>
    <w:lvl w:ilvl="2">
      <w:start w:val="1"/>
      <w:numFmt w:val="bullet"/>
      <w:lvlText w:val=""/>
      <w:lvlJc w:val="left"/>
      <w:pPr>
        <w:ind w:left="1077" w:hanging="283"/>
      </w:pPr>
      <w:rPr>
        <w:rFonts w:ascii="Wingdings" w:hAnsi="Wingdings" w:cs="Wingdings" w:hint="default"/>
        <w:sz w:val="20"/>
      </w:rPr>
    </w:lvl>
  </w:abstractNum>
  <w:abstractNum w:abstractNumId="903">
    <w:multiLevelType w:val="hybridMultilevel"/>
    <w:lvl w:ilvl="0">
      <w:start w:val="1"/>
      <w:numFmt w:val="bullet"/>
      <w:lvlText w:val=""/>
      <w:lvlJc w:val="left"/>
      <w:pPr>
        <w:ind w:left="357" w:hanging="357"/>
      </w:pPr>
      <w:rPr>
        <w:rFonts w:ascii="Wingdings" w:hAnsi="Wingdings" w:cs="Wingdings" w:hint="default"/>
        <w:sz w:val="20"/>
      </w:rPr>
    </w:lvl>
    <w:lvl w:ilvl="1">
      <w:start w:val="1"/>
      <w:numFmt w:val="bullet"/>
      <w:lvlText w:val="–"/>
      <w:lvlJc w:val="left"/>
      <w:pPr>
        <w:ind w:left="720" w:hanging="283"/>
      </w:pPr>
      <w:rPr>
        <w:rFonts w:ascii="Century Gothic" w:hAnsi="Century Gothic" w:cs="Century Gothic" w:hint="default"/>
        <w:sz w:val="20"/>
      </w:rPr>
    </w:lvl>
    <w:lvl w:ilvl="2">
      <w:start w:val="1"/>
      <w:numFmt w:val="bullet"/>
      <w:lvlText w:val="·"/>
      <w:lvlJc w:val="left"/>
      <w:pPr>
        <w:ind w:left="1077" w:hanging="283"/>
      </w:pPr>
      <w:rPr>
        <w:rFonts w:ascii="Symbol" w:hAnsi="Symbol" w:cs="Symbol" w:hint="default"/>
        <w:sz w:val="20"/>
      </w:rPr>
    </w:lvl>
  </w:abstractNum>
  <w:abstractNum w:abstractNumId="904">
    <w:multiLevelType w:val="hybridMultilevel"/>
    <w:lvl w:ilvl="0">
      <w:start w:val="1"/>
      <w:numFmt w:val="lowerLetter"/>
      <w:lvlText w:val="%1."/>
      <w:lvlJc w:val="left"/>
      <w:pPr>
        <w:ind w:left="357" w:hanging="357"/>
      </w:pPr>
      <w:rPr>
        <w:rFonts w:ascii="Century Gothic" w:hAnsi="Century Gothic" w:cs="Century Gothic" w:hint="default"/>
        <w:b/>
        <w:sz w:val="20"/>
      </w:rPr>
    </w:lvl>
    <w:lvl w:ilvl="1">
      <w:start w:val="1"/>
      <w:numFmt w:val="bullet"/>
      <w:lvlText w:val=""/>
      <w:lvlJc w:val="left"/>
      <w:pPr>
        <w:ind w:left="720" w:hanging="357"/>
      </w:pPr>
      <w:rPr>
        <w:rFonts w:ascii="Wingdings" w:hAnsi="Wingdings" w:cs="Wingdings" w:hint="default"/>
        <w:sz w:val="20"/>
      </w:rPr>
    </w:lvl>
    <w:lvl w:ilvl="2">
      <w:start w:val="1"/>
      <w:numFmt w:val="bullet"/>
      <w:lvlText w:val="–"/>
      <w:lvlJc w:val="left"/>
      <w:pPr>
        <w:ind w:left="1077" w:hanging="283"/>
      </w:pPr>
      <w:rPr>
        <w:rFonts w:ascii="Century Gothic" w:hAnsi="Century Gothic" w:cs="Century Gothic" w:hint="default"/>
        <w:sz w:val="20"/>
      </w:rPr>
    </w:lvl>
  </w:abstractNum>
  <w:abstractNum w:abstractNumId="905">
    <w:multiLevelType w:val="hybridMultilevel"/>
    <w:lvl w:ilvl="0">
      <w:start w:val="1"/>
      <w:numFmt w:val="decimal"/>
      <w:lvlText w:val="%1."/>
      <w:lvlJc w:val="left"/>
      <w:pPr>
        <w:ind w:left="357" w:hanging="357"/>
      </w:pPr>
      <w:rPr>
        <w:rFonts w:ascii="Century Gothic" w:hAnsi="Century Gothic" w:cs="Century Gothic" w:hint="default"/>
        <w:b/>
        <w:sz w:val="20"/>
      </w:rPr>
    </w:lvl>
    <w:lvl w:ilvl="1">
      <w:start w:val="1"/>
      <w:numFmt w:val="lowerLetter"/>
      <w:lvlText w:val="%2."/>
      <w:lvlJc w:val="left"/>
      <w:pPr>
        <w:ind w:left="720" w:hanging="357"/>
      </w:pPr>
      <w:rPr>
        <w:rFonts w:ascii="Century Gothic" w:hAnsi="Century Gothic" w:cs="Century Gothic" w:hint="default"/>
        <w:b/>
        <w:sz w:val="20"/>
      </w:rPr>
    </w:lvl>
    <w:lvl w:ilvl="2">
      <w:start w:val="1"/>
      <w:numFmt w:val="bullet"/>
      <w:lvlText w:val=""/>
      <w:lvlJc w:val="left"/>
      <w:pPr>
        <w:ind w:left="1077" w:hanging="283"/>
      </w:pPr>
      <w:rPr>
        <w:rFonts w:ascii="Wingdings" w:hAnsi="Wingdings" w:cs="Wingdings" w:hint="default"/>
        <w:sz w:val="20"/>
      </w:rPr>
    </w:lvl>
  </w:abstractNum>
  <w:abstractNum w:abstractNumId="906">
    <w:multiLevelType w:val="hybridMultilevel"/>
    <w:lvl w:ilvl="0">
      <w:start w:val="1"/>
      <w:numFmt w:val="bullet"/>
      <w:lvlText w:val=""/>
      <w:lvlJc w:val="left"/>
      <w:pPr>
        <w:ind w:left="357" w:hanging="357"/>
      </w:pPr>
      <w:rPr>
        <w:rFonts w:ascii="Wingdings" w:hAnsi="Wingdings" w:cs="Wingdings" w:hint="default"/>
        <w:sz w:val="20"/>
      </w:rPr>
    </w:lvl>
    <w:lvl w:ilvl="1">
      <w:start w:val="1"/>
      <w:numFmt w:val="bullet"/>
      <w:lvlText w:val="–"/>
      <w:lvlJc w:val="left"/>
      <w:pPr>
        <w:ind w:left="720" w:hanging="283"/>
      </w:pPr>
      <w:rPr>
        <w:rFonts w:ascii="Century Gothic" w:hAnsi="Century Gothic" w:cs="Century Gothic" w:hint="default"/>
        <w:sz w:val="20"/>
      </w:rPr>
    </w:lvl>
    <w:lvl w:ilvl="2">
      <w:start w:val="1"/>
      <w:numFmt w:val="bullet"/>
      <w:lvlText w:val="·"/>
      <w:lvlJc w:val="left"/>
      <w:pPr>
        <w:ind w:left="1077" w:hanging="283"/>
      </w:pPr>
      <w:rPr>
        <w:rFonts w:ascii="Symbol" w:hAnsi="Symbol" w:cs="Symbol" w:hint="default"/>
        <w:sz w:val="20"/>
      </w:rPr>
    </w:lvl>
  </w:abstractNum>
  <w:abstractNum w:abstractNumId="907">
    <w:multiLevelType w:val="hybridMultilevel"/>
    <w:lvl w:ilvl="0">
      <w:start w:val="1"/>
      <w:numFmt w:val="lowerLetter"/>
      <w:lvlText w:val="%1."/>
      <w:lvlJc w:val="left"/>
      <w:pPr>
        <w:ind w:left="357" w:hanging="357"/>
      </w:pPr>
      <w:rPr>
        <w:rFonts w:ascii="Century Gothic" w:hAnsi="Century Gothic" w:cs="Century Gothic" w:hint="default"/>
        <w:b/>
        <w:sz w:val="20"/>
      </w:rPr>
    </w:lvl>
    <w:lvl w:ilvl="1">
      <w:start w:val="1"/>
      <w:numFmt w:val="bullet"/>
      <w:lvlText w:val=""/>
      <w:lvlJc w:val="left"/>
      <w:pPr>
        <w:ind w:left="720" w:hanging="357"/>
      </w:pPr>
      <w:rPr>
        <w:rFonts w:ascii="Wingdings" w:hAnsi="Wingdings" w:cs="Wingdings" w:hint="default"/>
        <w:sz w:val="20"/>
      </w:rPr>
    </w:lvl>
    <w:lvl w:ilvl="2">
      <w:start w:val="1"/>
      <w:numFmt w:val="bullet"/>
      <w:lvlText w:val="–"/>
      <w:lvlJc w:val="left"/>
      <w:pPr>
        <w:ind w:left="1077" w:hanging="283"/>
      </w:pPr>
      <w:rPr>
        <w:rFonts w:ascii="Century Gothic" w:hAnsi="Century Gothic" w:cs="Century Gothic" w:hint="default"/>
        <w:sz w:val="20"/>
      </w:rPr>
    </w:lvl>
  </w:abstractNum>
  <w:abstractNum w:abstractNumId="908">
    <w:multiLevelType w:val="hybridMultilevel"/>
    <w:lvl w:ilvl="0">
      <w:start w:val="1"/>
      <w:numFmt w:val="decimal"/>
      <w:lvlText w:val="%1."/>
      <w:lvlJc w:val="left"/>
      <w:pPr>
        <w:ind w:left="357" w:hanging="357"/>
      </w:pPr>
      <w:rPr>
        <w:rFonts w:ascii="Century Gothic" w:hAnsi="Century Gothic" w:cs="Century Gothic" w:hint="default"/>
        <w:b/>
        <w:sz w:val="20"/>
      </w:rPr>
    </w:lvl>
    <w:lvl w:ilvl="1">
      <w:start w:val="1"/>
      <w:numFmt w:val="lowerLetter"/>
      <w:lvlText w:val="%2."/>
      <w:lvlJc w:val="left"/>
      <w:pPr>
        <w:ind w:left="720" w:hanging="357"/>
      </w:pPr>
      <w:rPr>
        <w:rFonts w:ascii="Century Gothic" w:hAnsi="Century Gothic" w:cs="Century Gothic" w:hint="default"/>
        <w:b/>
        <w:sz w:val="20"/>
      </w:rPr>
    </w:lvl>
    <w:lvl w:ilvl="2">
      <w:start w:val="1"/>
      <w:numFmt w:val="bullet"/>
      <w:lvlText w:val=""/>
      <w:lvlJc w:val="left"/>
      <w:pPr>
        <w:ind w:left="1077" w:hanging="283"/>
      </w:pPr>
      <w:rPr>
        <w:rFonts w:ascii="Wingdings" w:hAnsi="Wingdings" w:cs="Wingdings" w:hint="default"/>
        <w:sz w:val="20"/>
      </w:rPr>
    </w:lvl>
  </w:abstractNum>
  <w:abstractNum w:abstractNumId="909">
    <w:multiLevelType w:val="hybridMultilevel"/>
    <w:lvl w:ilvl="0">
      <w:start w:val="1"/>
      <w:numFmt w:val="bullet"/>
      <w:lvlText w:val=""/>
      <w:lvlJc w:val="left"/>
      <w:pPr>
        <w:ind w:left="357" w:hanging="357"/>
      </w:pPr>
      <w:rPr>
        <w:rFonts w:ascii="Wingdings" w:hAnsi="Wingdings" w:cs="Wingdings" w:hint="default"/>
        <w:sz w:val="20"/>
      </w:rPr>
    </w:lvl>
    <w:lvl w:ilvl="1">
      <w:start w:val="1"/>
      <w:numFmt w:val="bullet"/>
      <w:lvlText w:val="–"/>
      <w:lvlJc w:val="left"/>
      <w:pPr>
        <w:ind w:left="720" w:hanging="283"/>
      </w:pPr>
      <w:rPr>
        <w:rFonts w:ascii="Century Gothic" w:hAnsi="Century Gothic" w:cs="Century Gothic" w:hint="default"/>
        <w:sz w:val="20"/>
      </w:rPr>
    </w:lvl>
    <w:lvl w:ilvl="2">
      <w:start w:val="1"/>
      <w:numFmt w:val="bullet"/>
      <w:lvlText w:val="·"/>
      <w:lvlJc w:val="left"/>
      <w:pPr>
        <w:ind w:left="1077" w:hanging="283"/>
      </w:pPr>
      <w:rPr>
        <w:rFonts w:ascii="Symbol" w:hAnsi="Symbol" w:cs="Symbol" w:hint="default"/>
        <w:sz w:val="20"/>
      </w:rPr>
    </w:lvl>
  </w:abstractNum>
  <w:abstractNum w:abstractNumId="910">
    <w:multiLevelType w:val="hybridMultilevel"/>
    <w:lvl w:ilvl="0">
      <w:start w:val="1"/>
      <w:numFmt w:val="lowerLetter"/>
      <w:lvlText w:val="%1."/>
      <w:lvlJc w:val="left"/>
      <w:pPr>
        <w:ind w:left="357" w:hanging="357"/>
      </w:pPr>
      <w:rPr>
        <w:rFonts w:ascii="Century Gothic" w:hAnsi="Century Gothic" w:cs="Century Gothic" w:hint="default"/>
        <w:b/>
        <w:sz w:val="20"/>
      </w:rPr>
    </w:lvl>
    <w:lvl w:ilvl="1">
      <w:start w:val="1"/>
      <w:numFmt w:val="bullet"/>
      <w:lvlText w:val=""/>
      <w:lvlJc w:val="left"/>
      <w:pPr>
        <w:ind w:left="720" w:hanging="357"/>
      </w:pPr>
      <w:rPr>
        <w:rFonts w:ascii="Wingdings" w:hAnsi="Wingdings" w:cs="Wingdings" w:hint="default"/>
        <w:sz w:val="20"/>
      </w:rPr>
    </w:lvl>
    <w:lvl w:ilvl="2">
      <w:start w:val="1"/>
      <w:numFmt w:val="bullet"/>
      <w:lvlText w:val="–"/>
      <w:lvlJc w:val="left"/>
      <w:pPr>
        <w:ind w:left="1077" w:hanging="283"/>
      </w:pPr>
      <w:rPr>
        <w:rFonts w:ascii="Century Gothic" w:hAnsi="Century Gothic" w:cs="Century Gothic" w:hint="default"/>
        <w:sz w:val="20"/>
      </w:rPr>
    </w:lvl>
  </w:abstractNum>
  <w:abstractNum w:abstractNumId="911">
    <w:multiLevelType w:val="hybridMultilevel"/>
    <w:lvl w:ilvl="0">
      <w:start w:val="1"/>
      <w:numFmt w:val="decimal"/>
      <w:lvlText w:val="%1."/>
      <w:lvlJc w:val="left"/>
      <w:pPr>
        <w:ind w:left="357" w:hanging="357"/>
      </w:pPr>
      <w:rPr>
        <w:rFonts w:ascii="Century Gothic" w:hAnsi="Century Gothic" w:cs="Century Gothic" w:hint="default"/>
        <w:b/>
        <w:sz w:val="20"/>
      </w:rPr>
    </w:lvl>
    <w:lvl w:ilvl="1">
      <w:start w:val="1"/>
      <w:numFmt w:val="lowerLetter"/>
      <w:lvlText w:val="%2."/>
      <w:lvlJc w:val="left"/>
      <w:pPr>
        <w:ind w:left="720" w:hanging="357"/>
      </w:pPr>
      <w:rPr>
        <w:rFonts w:ascii="Century Gothic" w:hAnsi="Century Gothic" w:cs="Century Gothic" w:hint="default"/>
        <w:b/>
        <w:sz w:val="20"/>
      </w:rPr>
    </w:lvl>
    <w:lvl w:ilvl="2">
      <w:start w:val="1"/>
      <w:numFmt w:val="bullet"/>
      <w:lvlText w:val=""/>
      <w:lvlJc w:val="left"/>
      <w:pPr>
        <w:ind w:left="1077" w:hanging="283"/>
      </w:pPr>
      <w:rPr>
        <w:rFonts w:ascii="Wingdings" w:hAnsi="Wingdings" w:cs="Wingdings" w:hint="default"/>
        <w:sz w:val="20"/>
      </w:rPr>
    </w:lvl>
  </w:abstractNum>
  <w:abstractNum w:abstractNumId="912">
    <w:multiLevelType w:val="hybridMultilevel"/>
    <w:lvl w:ilvl="0">
      <w:start w:val="1"/>
      <w:numFmt w:val="bullet"/>
      <w:lvlText w:val=""/>
      <w:lvlJc w:val="left"/>
      <w:pPr>
        <w:ind w:left="357" w:hanging="357"/>
      </w:pPr>
      <w:rPr>
        <w:rFonts w:ascii="Wingdings" w:hAnsi="Wingdings" w:cs="Wingdings" w:hint="default"/>
        <w:sz w:val="20"/>
      </w:rPr>
    </w:lvl>
    <w:lvl w:ilvl="1">
      <w:start w:val="1"/>
      <w:numFmt w:val="bullet"/>
      <w:lvlText w:val="–"/>
      <w:lvlJc w:val="left"/>
      <w:pPr>
        <w:ind w:left="720" w:hanging="283"/>
      </w:pPr>
      <w:rPr>
        <w:rFonts w:ascii="Century Gothic" w:hAnsi="Century Gothic" w:cs="Century Gothic" w:hint="default"/>
        <w:sz w:val="20"/>
      </w:rPr>
    </w:lvl>
    <w:lvl w:ilvl="2">
      <w:start w:val="1"/>
      <w:numFmt w:val="bullet"/>
      <w:lvlText w:val="·"/>
      <w:lvlJc w:val="left"/>
      <w:pPr>
        <w:ind w:left="1077" w:hanging="283"/>
      </w:pPr>
      <w:rPr>
        <w:rFonts w:ascii="Symbol" w:hAnsi="Symbol" w:cs="Symbol" w:hint="default"/>
        <w:sz w:val="20"/>
      </w:rPr>
    </w:lvl>
  </w:abstractNum>
  <w:abstractNum w:abstractNumId="913">
    <w:multiLevelType w:val="hybridMultilevel"/>
    <w:lvl w:ilvl="0">
      <w:start w:val="1"/>
      <w:numFmt w:val="lowerLetter"/>
      <w:lvlText w:val="%1."/>
      <w:lvlJc w:val="left"/>
      <w:pPr>
        <w:ind w:left="357" w:hanging="357"/>
      </w:pPr>
      <w:rPr>
        <w:rFonts w:ascii="Century Gothic" w:hAnsi="Century Gothic" w:cs="Century Gothic" w:hint="default"/>
        <w:b/>
        <w:sz w:val="20"/>
      </w:rPr>
    </w:lvl>
    <w:lvl w:ilvl="1">
      <w:start w:val="1"/>
      <w:numFmt w:val="bullet"/>
      <w:lvlText w:val=""/>
      <w:lvlJc w:val="left"/>
      <w:pPr>
        <w:ind w:left="720" w:hanging="357"/>
      </w:pPr>
      <w:rPr>
        <w:rFonts w:ascii="Wingdings" w:hAnsi="Wingdings" w:cs="Wingdings" w:hint="default"/>
        <w:sz w:val="20"/>
      </w:rPr>
    </w:lvl>
    <w:lvl w:ilvl="2">
      <w:start w:val="1"/>
      <w:numFmt w:val="bullet"/>
      <w:lvlText w:val="–"/>
      <w:lvlJc w:val="left"/>
      <w:pPr>
        <w:ind w:left="1077" w:hanging="283"/>
      </w:pPr>
      <w:rPr>
        <w:rFonts w:ascii="Century Gothic" w:hAnsi="Century Gothic" w:cs="Century Gothic" w:hint="default"/>
        <w:sz w:val="20"/>
      </w:rPr>
    </w:lvl>
  </w:abstractNum>
  <w:abstractNum w:abstractNumId="914">
    <w:multiLevelType w:val="hybridMultilevel"/>
    <w:lvl w:ilvl="0">
      <w:start w:val="1"/>
      <w:numFmt w:val="decimal"/>
      <w:lvlText w:val="%1."/>
      <w:lvlJc w:val="left"/>
      <w:pPr>
        <w:ind w:left="357" w:hanging="357"/>
      </w:pPr>
      <w:rPr>
        <w:rFonts w:ascii="Century Gothic" w:hAnsi="Century Gothic" w:cs="Century Gothic" w:hint="default"/>
        <w:b/>
        <w:sz w:val="20"/>
      </w:rPr>
    </w:lvl>
    <w:lvl w:ilvl="1">
      <w:start w:val="1"/>
      <w:numFmt w:val="lowerLetter"/>
      <w:lvlText w:val="%2."/>
      <w:lvlJc w:val="left"/>
      <w:pPr>
        <w:ind w:left="720" w:hanging="357"/>
      </w:pPr>
      <w:rPr>
        <w:rFonts w:ascii="Century Gothic" w:hAnsi="Century Gothic" w:cs="Century Gothic" w:hint="default"/>
        <w:b/>
        <w:sz w:val="20"/>
      </w:rPr>
    </w:lvl>
    <w:lvl w:ilvl="2">
      <w:start w:val="1"/>
      <w:numFmt w:val="bullet"/>
      <w:lvlText w:val=""/>
      <w:lvlJc w:val="left"/>
      <w:pPr>
        <w:ind w:left="1077" w:hanging="283"/>
      </w:pPr>
      <w:rPr>
        <w:rFonts w:ascii="Wingdings" w:hAnsi="Wingdings" w:cs="Wingdings" w:hint="default"/>
        <w:sz w:val="20"/>
      </w:rPr>
    </w:lvl>
  </w:abstractNum>
  <w:abstractNum w:abstractNumId="915">
    <w:multiLevelType w:val="hybridMultilevel"/>
    <w:lvl w:ilvl="0">
      <w:start w:val="1"/>
      <w:numFmt w:val="bullet"/>
      <w:lvlText w:val=""/>
      <w:lvlJc w:val="left"/>
      <w:pPr>
        <w:ind w:left="357" w:hanging="357"/>
      </w:pPr>
      <w:rPr>
        <w:rFonts w:ascii="Wingdings" w:hAnsi="Wingdings" w:cs="Wingdings" w:hint="default"/>
        <w:sz w:val="20"/>
      </w:rPr>
    </w:lvl>
    <w:lvl w:ilvl="1">
      <w:start w:val="1"/>
      <w:numFmt w:val="bullet"/>
      <w:lvlText w:val="–"/>
      <w:lvlJc w:val="left"/>
      <w:pPr>
        <w:ind w:left="720" w:hanging="283"/>
      </w:pPr>
      <w:rPr>
        <w:rFonts w:ascii="Century Gothic" w:hAnsi="Century Gothic" w:cs="Century Gothic" w:hint="default"/>
        <w:sz w:val="20"/>
      </w:rPr>
    </w:lvl>
    <w:lvl w:ilvl="2">
      <w:start w:val="1"/>
      <w:numFmt w:val="bullet"/>
      <w:lvlText w:val="·"/>
      <w:lvlJc w:val="left"/>
      <w:pPr>
        <w:ind w:left="1077" w:hanging="283"/>
      </w:pPr>
      <w:rPr>
        <w:rFonts w:ascii="Symbol" w:hAnsi="Symbol" w:cs="Symbol" w:hint="default"/>
        <w:sz w:val="20"/>
      </w:rPr>
    </w:lvl>
  </w:abstractNum>
  <w:abstractNum w:abstractNumId="916">
    <w:multiLevelType w:val="hybridMultilevel"/>
    <w:lvl w:ilvl="0">
      <w:start w:val="1"/>
      <w:numFmt w:val="lowerLetter"/>
      <w:lvlText w:val="%1."/>
      <w:lvlJc w:val="left"/>
      <w:pPr>
        <w:ind w:left="357" w:hanging="357"/>
      </w:pPr>
      <w:rPr>
        <w:rFonts w:ascii="Century Gothic" w:hAnsi="Century Gothic" w:cs="Century Gothic" w:hint="default"/>
        <w:b/>
        <w:sz w:val="20"/>
      </w:rPr>
    </w:lvl>
    <w:lvl w:ilvl="1">
      <w:start w:val="1"/>
      <w:numFmt w:val="bullet"/>
      <w:lvlText w:val=""/>
      <w:lvlJc w:val="left"/>
      <w:pPr>
        <w:ind w:left="720" w:hanging="357"/>
      </w:pPr>
      <w:rPr>
        <w:rFonts w:ascii="Wingdings" w:hAnsi="Wingdings" w:cs="Wingdings" w:hint="default"/>
        <w:sz w:val="20"/>
      </w:rPr>
    </w:lvl>
    <w:lvl w:ilvl="2">
      <w:start w:val="1"/>
      <w:numFmt w:val="bullet"/>
      <w:lvlText w:val="–"/>
      <w:lvlJc w:val="left"/>
      <w:pPr>
        <w:ind w:left="1077" w:hanging="283"/>
      </w:pPr>
      <w:rPr>
        <w:rFonts w:ascii="Century Gothic" w:hAnsi="Century Gothic" w:cs="Century Gothic" w:hint="default"/>
        <w:sz w:val="20"/>
      </w:rPr>
    </w:lvl>
  </w:abstractNum>
  <w:abstractNum w:abstractNumId="917">
    <w:multiLevelType w:val="hybridMultilevel"/>
    <w:lvl w:ilvl="0">
      <w:start w:val="1"/>
      <w:numFmt w:val="decimal"/>
      <w:lvlText w:val="%1."/>
      <w:lvlJc w:val="left"/>
      <w:pPr>
        <w:ind w:left="357" w:hanging="357"/>
      </w:pPr>
      <w:rPr>
        <w:rFonts w:ascii="Century Gothic" w:hAnsi="Century Gothic" w:cs="Century Gothic" w:hint="default"/>
        <w:b/>
        <w:sz w:val="20"/>
      </w:rPr>
    </w:lvl>
    <w:lvl w:ilvl="1">
      <w:start w:val="1"/>
      <w:numFmt w:val="lowerLetter"/>
      <w:lvlText w:val="%2."/>
      <w:lvlJc w:val="left"/>
      <w:pPr>
        <w:ind w:left="720" w:hanging="357"/>
      </w:pPr>
      <w:rPr>
        <w:rFonts w:ascii="Century Gothic" w:hAnsi="Century Gothic" w:cs="Century Gothic" w:hint="default"/>
        <w:b/>
        <w:sz w:val="20"/>
      </w:rPr>
    </w:lvl>
    <w:lvl w:ilvl="2">
      <w:start w:val="1"/>
      <w:numFmt w:val="bullet"/>
      <w:lvlText w:val=""/>
      <w:lvlJc w:val="left"/>
      <w:pPr>
        <w:ind w:left="1077" w:hanging="283"/>
      </w:pPr>
      <w:rPr>
        <w:rFonts w:ascii="Wingdings" w:hAnsi="Wingdings" w:cs="Wingdings" w:hint="default"/>
        <w:sz w:val="20"/>
      </w:rPr>
    </w:lvl>
  </w:abstractNum>
  <w:abstractNum w:abstractNumId="918">
    <w:multiLevelType w:val="hybridMultilevel"/>
    <w:lvl w:ilvl="0">
      <w:start w:val="1"/>
      <w:numFmt w:val="bullet"/>
      <w:lvlText w:val=""/>
      <w:lvlJc w:val="left"/>
      <w:pPr>
        <w:ind w:left="357" w:hanging="357"/>
      </w:pPr>
      <w:rPr>
        <w:rFonts w:ascii="Wingdings" w:hAnsi="Wingdings" w:cs="Wingdings" w:hint="default"/>
        <w:sz w:val="20"/>
      </w:rPr>
    </w:lvl>
    <w:lvl w:ilvl="1">
      <w:start w:val="1"/>
      <w:numFmt w:val="bullet"/>
      <w:lvlText w:val="–"/>
      <w:lvlJc w:val="left"/>
      <w:pPr>
        <w:ind w:left="720" w:hanging="283"/>
      </w:pPr>
      <w:rPr>
        <w:rFonts w:ascii="Century Gothic" w:hAnsi="Century Gothic" w:cs="Century Gothic" w:hint="default"/>
        <w:sz w:val="20"/>
      </w:rPr>
    </w:lvl>
    <w:lvl w:ilvl="2">
      <w:start w:val="1"/>
      <w:numFmt w:val="bullet"/>
      <w:lvlText w:val="·"/>
      <w:lvlJc w:val="left"/>
      <w:pPr>
        <w:ind w:left="1077" w:hanging="283"/>
      </w:pPr>
      <w:rPr>
        <w:rFonts w:ascii="Symbol" w:hAnsi="Symbol" w:cs="Symbol" w:hint="default"/>
        <w:sz w:val="20"/>
      </w:rPr>
    </w:lvl>
  </w:abstractNum>
  <w:abstractNum w:abstractNumId="919">
    <w:multiLevelType w:val="hybridMultilevel"/>
    <w:lvl w:ilvl="0">
      <w:start w:val="1"/>
      <w:numFmt w:val="lowerLetter"/>
      <w:lvlText w:val="%1."/>
      <w:lvlJc w:val="left"/>
      <w:pPr>
        <w:ind w:left="357" w:hanging="357"/>
      </w:pPr>
      <w:rPr>
        <w:rFonts w:ascii="Century Gothic" w:hAnsi="Century Gothic" w:cs="Century Gothic" w:hint="default"/>
        <w:b/>
        <w:sz w:val="20"/>
      </w:rPr>
    </w:lvl>
    <w:lvl w:ilvl="1">
      <w:start w:val="1"/>
      <w:numFmt w:val="bullet"/>
      <w:lvlText w:val=""/>
      <w:lvlJc w:val="left"/>
      <w:pPr>
        <w:ind w:left="720" w:hanging="357"/>
      </w:pPr>
      <w:rPr>
        <w:rFonts w:ascii="Wingdings" w:hAnsi="Wingdings" w:cs="Wingdings" w:hint="default"/>
        <w:sz w:val="20"/>
      </w:rPr>
    </w:lvl>
    <w:lvl w:ilvl="2">
      <w:start w:val="1"/>
      <w:numFmt w:val="bullet"/>
      <w:lvlText w:val="–"/>
      <w:lvlJc w:val="left"/>
      <w:pPr>
        <w:ind w:left="1077" w:hanging="283"/>
      </w:pPr>
      <w:rPr>
        <w:rFonts w:ascii="Century Gothic" w:hAnsi="Century Gothic" w:cs="Century Gothic" w:hint="default"/>
        <w:sz w:val="20"/>
      </w:rPr>
    </w:lvl>
  </w:abstractNum>
  <w:abstractNum w:abstractNumId="920">
    <w:multiLevelType w:val="hybridMultilevel"/>
    <w:lvl w:ilvl="0">
      <w:start w:val="1"/>
      <w:numFmt w:val="decimal"/>
      <w:lvlText w:val="%1."/>
      <w:lvlJc w:val="left"/>
      <w:pPr>
        <w:ind w:left="357" w:hanging="357"/>
      </w:pPr>
      <w:rPr>
        <w:rFonts w:ascii="Century Gothic" w:hAnsi="Century Gothic" w:cs="Century Gothic" w:hint="default"/>
        <w:b/>
        <w:sz w:val="20"/>
      </w:rPr>
    </w:lvl>
    <w:lvl w:ilvl="1">
      <w:start w:val="1"/>
      <w:numFmt w:val="lowerLetter"/>
      <w:lvlText w:val="%2."/>
      <w:lvlJc w:val="left"/>
      <w:pPr>
        <w:ind w:left="720" w:hanging="357"/>
      </w:pPr>
      <w:rPr>
        <w:rFonts w:ascii="Century Gothic" w:hAnsi="Century Gothic" w:cs="Century Gothic" w:hint="default"/>
        <w:b/>
        <w:sz w:val="20"/>
      </w:rPr>
    </w:lvl>
    <w:lvl w:ilvl="2">
      <w:start w:val="1"/>
      <w:numFmt w:val="bullet"/>
      <w:lvlText w:val=""/>
      <w:lvlJc w:val="left"/>
      <w:pPr>
        <w:ind w:left="1077" w:hanging="283"/>
      </w:pPr>
      <w:rPr>
        <w:rFonts w:ascii="Wingdings" w:hAnsi="Wingdings" w:cs="Wingdings" w:hint="default"/>
        <w:sz w:val="20"/>
      </w:rPr>
    </w:lvl>
  </w:abstractNum>
  <w:abstractNum w:abstractNumId="921">
    <w:multiLevelType w:val="hybridMultilevel"/>
    <w:lvl w:ilvl="0">
      <w:start w:val="1"/>
      <w:numFmt w:val="bullet"/>
      <w:lvlText w:val=""/>
      <w:lvlJc w:val="left"/>
      <w:pPr>
        <w:ind w:left="357" w:hanging="357"/>
      </w:pPr>
      <w:rPr>
        <w:rFonts w:ascii="Wingdings" w:hAnsi="Wingdings" w:cs="Wingdings" w:hint="default"/>
        <w:sz w:val="20"/>
      </w:rPr>
    </w:lvl>
    <w:lvl w:ilvl="1">
      <w:start w:val="1"/>
      <w:numFmt w:val="bullet"/>
      <w:lvlText w:val="–"/>
      <w:lvlJc w:val="left"/>
      <w:pPr>
        <w:ind w:left="720" w:hanging="283"/>
      </w:pPr>
      <w:rPr>
        <w:rFonts w:ascii="Century Gothic" w:hAnsi="Century Gothic" w:cs="Century Gothic" w:hint="default"/>
        <w:sz w:val="20"/>
      </w:rPr>
    </w:lvl>
    <w:lvl w:ilvl="2">
      <w:start w:val="1"/>
      <w:numFmt w:val="bullet"/>
      <w:lvlText w:val="·"/>
      <w:lvlJc w:val="left"/>
      <w:pPr>
        <w:ind w:left="1077" w:hanging="283"/>
      </w:pPr>
      <w:rPr>
        <w:rFonts w:ascii="Symbol" w:hAnsi="Symbol" w:cs="Symbol" w:hint="default"/>
        <w:sz w:val="20"/>
      </w:rPr>
    </w:lvl>
  </w:abstractNum>
  <w:abstractNum w:abstractNumId="922">
    <w:multiLevelType w:val="hybridMultilevel"/>
    <w:lvl w:ilvl="0">
      <w:start w:val="1"/>
      <w:numFmt w:val="lowerLetter"/>
      <w:lvlText w:val="%1."/>
      <w:lvlJc w:val="left"/>
      <w:pPr>
        <w:ind w:left="357" w:hanging="357"/>
      </w:pPr>
      <w:rPr>
        <w:rFonts w:ascii="Century Gothic" w:hAnsi="Century Gothic" w:cs="Century Gothic" w:hint="default"/>
        <w:b/>
        <w:sz w:val="20"/>
      </w:rPr>
    </w:lvl>
    <w:lvl w:ilvl="1">
      <w:start w:val="1"/>
      <w:numFmt w:val="bullet"/>
      <w:lvlText w:val=""/>
      <w:lvlJc w:val="left"/>
      <w:pPr>
        <w:ind w:left="720" w:hanging="357"/>
      </w:pPr>
      <w:rPr>
        <w:rFonts w:ascii="Wingdings" w:hAnsi="Wingdings" w:cs="Wingdings" w:hint="default"/>
        <w:sz w:val="20"/>
      </w:rPr>
    </w:lvl>
    <w:lvl w:ilvl="2">
      <w:start w:val="1"/>
      <w:numFmt w:val="bullet"/>
      <w:lvlText w:val="–"/>
      <w:lvlJc w:val="left"/>
      <w:pPr>
        <w:ind w:left="1077" w:hanging="283"/>
      </w:pPr>
      <w:rPr>
        <w:rFonts w:ascii="Century Gothic" w:hAnsi="Century Gothic" w:cs="Century Gothic" w:hint="default"/>
        <w:sz w:val="20"/>
      </w:rPr>
    </w:lvl>
  </w:abstractNum>
  <w:abstractNum w:abstractNumId="923">
    <w:multiLevelType w:val="hybridMultilevel"/>
    <w:lvl w:ilvl="0">
      <w:start w:val="1"/>
      <w:numFmt w:val="decimal"/>
      <w:lvlText w:val="%1."/>
      <w:lvlJc w:val="left"/>
      <w:pPr>
        <w:ind w:left="357" w:hanging="357"/>
      </w:pPr>
      <w:rPr>
        <w:rFonts w:ascii="Century Gothic" w:hAnsi="Century Gothic" w:cs="Century Gothic" w:hint="default"/>
        <w:b/>
        <w:sz w:val="20"/>
      </w:rPr>
    </w:lvl>
    <w:lvl w:ilvl="1">
      <w:start w:val="1"/>
      <w:numFmt w:val="lowerLetter"/>
      <w:lvlText w:val="%2."/>
      <w:lvlJc w:val="left"/>
      <w:pPr>
        <w:ind w:left="720" w:hanging="357"/>
      </w:pPr>
      <w:rPr>
        <w:rFonts w:ascii="Century Gothic" w:hAnsi="Century Gothic" w:cs="Century Gothic" w:hint="default"/>
        <w:b/>
        <w:sz w:val="20"/>
      </w:rPr>
    </w:lvl>
    <w:lvl w:ilvl="2">
      <w:start w:val="1"/>
      <w:numFmt w:val="bullet"/>
      <w:lvlText w:val=""/>
      <w:lvlJc w:val="left"/>
      <w:pPr>
        <w:ind w:left="1077" w:hanging="283"/>
      </w:pPr>
      <w:rPr>
        <w:rFonts w:ascii="Wingdings" w:hAnsi="Wingdings" w:cs="Wingdings" w:hint="default"/>
        <w:sz w:val="20"/>
      </w:rPr>
    </w:lvl>
  </w:abstractNum>
  <w:abstractNum w:abstractNumId="924">
    <w:multiLevelType w:val="hybridMultilevel"/>
    <w:lvl w:ilvl="0">
      <w:start w:val="1"/>
      <w:numFmt w:val="bullet"/>
      <w:lvlText w:val=""/>
      <w:lvlJc w:val="left"/>
      <w:pPr>
        <w:ind w:left="357" w:hanging="357"/>
      </w:pPr>
      <w:rPr>
        <w:rFonts w:ascii="Wingdings" w:hAnsi="Wingdings" w:cs="Wingdings" w:hint="default"/>
        <w:sz w:val="20"/>
      </w:rPr>
    </w:lvl>
    <w:lvl w:ilvl="1">
      <w:start w:val="1"/>
      <w:numFmt w:val="bullet"/>
      <w:lvlText w:val="–"/>
      <w:lvlJc w:val="left"/>
      <w:pPr>
        <w:ind w:left="720" w:hanging="283"/>
      </w:pPr>
      <w:rPr>
        <w:rFonts w:ascii="Century Gothic" w:hAnsi="Century Gothic" w:cs="Century Gothic" w:hint="default"/>
        <w:sz w:val="20"/>
      </w:rPr>
    </w:lvl>
    <w:lvl w:ilvl="2">
      <w:start w:val="1"/>
      <w:numFmt w:val="bullet"/>
      <w:lvlText w:val="·"/>
      <w:lvlJc w:val="left"/>
      <w:pPr>
        <w:ind w:left="1077" w:hanging="283"/>
      </w:pPr>
      <w:rPr>
        <w:rFonts w:ascii="Symbol" w:hAnsi="Symbol" w:cs="Symbol" w:hint="default"/>
        <w:sz w:val="20"/>
      </w:rPr>
    </w:lvl>
  </w:abstractNum>
  <w:abstractNum w:abstractNumId="925">
    <w:multiLevelType w:val="hybridMultilevel"/>
    <w:lvl w:ilvl="0">
      <w:start w:val="1"/>
      <w:numFmt w:val="lowerLetter"/>
      <w:lvlText w:val="%1."/>
      <w:lvlJc w:val="left"/>
      <w:pPr>
        <w:ind w:left="357" w:hanging="357"/>
      </w:pPr>
      <w:rPr>
        <w:rFonts w:ascii="Century Gothic" w:hAnsi="Century Gothic" w:cs="Century Gothic" w:hint="default"/>
        <w:b/>
        <w:sz w:val="20"/>
      </w:rPr>
    </w:lvl>
    <w:lvl w:ilvl="1">
      <w:start w:val="1"/>
      <w:numFmt w:val="bullet"/>
      <w:lvlText w:val=""/>
      <w:lvlJc w:val="left"/>
      <w:pPr>
        <w:ind w:left="720" w:hanging="357"/>
      </w:pPr>
      <w:rPr>
        <w:rFonts w:ascii="Wingdings" w:hAnsi="Wingdings" w:cs="Wingdings" w:hint="default"/>
        <w:sz w:val="20"/>
      </w:rPr>
    </w:lvl>
    <w:lvl w:ilvl="2">
      <w:start w:val="1"/>
      <w:numFmt w:val="bullet"/>
      <w:lvlText w:val="–"/>
      <w:lvlJc w:val="left"/>
      <w:pPr>
        <w:ind w:left="1077" w:hanging="283"/>
      </w:pPr>
      <w:rPr>
        <w:rFonts w:ascii="Century Gothic" w:hAnsi="Century Gothic" w:cs="Century Gothic" w:hint="default"/>
        <w:sz w:val="20"/>
      </w:rPr>
    </w:lvl>
  </w:abstractNum>
  <w:abstractNum w:abstractNumId="926">
    <w:multiLevelType w:val="hybridMultilevel"/>
    <w:lvl w:ilvl="0">
      <w:start w:val="1"/>
      <w:numFmt w:val="decimal"/>
      <w:lvlText w:val="%1."/>
      <w:lvlJc w:val="left"/>
      <w:pPr>
        <w:ind w:left="357" w:hanging="357"/>
      </w:pPr>
      <w:rPr>
        <w:rFonts w:ascii="Century Gothic" w:hAnsi="Century Gothic" w:cs="Century Gothic" w:hint="default"/>
        <w:b/>
        <w:sz w:val="20"/>
      </w:rPr>
    </w:lvl>
    <w:lvl w:ilvl="1">
      <w:start w:val="1"/>
      <w:numFmt w:val="lowerLetter"/>
      <w:lvlText w:val="%2."/>
      <w:lvlJc w:val="left"/>
      <w:pPr>
        <w:ind w:left="720" w:hanging="357"/>
      </w:pPr>
      <w:rPr>
        <w:rFonts w:ascii="Century Gothic" w:hAnsi="Century Gothic" w:cs="Century Gothic" w:hint="default"/>
        <w:b/>
        <w:sz w:val="20"/>
      </w:rPr>
    </w:lvl>
    <w:lvl w:ilvl="2">
      <w:start w:val="1"/>
      <w:numFmt w:val="bullet"/>
      <w:lvlText w:val=""/>
      <w:lvlJc w:val="left"/>
      <w:pPr>
        <w:ind w:left="1077" w:hanging="283"/>
      </w:pPr>
      <w:rPr>
        <w:rFonts w:ascii="Wingdings" w:hAnsi="Wingdings" w:cs="Wingdings" w:hint="default"/>
        <w:sz w:val="20"/>
      </w:rPr>
    </w:lvl>
  </w:abstractNum>
  <w:abstractNum w:abstractNumId="927">
    <w:multiLevelType w:val="hybridMultilevel"/>
    <w:lvl w:ilvl="0">
      <w:start w:val="1"/>
      <w:numFmt w:val="bullet"/>
      <w:lvlText w:val=""/>
      <w:lvlJc w:val="left"/>
      <w:pPr>
        <w:ind w:left="357" w:hanging="357"/>
      </w:pPr>
      <w:rPr>
        <w:rFonts w:ascii="Wingdings" w:hAnsi="Wingdings" w:cs="Wingdings" w:hint="default"/>
        <w:sz w:val="20"/>
      </w:rPr>
    </w:lvl>
    <w:lvl w:ilvl="1">
      <w:start w:val="1"/>
      <w:numFmt w:val="bullet"/>
      <w:lvlText w:val="–"/>
      <w:lvlJc w:val="left"/>
      <w:pPr>
        <w:ind w:left="720" w:hanging="283"/>
      </w:pPr>
      <w:rPr>
        <w:rFonts w:ascii="Century Gothic" w:hAnsi="Century Gothic" w:cs="Century Gothic" w:hint="default"/>
        <w:sz w:val="20"/>
      </w:rPr>
    </w:lvl>
    <w:lvl w:ilvl="2">
      <w:start w:val="1"/>
      <w:numFmt w:val="bullet"/>
      <w:lvlText w:val="·"/>
      <w:lvlJc w:val="left"/>
      <w:pPr>
        <w:ind w:left="1077" w:hanging="283"/>
      </w:pPr>
      <w:rPr>
        <w:rFonts w:ascii="Symbol" w:hAnsi="Symbol" w:cs="Symbol" w:hint="default"/>
        <w:sz w:val="20"/>
      </w:rPr>
    </w:lvl>
  </w:abstractNum>
  <w:abstractNum w:abstractNumId="928">
    <w:multiLevelType w:val="hybridMultilevel"/>
    <w:lvl w:ilvl="0">
      <w:start w:val="1"/>
      <w:numFmt w:val="lowerLetter"/>
      <w:lvlText w:val="%1."/>
      <w:lvlJc w:val="left"/>
      <w:pPr>
        <w:ind w:left="357" w:hanging="357"/>
      </w:pPr>
      <w:rPr>
        <w:rFonts w:ascii="Century Gothic" w:hAnsi="Century Gothic" w:cs="Century Gothic" w:hint="default"/>
        <w:b/>
        <w:sz w:val="20"/>
      </w:rPr>
    </w:lvl>
    <w:lvl w:ilvl="1">
      <w:start w:val="1"/>
      <w:numFmt w:val="bullet"/>
      <w:lvlText w:val=""/>
      <w:lvlJc w:val="left"/>
      <w:pPr>
        <w:ind w:left="720" w:hanging="357"/>
      </w:pPr>
      <w:rPr>
        <w:rFonts w:ascii="Wingdings" w:hAnsi="Wingdings" w:cs="Wingdings" w:hint="default"/>
        <w:sz w:val="20"/>
      </w:rPr>
    </w:lvl>
    <w:lvl w:ilvl="2">
      <w:start w:val="1"/>
      <w:numFmt w:val="bullet"/>
      <w:lvlText w:val="–"/>
      <w:lvlJc w:val="left"/>
      <w:pPr>
        <w:ind w:left="1077" w:hanging="283"/>
      </w:pPr>
      <w:rPr>
        <w:rFonts w:ascii="Century Gothic" w:hAnsi="Century Gothic" w:cs="Century Gothic" w:hint="default"/>
        <w:sz w:val="20"/>
      </w:rPr>
    </w:lvl>
  </w:abstractNum>
  <w:abstractNum w:abstractNumId="929">
    <w:multiLevelType w:val="hybridMultilevel"/>
    <w:lvl w:ilvl="0">
      <w:start w:val="1"/>
      <w:numFmt w:val="decimal"/>
      <w:lvlText w:val="%1."/>
      <w:lvlJc w:val="left"/>
      <w:pPr>
        <w:ind w:left="357" w:hanging="357"/>
      </w:pPr>
      <w:rPr>
        <w:rFonts w:ascii="Century Gothic" w:hAnsi="Century Gothic" w:cs="Century Gothic" w:hint="default"/>
        <w:b/>
        <w:sz w:val="20"/>
      </w:rPr>
    </w:lvl>
    <w:lvl w:ilvl="1">
      <w:start w:val="1"/>
      <w:numFmt w:val="lowerLetter"/>
      <w:lvlText w:val="%2."/>
      <w:lvlJc w:val="left"/>
      <w:pPr>
        <w:ind w:left="720" w:hanging="357"/>
      </w:pPr>
      <w:rPr>
        <w:rFonts w:ascii="Century Gothic" w:hAnsi="Century Gothic" w:cs="Century Gothic" w:hint="default"/>
        <w:b/>
        <w:sz w:val="20"/>
      </w:rPr>
    </w:lvl>
    <w:lvl w:ilvl="2">
      <w:start w:val="1"/>
      <w:numFmt w:val="bullet"/>
      <w:lvlText w:val=""/>
      <w:lvlJc w:val="left"/>
      <w:pPr>
        <w:ind w:left="1077" w:hanging="283"/>
      </w:pPr>
      <w:rPr>
        <w:rFonts w:ascii="Wingdings" w:hAnsi="Wingdings" w:cs="Wingdings" w:hint="default"/>
        <w:sz w:val="20"/>
      </w:rPr>
    </w:lvl>
  </w:abstractNum>
  <w:abstractNum w:abstractNumId="930">
    <w:multiLevelType w:val="hybridMultilevel"/>
    <w:lvl w:ilvl="0">
      <w:start w:val="1"/>
      <w:numFmt w:val="bullet"/>
      <w:lvlText w:val=""/>
      <w:lvlJc w:val="left"/>
      <w:pPr>
        <w:ind w:left="357" w:hanging="357"/>
      </w:pPr>
      <w:rPr>
        <w:rFonts w:ascii="Wingdings" w:hAnsi="Wingdings" w:cs="Wingdings" w:hint="default"/>
        <w:sz w:val="20"/>
      </w:rPr>
    </w:lvl>
    <w:lvl w:ilvl="1">
      <w:start w:val="1"/>
      <w:numFmt w:val="bullet"/>
      <w:lvlText w:val="–"/>
      <w:lvlJc w:val="left"/>
      <w:pPr>
        <w:ind w:left="720" w:hanging="283"/>
      </w:pPr>
      <w:rPr>
        <w:rFonts w:ascii="Century Gothic" w:hAnsi="Century Gothic" w:cs="Century Gothic" w:hint="default"/>
        <w:sz w:val="20"/>
      </w:rPr>
    </w:lvl>
    <w:lvl w:ilvl="2">
      <w:start w:val="1"/>
      <w:numFmt w:val="bullet"/>
      <w:lvlText w:val="·"/>
      <w:lvlJc w:val="left"/>
      <w:pPr>
        <w:ind w:left="1077" w:hanging="283"/>
      </w:pPr>
      <w:rPr>
        <w:rFonts w:ascii="Symbol" w:hAnsi="Symbol" w:cs="Symbol" w:hint="default"/>
        <w:sz w:val="20"/>
      </w:rPr>
    </w:lvl>
  </w:abstractNum>
  <w:abstractNum w:abstractNumId="931">
    <w:multiLevelType w:val="hybridMultilevel"/>
    <w:lvl w:ilvl="0">
      <w:start w:val="1"/>
      <w:numFmt w:val="lowerLetter"/>
      <w:lvlText w:val="%1."/>
      <w:lvlJc w:val="left"/>
      <w:pPr>
        <w:ind w:left="357" w:hanging="357"/>
      </w:pPr>
      <w:rPr>
        <w:rFonts w:ascii="Century Gothic" w:hAnsi="Century Gothic" w:cs="Century Gothic" w:hint="default"/>
        <w:b/>
        <w:sz w:val="20"/>
      </w:rPr>
    </w:lvl>
    <w:lvl w:ilvl="1">
      <w:start w:val="1"/>
      <w:numFmt w:val="bullet"/>
      <w:lvlText w:val=""/>
      <w:lvlJc w:val="left"/>
      <w:pPr>
        <w:ind w:left="720" w:hanging="357"/>
      </w:pPr>
      <w:rPr>
        <w:rFonts w:ascii="Wingdings" w:hAnsi="Wingdings" w:cs="Wingdings" w:hint="default"/>
        <w:sz w:val="20"/>
      </w:rPr>
    </w:lvl>
    <w:lvl w:ilvl="2">
      <w:start w:val="1"/>
      <w:numFmt w:val="bullet"/>
      <w:lvlText w:val="–"/>
      <w:lvlJc w:val="left"/>
      <w:pPr>
        <w:ind w:left="1077" w:hanging="283"/>
      </w:pPr>
      <w:rPr>
        <w:rFonts w:ascii="Century Gothic" w:hAnsi="Century Gothic" w:cs="Century Gothic" w:hint="default"/>
        <w:sz w:val="20"/>
      </w:rPr>
    </w:lvl>
  </w:abstractNum>
  <w:abstractNum w:abstractNumId="932">
    <w:multiLevelType w:val="hybridMultilevel"/>
    <w:lvl w:ilvl="0">
      <w:start w:val="1"/>
      <w:numFmt w:val="decimal"/>
      <w:lvlText w:val="%1."/>
      <w:lvlJc w:val="left"/>
      <w:pPr>
        <w:ind w:left="357" w:hanging="357"/>
      </w:pPr>
      <w:rPr>
        <w:rFonts w:ascii="Century Gothic" w:hAnsi="Century Gothic" w:cs="Century Gothic" w:hint="default"/>
        <w:b/>
        <w:sz w:val="20"/>
      </w:rPr>
    </w:lvl>
    <w:lvl w:ilvl="1">
      <w:start w:val="1"/>
      <w:numFmt w:val="lowerLetter"/>
      <w:lvlText w:val="%2."/>
      <w:lvlJc w:val="left"/>
      <w:pPr>
        <w:ind w:left="720" w:hanging="357"/>
      </w:pPr>
      <w:rPr>
        <w:rFonts w:ascii="Century Gothic" w:hAnsi="Century Gothic" w:cs="Century Gothic" w:hint="default"/>
        <w:b/>
        <w:sz w:val="20"/>
      </w:rPr>
    </w:lvl>
    <w:lvl w:ilvl="2">
      <w:start w:val="1"/>
      <w:numFmt w:val="bullet"/>
      <w:lvlText w:val=""/>
      <w:lvlJc w:val="left"/>
      <w:pPr>
        <w:ind w:left="1077" w:hanging="283"/>
      </w:pPr>
      <w:rPr>
        <w:rFonts w:ascii="Wingdings" w:hAnsi="Wingdings" w:cs="Wingdings" w:hint="default"/>
        <w:sz w:val="20"/>
      </w:rPr>
    </w:lvl>
  </w:abstractNum>
  <w:abstractNum w:abstractNumId="933">
    <w:multiLevelType w:val="hybridMultilevel"/>
    <w:lvl w:ilvl="0">
      <w:start w:val="1"/>
      <w:numFmt w:val="bullet"/>
      <w:lvlText w:val=""/>
      <w:lvlJc w:val="left"/>
      <w:pPr>
        <w:ind w:left="357" w:hanging="357"/>
      </w:pPr>
      <w:rPr>
        <w:rFonts w:ascii="Wingdings" w:hAnsi="Wingdings" w:cs="Wingdings" w:hint="default"/>
        <w:sz w:val="20"/>
      </w:rPr>
    </w:lvl>
    <w:lvl w:ilvl="1">
      <w:start w:val="1"/>
      <w:numFmt w:val="bullet"/>
      <w:lvlText w:val="–"/>
      <w:lvlJc w:val="left"/>
      <w:pPr>
        <w:ind w:left="720" w:hanging="283"/>
      </w:pPr>
      <w:rPr>
        <w:rFonts w:ascii="Century Gothic" w:hAnsi="Century Gothic" w:cs="Century Gothic" w:hint="default"/>
        <w:sz w:val="20"/>
      </w:rPr>
    </w:lvl>
    <w:lvl w:ilvl="2">
      <w:start w:val="1"/>
      <w:numFmt w:val="bullet"/>
      <w:lvlText w:val="·"/>
      <w:lvlJc w:val="left"/>
      <w:pPr>
        <w:ind w:left="1077" w:hanging="283"/>
      </w:pPr>
      <w:rPr>
        <w:rFonts w:ascii="Symbol" w:hAnsi="Symbol" w:cs="Symbol" w:hint="default"/>
        <w:sz w:val="20"/>
      </w:rPr>
    </w:lvl>
  </w:abstractNum>
  <w:abstractNum w:abstractNumId="934">
    <w:multiLevelType w:val="hybridMultilevel"/>
    <w:lvl w:ilvl="0">
      <w:start w:val="1"/>
      <w:numFmt w:val="lowerLetter"/>
      <w:lvlText w:val="%1."/>
      <w:lvlJc w:val="left"/>
      <w:pPr>
        <w:ind w:left="357" w:hanging="357"/>
      </w:pPr>
      <w:rPr>
        <w:rFonts w:ascii="Century Gothic" w:hAnsi="Century Gothic" w:cs="Century Gothic" w:hint="default"/>
        <w:b/>
        <w:sz w:val="20"/>
      </w:rPr>
    </w:lvl>
    <w:lvl w:ilvl="1">
      <w:start w:val="1"/>
      <w:numFmt w:val="bullet"/>
      <w:lvlText w:val=""/>
      <w:lvlJc w:val="left"/>
      <w:pPr>
        <w:ind w:left="720" w:hanging="357"/>
      </w:pPr>
      <w:rPr>
        <w:rFonts w:ascii="Wingdings" w:hAnsi="Wingdings" w:cs="Wingdings" w:hint="default"/>
        <w:sz w:val="20"/>
      </w:rPr>
    </w:lvl>
    <w:lvl w:ilvl="2">
      <w:start w:val="1"/>
      <w:numFmt w:val="bullet"/>
      <w:lvlText w:val="–"/>
      <w:lvlJc w:val="left"/>
      <w:pPr>
        <w:ind w:left="1077" w:hanging="283"/>
      </w:pPr>
      <w:rPr>
        <w:rFonts w:ascii="Century Gothic" w:hAnsi="Century Gothic" w:cs="Century Gothic" w:hint="default"/>
        <w:sz w:val="20"/>
      </w:rPr>
    </w:lvl>
  </w:abstractNum>
  <w:abstractNum w:abstractNumId="935">
    <w:multiLevelType w:val="hybridMultilevel"/>
    <w:lvl w:ilvl="0">
      <w:start w:val="1"/>
      <w:numFmt w:val="decimal"/>
      <w:lvlText w:val="%1."/>
      <w:lvlJc w:val="left"/>
      <w:pPr>
        <w:ind w:left="357" w:hanging="357"/>
      </w:pPr>
      <w:rPr>
        <w:rFonts w:ascii="Century Gothic" w:hAnsi="Century Gothic" w:cs="Century Gothic" w:hint="default"/>
        <w:b/>
        <w:sz w:val="20"/>
      </w:rPr>
    </w:lvl>
    <w:lvl w:ilvl="1">
      <w:start w:val="1"/>
      <w:numFmt w:val="lowerLetter"/>
      <w:lvlText w:val="%2."/>
      <w:lvlJc w:val="left"/>
      <w:pPr>
        <w:ind w:left="720" w:hanging="357"/>
      </w:pPr>
      <w:rPr>
        <w:rFonts w:ascii="Century Gothic" w:hAnsi="Century Gothic" w:cs="Century Gothic" w:hint="default"/>
        <w:b/>
        <w:sz w:val="20"/>
      </w:rPr>
    </w:lvl>
    <w:lvl w:ilvl="2">
      <w:start w:val="1"/>
      <w:numFmt w:val="bullet"/>
      <w:lvlText w:val=""/>
      <w:lvlJc w:val="left"/>
      <w:pPr>
        <w:ind w:left="1077" w:hanging="283"/>
      </w:pPr>
      <w:rPr>
        <w:rFonts w:ascii="Wingdings" w:hAnsi="Wingdings" w:cs="Wingdings" w:hint="default"/>
        <w:sz w:val="20"/>
      </w:rPr>
    </w:lvl>
  </w:abstractNum>
  <w:abstractNum w:abstractNumId="936">
    <w:multiLevelType w:val="hybridMultilevel"/>
    <w:lvl w:ilvl="0">
      <w:start w:val="1"/>
      <w:numFmt w:val="bullet"/>
      <w:lvlText w:val=""/>
      <w:lvlJc w:val="left"/>
      <w:pPr>
        <w:ind w:left="357" w:hanging="357"/>
      </w:pPr>
      <w:rPr>
        <w:rFonts w:ascii="Wingdings" w:hAnsi="Wingdings" w:cs="Wingdings" w:hint="default"/>
        <w:sz w:val="20"/>
      </w:rPr>
    </w:lvl>
    <w:lvl w:ilvl="1">
      <w:start w:val="1"/>
      <w:numFmt w:val="bullet"/>
      <w:lvlText w:val="–"/>
      <w:lvlJc w:val="left"/>
      <w:pPr>
        <w:ind w:left="720" w:hanging="283"/>
      </w:pPr>
      <w:rPr>
        <w:rFonts w:ascii="Century Gothic" w:hAnsi="Century Gothic" w:cs="Century Gothic" w:hint="default"/>
        <w:sz w:val="20"/>
      </w:rPr>
    </w:lvl>
    <w:lvl w:ilvl="2">
      <w:start w:val="1"/>
      <w:numFmt w:val="bullet"/>
      <w:lvlText w:val="·"/>
      <w:lvlJc w:val="left"/>
      <w:pPr>
        <w:ind w:left="1077" w:hanging="283"/>
      </w:pPr>
      <w:rPr>
        <w:rFonts w:ascii="Symbol" w:hAnsi="Symbol" w:cs="Symbol" w:hint="default"/>
        <w:sz w:val="20"/>
      </w:rPr>
    </w:lvl>
  </w:abstractNum>
  <w:abstractNum w:abstractNumId="937">
    <w:multiLevelType w:val="hybridMultilevel"/>
    <w:lvl w:ilvl="0">
      <w:start w:val="1"/>
      <w:numFmt w:val="lowerLetter"/>
      <w:lvlText w:val="%1."/>
      <w:lvlJc w:val="left"/>
      <w:pPr>
        <w:ind w:left="357" w:hanging="357"/>
      </w:pPr>
      <w:rPr>
        <w:rFonts w:ascii="Century Gothic" w:hAnsi="Century Gothic" w:cs="Century Gothic" w:hint="default"/>
        <w:b/>
        <w:sz w:val="20"/>
      </w:rPr>
    </w:lvl>
    <w:lvl w:ilvl="1">
      <w:start w:val="1"/>
      <w:numFmt w:val="bullet"/>
      <w:lvlText w:val=""/>
      <w:lvlJc w:val="left"/>
      <w:pPr>
        <w:ind w:left="720" w:hanging="357"/>
      </w:pPr>
      <w:rPr>
        <w:rFonts w:ascii="Wingdings" w:hAnsi="Wingdings" w:cs="Wingdings" w:hint="default"/>
        <w:sz w:val="20"/>
      </w:rPr>
    </w:lvl>
    <w:lvl w:ilvl="2">
      <w:start w:val="1"/>
      <w:numFmt w:val="bullet"/>
      <w:lvlText w:val="–"/>
      <w:lvlJc w:val="left"/>
      <w:pPr>
        <w:ind w:left="1077" w:hanging="283"/>
      </w:pPr>
      <w:rPr>
        <w:rFonts w:ascii="Century Gothic" w:hAnsi="Century Gothic" w:cs="Century Gothic" w:hint="default"/>
        <w:sz w:val="20"/>
      </w:rPr>
    </w:lvl>
  </w:abstractNum>
  <w:abstractNum w:abstractNumId="938">
    <w:multiLevelType w:val="hybridMultilevel"/>
    <w:lvl w:ilvl="0">
      <w:start w:val="1"/>
      <w:numFmt w:val="decimal"/>
      <w:lvlText w:val="%1."/>
      <w:lvlJc w:val="left"/>
      <w:pPr>
        <w:ind w:left="357" w:hanging="357"/>
      </w:pPr>
      <w:rPr>
        <w:rFonts w:ascii="Century Gothic" w:hAnsi="Century Gothic" w:cs="Century Gothic" w:hint="default"/>
        <w:b/>
        <w:sz w:val="20"/>
      </w:rPr>
    </w:lvl>
    <w:lvl w:ilvl="1">
      <w:start w:val="1"/>
      <w:numFmt w:val="lowerLetter"/>
      <w:lvlText w:val="%2."/>
      <w:lvlJc w:val="left"/>
      <w:pPr>
        <w:ind w:left="720" w:hanging="357"/>
      </w:pPr>
      <w:rPr>
        <w:rFonts w:ascii="Century Gothic" w:hAnsi="Century Gothic" w:cs="Century Gothic" w:hint="default"/>
        <w:b/>
        <w:sz w:val="20"/>
      </w:rPr>
    </w:lvl>
    <w:lvl w:ilvl="2">
      <w:start w:val="1"/>
      <w:numFmt w:val="bullet"/>
      <w:lvlText w:val=""/>
      <w:lvlJc w:val="left"/>
      <w:pPr>
        <w:ind w:left="1077" w:hanging="283"/>
      </w:pPr>
      <w:rPr>
        <w:rFonts w:ascii="Wingdings" w:hAnsi="Wingdings" w:cs="Wingdings" w:hint="default"/>
        <w:sz w:val="20"/>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901">
    <w:abstractNumId w:val="901"/>
    <w:lvlOverride w:ilvl="0">
      <w:startOverride w:val="1"/>
    </w:lvlOverride>
  </w:num>
  <w:num w:numId="902">
    <w:abstractNumId w:val="8"/>
  </w:num>
  <w:num w:numId="903">
    <w:abstractNumId w:val="6"/>
  </w:num>
  <w:num w:numId="904">
    <w:abstractNumId w:val="5"/>
  </w:num>
  <w:num w:numId="905">
    <w:abstractNumId w:val="4"/>
  </w:num>
  <w:num w:numId="906">
    <w:abstractNumId w:val="7"/>
  </w:num>
  <w:num w:numId="907">
    <w:abstractNumId w:val="3"/>
  </w:num>
  <w:num w:numId="908">
    <w:abstractNumId w:val="2"/>
  </w:num>
  <w:num w:numId="909">
    <w:abstractNumId w:val="1"/>
  </w:num>
  <w:num w:numId="910">
    <w:abstractNumId w:val="0"/>
  </w:num>
  <w:num w:numId="911">
    <w:abstractNumId w:val="903"/>
    <w:lvlOverride w:ilvl="0">
      <w:startOverride w:val="1"/>
    </w:lvlOverride>
  </w:num>
  <w:num w:numId="912">
    <w:abstractNumId w:val="8"/>
  </w:num>
  <w:num w:numId="913">
    <w:abstractNumId w:val="6"/>
  </w:num>
  <w:num w:numId="914">
    <w:abstractNumId w:val="5"/>
  </w:num>
  <w:num w:numId="915">
    <w:abstractNumId w:val="4"/>
  </w:num>
  <w:num w:numId="916">
    <w:abstractNumId w:val="7"/>
  </w:num>
  <w:num w:numId="917">
    <w:abstractNumId w:val="3"/>
  </w:num>
  <w:num w:numId="918">
    <w:abstractNumId w:val="2"/>
  </w:num>
  <w:num w:numId="919">
    <w:abstractNumId w:val="1"/>
  </w:num>
  <w:num w:numId="920">
    <w:abstractNumId w:val="0"/>
  </w:num>
  <w:num w:numId="921">
    <w:abstractNumId w:val="906"/>
    <w:lvlOverride w:ilvl="0">
      <w:startOverride w:val="1"/>
    </w:lvlOverride>
  </w:num>
  <w:num w:numId="922">
    <w:abstractNumId w:val="906"/>
    <w:lvlOverride w:ilvl="0">
      <w:startOverride w:val="1"/>
    </w:lvlOverride>
  </w:num>
  <w:num w:numId="923">
    <w:abstractNumId w:val="8"/>
  </w:num>
  <w:num w:numId="924">
    <w:abstractNumId w:val="6"/>
  </w:num>
  <w:num w:numId="925">
    <w:abstractNumId w:val="5"/>
  </w:num>
  <w:num w:numId="926">
    <w:abstractNumId w:val="4"/>
  </w:num>
  <w:num w:numId="927">
    <w:abstractNumId w:val="7"/>
  </w:num>
  <w:num w:numId="928">
    <w:abstractNumId w:val="3"/>
  </w:num>
  <w:num w:numId="929">
    <w:abstractNumId w:val="2"/>
  </w:num>
  <w:num w:numId="930">
    <w:abstractNumId w:val="1"/>
  </w:num>
  <w:num w:numId="931">
    <w:abstractNumId w:val="0"/>
  </w:num>
  <w:num w:numId="932">
    <w:abstractNumId w:val="909"/>
    <w:lvlOverride w:ilvl="0">
      <w:startOverride w:val="1"/>
    </w:lvlOverride>
  </w:num>
  <w:num w:numId="933">
    <w:abstractNumId w:val="909"/>
    <w:lvlOverride w:ilvl="0">
      <w:startOverride w:val="1"/>
    </w:lvlOverride>
  </w:num>
  <w:num w:numId="934">
    <w:abstractNumId w:val="8"/>
  </w:num>
  <w:num w:numId="935">
    <w:abstractNumId w:val="6"/>
  </w:num>
  <w:num w:numId="936">
    <w:abstractNumId w:val="5"/>
  </w:num>
  <w:num w:numId="937">
    <w:abstractNumId w:val="4"/>
  </w:num>
  <w:num w:numId="938">
    <w:abstractNumId w:val="7"/>
  </w:num>
  <w:num w:numId="939">
    <w:abstractNumId w:val="3"/>
  </w:num>
  <w:num w:numId="940">
    <w:abstractNumId w:val="2"/>
  </w:num>
  <w:num w:numId="941">
    <w:abstractNumId w:val="1"/>
  </w:num>
  <w:num w:numId="942">
    <w:abstractNumId w:val="0"/>
  </w:num>
  <w:num w:numId="943">
    <w:abstractNumId w:val="913"/>
    <w:lvlOverride w:ilvl="0">
      <w:startOverride w:val="1"/>
    </w:lvlOverride>
  </w:num>
  <w:num w:numId="944">
    <w:abstractNumId w:val="912"/>
    <w:lvlOverride w:ilvl="0">
      <w:startOverride w:val="1"/>
    </w:lvlOverride>
  </w:num>
  <w:num w:numId="945">
    <w:abstractNumId w:val="913"/>
    <w:lvlOverride w:ilvl="0">
      <w:startOverride w:val="1"/>
    </w:lvlOverride>
  </w:num>
  <w:num w:numId="946">
    <w:abstractNumId w:val="913"/>
    <w:lvlOverride w:ilvl="0">
      <w:startOverride w:val="1"/>
    </w:lvlOverride>
  </w:num>
  <w:num w:numId="947">
    <w:abstractNumId w:val="913"/>
    <w:lvlOverride w:ilvl="0">
      <w:startOverride w:val="1"/>
    </w:lvlOverride>
  </w:num>
  <w:num w:numId="948">
    <w:abstractNumId w:val="913"/>
    <w:lvlOverride w:ilvl="0">
      <w:startOverride w:val="1"/>
    </w:lvlOverride>
  </w:num>
  <w:num w:numId="949">
    <w:abstractNumId w:val="912"/>
    <w:lvlOverride w:ilvl="0">
      <w:startOverride w:val="1"/>
    </w:lvlOverride>
  </w:num>
  <w:num w:numId="950">
    <w:abstractNumId w:val="913"/>
    <w:lvlOverride w:ilvl="0">
      <w:startOverride w:val="1"/>
    </w:lvlOverride>
  </w:num>
  <w:num w:numId="951">
    <w:abstractNumId w:val="913"/>
    <w:lvlOverride w:ilvl="0">
      <w:startOverride w:val="1"/>
    </w:lvlOverride>
  </w:num>
  <w:num w:numId="952">
    <w:abstractNumId w:val="913"/>
    <w:lvlOverride w:ilvl="0">
      <w:startOverride w:val="1"/>
    </w:lvlOverride>
  </w:num>
  <w:num w:numId="953">
    <w:abstractNumId w:val="913"/>
    <w:lvlOverride w:ilvl="0">
      <w:startOverride w:val="1"/>
    </w:lvlOverride>
  </w:num>
  <w:num w:numId="954">
    <w:abstractNumId w:val="8"/>
  </w:num>
  <w:num w:numId="955">
    <w:abstractNumId w:val="6"/>
  </w:num>
  <w:num w:numId="956">
    <w:abstractNumId w:val="5"/>
  </w:num>
  <w:num w:numId="957">
    <w:abstractNumId w:val="4"/>
  </w:num>
  <w:num w:numId="958">
    <w:abstractNumId w:val="7"/>
  </w:num>
  <w:num w:numId="959">
    <w:abstractNumId w:val="3"/>
  </w:num>
  <w:num w:numId="960">
    <w:abstractNumId w:val="2"/>
  </w:num>
  <w:num w:numId="961">
    <w:abstractNumId w:val="1"/>
  </w:num>
  <w:num w:numId="962">
    <w:abstractNumId w:val="0"/>
  </w:num>
  <w:num w:numId="963">
    <w:abstractNumId w:val="915"/>
    <w:lvlOverride w:ilvl="0">
      <w:startOverride w:val="1"/>
    </w:lvlOverride>
  </w:num>
  <w:num w:numId="964">
    <w:abstractNumId w:val="8"/>
  </w:num>
  <w:num w:numId="965">
    <w:abstractNumId w:val="6"/>
  </w:num>
  <w:num w:numId="966">
    <w:abstractNumId w:val="5"/>
  </w:num>
  <w:num w:numId="967">
    <w:abstractNumId w:val="4"/>
  </w:num>
  <w:num w:numId="968">
    <w:abstractNumId w:val="7"/>
  </w:num>
  <w:num w:numId="969">
    <w:abstractNumId w:val="3"/>
  </w:num>
  <w:num w:numId="970">
    <w:abstractNumId w:val="2"/>
  </w:num>
  <w:num w:numId="971">
    <w:abstractNumId w:val="1"/>
  </w:num>
  <w:num w:numId="972">
    <w:abstractNumId w:val="0"/>
  </w:num>
  <w:num w:numId="973">
    <w:abstractNumId w:val="919"/>
    <w:lvlOverride w:ilvl="0">
      <w:startOverride w:val="1"/>
    </w:lvlOverride>
  </w:num>
  <w:num w:numId="974">
    <w:abstractNumId w:val="918"/>
    <w:lvlOverride w:ilvl="0">
      <w:startOverride w:val="1"/>
    </w:lvlOverride>
  </w:num>
  <w:num w:numId="975">
    <w:abstractNumId w:val="8"/>
  </w:num>
  <w:num w:numId="976">
    <w:abstractNumId w:val="6"/>
  </w:num>
  <w:num w:numId="977">
    <w:abstractNumId w:val="5"/>
  </w:num>
  <w:num w:numId="978">
    <w:abstractNumId w:val="4"/>
  </w:num>
  <w:num w:numId="979">
    <w:abstractNumId w:val="7"/>
  </w:num>
  <w:num w:numId="980">
    <w:abstractNumId w:val="3"/>
  </w:num>
  <w:num w:numId="981">
    <w:abstractNumId w:val="2"/>
  </w:num>
  <w:num w:numId="982">
    <w:abstractNumId w:val="1"/>
  </w:num>
  <w:num w:numId="983">
    <w:abstractNumId w:val="0"/>
  </w:num>
  <w:num w:numId="984">
    <w:abstractNumId w:val="921"/>
    <w:lvlOverride w:ilvl="0">
      <w:startOverride w:val="1"/>
    </w:lvlOverride>
  </w:num>
  <w:num w:numId="985">
    <w:abstractNumId w:val="921"/>
    <w:lvlOverride w:ilvl="0">
      <w:startOverride w:val="1"/>
    </w:lvlOverride>
  </w:num>
  <w:num w:numId="986">
    <w:abstractNumId w:val="921"/>
    <w:lvlOverride w:ilvl="0">
      <w:startOverride w:val="1"/>
    </w:lvlOverride>
  </w:num>
  <w:num w:numId="987">
    <w:abstractNumId w:val="8"/>
  </w:num>
  <w:num w:numId="988">
    <w:abstractNumId w:val="6"/>
  </w:num>
  <w:num w:numId="989">
    <w:abstractNumId w:val="5"/>
  </w:num>
  <w:num w:numId="990">
    <w:abstractNumId w:val="4"/>
  </w:num>
  <w:num w:numId="991">
    <w:abstractNumId w:val="7"/>
  </w:num>
  <w:num w:numId="992">
    <w:abstractNumId w:val="3"/>
  </w:num>
  <w:num w:numId="993">
    <w:abstractNumId w:val="2"/>
  </w:num>
  <w:num w:numId="994">
    <w:abstractNumId w:val="1"/>
  </w:num>
  <w:num w:numId="995">
    <w:abstractNumId w:val="0"/>
  </w:num>
  <w:num w:numId="996">
    <w:abstractNumId w:val="924"/>
    <w:lvlOverride w:ilvl="0">
      <w:startOverride w:val="1"/>
    </w:lvlOverride>
  </w:num>
  <w:num w:numId="997">
    <w:abstractNumId w:val="8"/>
  </w:num>
  <w:num w:numId="998">
    <w:abstractNumId w:val="6"/>
  </w:num>
  <w:num w:numId="999">
    <w:abstractNumId w:val="5"/>
  </w:num>
  <w:num w:numId="1000">
    <w:abstractNumId w:val="4"/>
  </w:num>
  <w:num w:numId="1001">
    <w:abstractNumId w:val="7"/>
  </w:num>
  <w:num w:numId="1002">
    <w:abstractNumId w:val="3"/>
  </w:num>
  <w:num w:numId="1003">
    <w:abstractNumId w:val="2"/>
  </w:num>
  <w:num w:numId="1004">
    <w:abstractNumId w:val="1"/>
  </w:num>
  <w:num w:numId="1005">
    <w:abstractNumId w:val="0"/>
  </w:num>
  <w:num w:numId="1006">
    <w:abstractNumId w:val="927"/>
    <w:lvlOverride w:ilvl="0">
      <w:startOverride w:val="1"/>
    </w:lvlOverride>
  </w:num>
  <w:num w:numId="1007">
    <w:abstractNumId w:val="927"/>
    <w:lvlOverride w:ilvl="0">
      <w:startOverride w:val="1"/>
    </w:lvlOverride>
  </w:num>
  <w:num w:numId="1008">
    <w:abstractNumId w:val="927"/>
    <w:lvlOverride w:ilvl="0">
      <w:startOverride w:val="1"/>
    </w:lvlOverride>
  </w:num>
  <w:num w:numId="1009">
    <w:abstractNumId w:val="927"/>
    <w:lvlOverride w:ilvl="0">
      <w:startOverride w:val="1"/>
    </w:lvlOverride>
  </w:num>
  <w:num w:numId="1010">
    <w:abstractNumId w:val="929"/>
    <w:lvlOverride w:ilvl="0">
      <w:startOverride w:val="1"/>
    </w:lvlOverride>
  </w:num>
  <w:num w:numId="1011">
    <w:abstractNumId w:val="929"/>
    <w:lvlOverride w:ilvl="0">
      <w:startOverride w:val="1"/>
    </w:lvlOverride>
  </w:num>
  <w:num w:numId="1012">
    <w:abstractNumId w:val="929"/>
    <w:lvlOverride w:ilvl="0">
      <w:startOverride w:val="1"/>
    </w:lvlOverride>
  </w:num>
  <w:num w:numId="1013">
    <w:abstractNumId w:val="927"/>
    <w:lvlOverride w:ilvl="0">
      <w:startOverride w:val="1"/>
    </w:lvlOverride>
  </w:num>
  <w:num w:numId="1014">
    <w:abstractNumId w:val="929"/>
    <w:lvlOverride w:ilvl="0">
      <w:startOverride w:val="1"/>
    </w:lvlOverride>
  </w:num>
  <w:num w:numId="1015">
    <w:abstractNumId w:val="8"/>
  </w:num>
  <w:num w:numId="1016">
    <w:abstractNumId w:val="6"/>
  </w:num>
  <w:num w:numId="1017">
    <w:abstractNumId w:val="5"/>
  </w:num>
  <w:num w:numId="1018">
    <w:abstractNumId w:val="4"/>
  </w:num>
  <w:num w:numId="1019">
    <w:abstractNumId w:val="7"/>
  </w:num>
  <w:num w:numId="1020">
    <w:abstractNumId w:val="3"/>
  </w:num>
  <w:num w:numId="1021">
    <w:abstractNumId w:val="2"/>
  </w:num>
  <w:num w:numId="1022">
    <w:abstractNumId w:val="1"/>
  </w:num>
  <w:num w:numId="1023">
    <w:abstractNumId w:val="0"/>
  </w:num>
  <w:num w:numId="1024">
    <w:abstractNumId w:val="930"/>
    <w:lvlOverride w:ilvl="0">
      <w:startOverride w:val="1"/>
    </w:lvlOverride>
  </w:num>
  <w:num w:numId="1025">
    <w:abstractNumId w:val="8"/>
  </w:num>
  <w:num w:numId="1026">
    <w:abstractNumId w:val="6"/>
  </w:num>
  <w:num w:numId="1027">
    <w:abstractNumId w:val="5"/>
  </w:num>
  <w:num w:numId="1028">
    <w:abstractNumId w:val="4"/>
  </w:num>
  <w:num w:numId="1029">
    <w:abstractNumId w:val="7"/>
  </w:num>
  <w:num w:numId="1030">
    <w:abstractNumId w:val="3"/>
  </w:num>
  <w:num w:numId="1031">
    <w:abstractNumId w:val="2"/>
  </w:num>
  <w:num w:numId="1032">
    <w:abstractNumId w:val="1"/>
  </w:num>
  <w:num w:numId="1033">
    <w:abstractNumId w:val="0"/>
  </w:num>
  <w:num w:numId="1034">
    <w:abstractNumId w:val="8"/>
  </w:num>
  <w:num w:numId="1035">
    <w:abstractNumId w:val="6"/>
  </w:num>
  <w:num w:numId="1036">
    <w:abstractNumId w:val="5"/>
  </w:num>
  <w:num w:numId="1037">
    <w:abstractNumId w:val="4"/>
  </w:num>
  <w:num w:numId="1038">
    <w:abstractNumId w:val="7"/>
  </w:num>
  <w:num w:numId="1039">
    <w:abstractNumId w:val="3"/>
  </w:num>
  <w:num w:numId="1040">
    <w:abstractNumId w:val="2"/>
  </w:num>
  <w:num w:numId="1041">
    <w:abstractNumId w:val="1"/>
  </w:num>
  <w:num w:numId="1042">
    <w:abstractNumId w:val="0"/>
  </w:num>
  <w:num w:numId="1043">
    <w:abstractNumId w:val="936"/>
    <w:lvlOverride w:ilvl="0">
      <w:startOverride w:val="1"/>
    </w:lvlOverride>
  </w:num>
  <w:num w:numId="1044">
    <w:abstractNumId w:val="936"/>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40" w:lineRule="auto"/>
    </w:pPr>
    <w:rPr>
      <w:rFonts w:ascii="Century Gothic" w:hAnsi="Century Gothic" w:cs="Century Gothic" w:eastAsia="Century Gothic"/>
      <w:sz w:val="20"/>
      <w:lang w:val="es-BO" w:eastAsia="es-BO"/>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