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Reglamentación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13.</w:t>
        <w:tab/>
      </w:r>
      <w:r>
        <w:rPr>
          <w:rFonts w:ascii="Century Gothic" w:hAnsi="Century Gothic" w:cs="Century Gothic" w:eastAsia="Century Gothic"/>
          <w:b/>
          <w:i w:val="0"/>
          <w:sz w:val="24"/>
        </w:rPr>
        <w:t>Reglamentación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13.1</w:t>
        <w:tab/>
      </w:r>
      <w:r>
        <w:rPr>
          <w:rFonts w:ascii="Century Gothic" w:hAnsi="Century Gothic" w:cs="Century Gothic" w:eastAsia="Century Gothic"/>
          <w:b/>
          <w:i w:val="0"/>
          <w:sz w:val="24"/>
        </w:rPr>
        <w:t>Reglamentos académicos y administrativos</w:t>
      </w:r>
    </w:p>
    <w:p>
      <w:pPr>
        <w:spacing w:before="0" w:after="200" w:line="240" w:lineRule="auto"/>
        <w:jc w:val="both"/>
      </w:pPr>
      <w:r>
        <w:rPr>
          <w:rFonts w:ascii="Century Gothic" w:hAnsi="Century Gothic" w:cs="Century Gothic" w:eastAsia="Century Gothic"/>
          <w:b w:val="0"/>
          <w:i w:val="0"/>
          <w:sz w:val="20"/>
        </w:rPr>
        <w:t>De acuerdo a las características de cada gestión y con la actualización de normativa en la Universidad, se trabaja con los reglamentos vigentes:</w:t>
      </w:r>
    </w:p>
    <w:p>
      <w:pPr>
        <w:numPr>
          <w:ilvl w:val="0"/>
          <w:numId w:val="901"/>
        </w:numPr>
        <w:spacing w:before="0" w:after="160" w:line="240" w:lineRule="auto"/>
        <w:jc w:val="both"/>
      </w:pPr>
      <w:r>
        <w:rPr>
          <w:rFonts w:ascii="Century Gothic" w:hAnsi="Century Gothic" w:cs="Century Gothic" w:eastAsia="Century Gothic"/>
          <w:b w:val="0"/>
          <w:i w:val="0"/>
          <w:sz w:val="20"/>
        </w:rPr>
        <w:t>Reglamento de Trabajo Dirigido</w:t>
      </w:r>
    </w:p>
    <w:p>
      <w:pPr>
        <w:numPr>
          <w:ilvl w:val="0"/>
          <w:numId w:val="901"/>
        </w:numPr>
        <w:spacing w:before="0" w:after="160" w:line="240" w:lineRule="auto"/>
        <w:jc w:val="both"/>
      </w:pPr>
      <w:r>
        <w:rPr>
          <w:rFonts w:ascii="Century Gothic" w:hAnsi="Century Gothic" w:cs="Century Gothic" w:eastAsia="Century Gothic"/>
          <w:b w:val="0"/>
          <w:i w:val="0"/>
          <w:sz w:val="20"/>
        </w:rPr>
        <w:t>Reglamento de Graduación por Excelencia</w:t>
      </w:r>
    </w:p>
    <w:p>
      <w:pPr>
        <w:numPr>
          <w:ilvl w:val="0"/>
          <w:numId w:val="901"/>
        </w:numPr>
        <w:spacing w:before="0" w:after="160" w:line="240" w:lineRule="auto"/>
        <w:jc w:val="both"/>
      </w:pPr>
      <w:r>
        <w:rPr>
          <w:rFonts w:ascii="Century Gothic" w:hAnsi="Century Gothic" w:cs="Century Gothic" w:eastAsia="Century Gothic"/>
          <w:b w:val="0"/>
          <w:i w:val="0"/>
          <w:sz w:val="20"/>
        </w:rPr>
        <w:t>Reglamento de Convalidaciones</w:t>
      </w:r>
    </w:p>
    <w:p>
      <w:pPr>
        <w:numPr>
          <w:ilvl w:val="0"/>
          <w:numId w:val="901"/>
        </w:numPr>
        <w:spacing w:before="0" w:after="160" w:line="240" w:lineRule="auto"/>
        <w:jc w:val="both"/>
      </w:pPr>
      <w:r>
        <w:rPr>
          <w:rFonts w:ascii="Century Gothic" w:hAnsi="Century Gothic" w:cs="Century Gothic" w:eastAsia="Century Gothic"/>
          <w:b w:val="0"/>
          <w:i w:val="0"/>
          <w:sz w:val="20"/>
        </w:rPr>
        <w:t>Reglamento de Auxiliares Académicos de Pregrado de la UMSA</w:t>
      </w:r>
    </w:p>
    <w:p>
      <w:pPr>
        <w:numPr>
          <w:ilvl w:val="0"/>
          <w:numId w:val="901"/>
        </w:numPr>
        <w:spacing w:before="0" w:after="160" w:line="240" w:lineRule="auto"/>
        <w:jc w:val="both"/>
      </w:pPr>
      <w:r>
        <w:rPr>
          <w:rFonts w:ascii="Century Gothic" w:hAnsi="Century Gothic" w:cs="Century Gothic" w:eastAsia="Century Gothic"/>
          <w:b w:val="0"/>
          <w:i w:val="0"/>
          <w:sz w:val="20"/>
        </w:rPr>
        <w:t>Reglamento de Convocatorias a Docentes</w:t>
      </w:r>
    </w:p>
    <w:p>
      <w:pPr>
        <w:numPr>
          <w:ilvl w:val="0"/>
          <w:numId w:val="901"/>
        </w:numPr>
        <w:spacing w:before="0" w:after="160" w:line="240" w:lineRule="auto"/>
        <w:jc w:val="both"/>
      </w:pPr>
      <w:r>
        <w:rPr>
          <w:rFonts w:ascii="Century Gothic" w:hAnsi="Century Gothic" w:cs="Century Gothic" w:eastAsia="Century Gothic"/>
          <w:b w:val="0"/>
          <w:i w:val="0"/>
          <w:sz w:val="20"/>
        </w:rPr>
        <w:t>Reglamento de Postgrados de la Facultad de Ciencias Económicas y Financieras</w:t>
      </w:r>
    </w:p>
    <w:p>
      <w:pPr>
        <w:numPr>
          <w:ilvl w:val="0"/>
          <w:numId w:val="901"/>
        </w:numPr>
        <w:spacing w:before="0" w:after="160" w:line="240" w:lineRule="auto"/>
        <w:jc w:val="both"/>
      </w:pPr>
      <w:r>
        <w:rPr>
          <w:rFonts w:ascii="Century Gothic" w:hAnsi="Century Gothic" w:cs="Century Gothic" w:eastAsia="Century Gothic"/>
          <w:b w:val="0"/>
          <w:i w:val="0"/>
          <w:sz w:val="20"/>
        </w:rPr>
        <w:t>Reglamento de Directores de Institutos de Investigación</w:t>
      </w:r>
    </w:p>
    <w:p>
      <w:pPr>
        <w:numPr>
          <w:ilvl w:val="0"/>
          <w:numId w:val="901"/>
        </w:numPr>
        <w:spacing w:before="0" w:after="200" w:line="240" w:lineRule="auto"/>
        <w:jc w:val="both"/>
      </w:pPr>
      <w:r>
        <w:rPr>
          <w:rFonts w:ascii="Century Gothic" w:hAnsi="Century Gothic" w:cs="Century Gothic" w:eastAsia="Century Gothic"/>
          <w:b w:val="0"/>
          <w:i w:val="0"/>
          <w:sz w:val="20"/>
        </w:rPr>
        <w:t>Reglamento de Institutos de Investigación de la UMSA</w:t>
      </w:r>
    </w:p>
    <w:p>
      <w:pPr>
        <w:keepNext/>
        <w:spacing w:before="40" w:after="200" w:line="240" w:lineRule="auto"/>
        <w:jc w:val="left"/>
      </w:pPr>
      <w:r>
        <w:rPr>
          <w:rFonts w:ascii="Century Gothic" w:hAnsi="Century Gothic" w:cs="Century Gothic" w:eastAsia="Century Gothic"/>
          <w:b/>
          <w:i w:val="0"/>
          <w:sz w:val="22"/>
        </w:rPr>
        <w:t>DISPOSICIONES DE EJECUCIÓN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13.1.1</w:t>
        <w:tab/>
      </w:r>
      <w:r>
        <w:rPr>
          <w:rFonts w:ascii="Century Gothic" w:hAnsi="Century Gothic" w:cs="Century Gothic" w:eastAsia="Century Gothic"/>
          <w:b/>
          <w:i w:val="0"/>
          <w:sz w:val="22"/>
        </w:rPr>
        <w:t>REGLAMENTOS INTERNOS DE LA CARRERA</w:t>
      </w:r>
    </w:p>
    <w:p>
      <w:pPr>
        <w:keepNext/>
        <w:tabs>
          <w:tab w:pos="992" w:val="left"/>
        </w:tabs>
        <w:spacing w:before="40" w:after="200" w:line="240" w:lineRule="auto"/>
        <w:ind w:left="992" w:hanging="992"/>
        <w:jc w:val="left"/>
      </w:pPr>
      <w:r>
        <w:rPr>
          <w:rFonts w:ascii="Century Gothic" w:hAnsi="Century Gothic" w:cs="Century Gothic" w:eastAsia="Century Gothic"/>
          <w:b/>
          <w:i w:val="0"/>
          <w:sz w:val="22"/>
        </w:rPr>
        <w:t>13.1.1.1</w:t>
        <w:tab/>
      </w:r>
      <w:r>
        <w:rPr>
          <w:rFonts w:ascii="Century Gothic" w:hAnsi="Century Gothic" w:cs="Century Gothic" w:eastAsia="Century Gothic"/>
          <w:b/>
          <w:i w:val="0"/>
          <w:sz w:val="22"/>
        </w:rPr>
        <w:t>CURSOS DE TEMPORADA</w:t>
      </w:r>
    </w:p>
    <w:p>
      <w:pPr>
        <w:spacing w:before="0" w:after="200" w:line="240" w:lineRule="auto"/>
        <w:jc w:val="both"/>
      </w:pPr>
      <w:r>
        <w:rPr>
          <w:rFonts w:ascii="Century Gothic" w:hAnsi="Century Gothic" w:cs="Century Gothic" w:eastAsia="Century Gothic"/>
          <w:b w:val="0"/>
          <w:i w:val="0"/>
          <w:sz w:val="20"/>
        </w:rPr>
        <w:t>El objetivo del curso de temporada consiste en ofertar a los estudiantes regulares de la Carrera, la opción de cursar en forma intensiva en cada temporada, para nivelar y/o adelantar hasta dos asignaturas, cumpliendo con los requisitos y pre-requisitos establecidos en los planes de estudio y reglamentos facultativos.</w:t>
      </w:r>
    </w:p>
    <w:p>
      <w:pPr>
        <w:spacing w:before="0" w:after="200" w:line="240" w:lineRule="auto"/>
        <w:jc w:val="both"/>
      </w:pPr>
      <w:r>
        <w:rPr>
          <w:rFonts w:ascii="Century Gothic" w:hAnsi="Century Gothic" w:cs="Century Gothic" w:eastAsia="Century Gothic"/>
          <w:b w:val="0"/>
          <w:i w:val="0"/>
          <w:sz w:val="20"/>
        </w:rPr>
        <w:t xml:space="preserve">Esta modalidad está en vigencia en virtud de la Resolución del Honorable Consejo Universitario No 093/06 de 15 de marzo de 2006, que en su Artículo 13º establece que: </w:t>
      </w:r>
      <w:r>
        <w:rPr>
          <w:rFonts w:ascii="Century Gothic" w:hAnsi="Century Gothic" w:cs="Century Gothic" w:eastAsia="Century Gothic"/>
          <w:b w:val="0"/>
          <w:i/>
          <w:sz w:val="20"/>
        </w:rPr>
        <w:t>“Las Carreras tienen la tuición de elegir las materias a ser dictadas en el periodo que dure los Cursos de Temporada en función de aspectos que cada unidad académica considere importante, debiendo sus contenidos ser cubiertos en un 100% en teoría y en práctica”</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Así mismo, el Artículo 6ª de dicha norma establece que: </w:t>
      </w:r>
      <w:r>
        <w:rPr>
          <w:rFonts w:ascii="Century Gothic" w:hAnsi="Century Gothic" w:cs="Century Gothic" w:eastAsia="Century Gothic"/>
          <w:b w:val="0"/>
          <w:i/>
          <w:sz w:val="20"/>
        </w:rPr>
        <w:t>“Cada curso se desarrollará en forma intensiva … al finalizar la gestión en caso de carreras anualizadas por un lapso de 60 días calendario (8 semanas) mínimamente, equivalente a la carga horaria suficiente para desarrollar la totalidad de su programa analítico en vigencia…”</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Por lo tanto, considerando el contenido de cada una de las asignaturas que componen el Plan de Estudios 2024, esta modalidad no es aplicable para adelantar ninguna asignatura de las Áreas Troncales, ya que las mismas han sido definidas como prioritarias para la formación del Contador Público; excepto para las asignaturas troncales con una carga horaria igual o menor a 80 horas. Consecuentemente; el curso de temporada debe abrirse solamente para las asignaturas que correspondan a las Áreas Contextuales y las Asignaturas Troncales con carga horaria de 80 horas.</w:t>
      </w:r>
    </w:p>
    <w:p>
      <w:pPr>
        <w:spacing w:before="0" w:after="200" w:line="240" w:lineRule="auto"/>
        <w:jc w:val="both"/>
      </w:pPr>
      <w:r>
        <w:rPr>
          <w:rFonts w:ascii="Century Gothic" w:hAnsi="Century Gothic" w:cs="Century Gothic" w:eastAsia="Century Gothic"/>
          <w:b w:val="0"/>
          <w:i w:val="0"/>
          <w:sz w:val="20"/>
        </w:rPr>
        <w:t>Sin embargo, el estudiante, podrá recuperar las asignaturas troncales reprobadas solamente si logró una nota mayor o igual a veinte (20) puntos sobre cien (100) puntos en la gestión a la que corresponde el curso de verano.</w:t>
      </w:r>
    </w:p>
    <w:p>
      <w:pPr>
        <w:keepNext/>
        <w:tabs>
          <w:tab w:pos="992" w:val="left"/>
        </w:tabs>
        <w:spacing w:before="40" w:after="200" w:line="240" w:lineRule="auto"/>
        <w:ind w:left="992" w:hanging="992"/>
        <w:jc w:val="left"/>
      </w:pPr>
      <w:r>
        <w:rPr>
          <w:rFonts w:ascii="Century Gothic" w:hAnsi="Century Gothic" w:cs="Century Gothic" w:eastAsia="Century Gothic"/>
          <w:b/>
          <w:i w:val="0"/>
          <w:sz w:val="22"/>
        </w:rPr>
        <w:t>13.1.1.2</w:t>
        <w:tab/>
      </w:r>
      <w:r>
        <w:rPr>
          <w:rFonts w:ascii="Century Gothic" w:hAnsi="Century Gothic" w:cs="Century Gothic" w:eastAsia="Century Gothic"/>
          <w:b/>
          <w:i w:val="0"/>
          <w:sz w:val="22"/>
        </w:rPr>
        <w:t>MESAS DE EXAMEN</w:t>
      </w:r>
    </w:p>
    <w:p>
      <w:pPr>
        <w:spacing w:before="0" w:after="200" w:line="240" w:lineRule="auto"/>
        <w:jc w:val="both"/>
      </w:pPr>
      <w:r>
        <w:rPr>
          <w:rFonts w:ascii="Century Gothic" w:hAnsi="Century Gothic" w:cs="Century Gothic" w:eastAsia="Century Gothic"/>
          <w:b w:val="0"/>
          <w:i w:val="0"/>
          <w:sz w:val="20"/>
        </w:rPr>
        <w:t>La Mesa de Examen es una modalidad de evaluación que exime al estudiante de cursar la materia durante toda la gestión, rindiendo un solo examen.</w:t>
      </w:r>
    </w:p>
    <w:p>
      <w:pPr>
        <w:spacing w:before="0" w:after="200" w:line="240" w:lineRule="auto"/>
        <w:jc w:val="both"/>
      </w:pPr>
      <w:r>
        <w:rPr>
          <w:rFonts w:ascii="Century Gothic" w:hAnsi="Century Gothic" w:cs="Century Gothic" w:eastAsia="Century Gothic"/>
          <w:b w:val="0"/>
          <w:i w:val="0"/>
          <w:sz w:val="20"/>
        </w:rPr>
        <w:t xml:space="preserve">Esta modalidad de evaluación le permite al estudiante nivelarse y/o avanzar en el pensum, en virtud de la Resolución del Honorable Consejo Universitario No. 352/2021 de 21 de julio de 2021 que en su Artículo 8º establece que: </w:t>
      </w:r>
      <w:r>
        <w:rPr>
          <w:rFonts w:ascii="Century Gothic" w:hAnsi="Century Gothic" w:cs="Century Gothic" w:eastAsia="Century Gothic"/>
          <w:b w:val="0"/>
          <w:i/>
          <w:sz w:val="20"/>
        </w:rPr>
        <w:t>“La mesa de examen se aplica tan solo a las materias teóricas del plan de estudios. El Consejo de Carrera definirá la lista de materias habilitadas, debiendo dar a conocer públicamente la nómina de las mismas”</w:t>
      </w:r>
      <w:r>
        <w:rPr>
          <w:rFonts w:ascii="Century Gothic" w:hAnsi="Century Gothic" w:cs="Century Gothic" w:eastAsia="Century Gothic"/>
          <w:b w:val="0"/>
          <w:i w:val="0"/>
          <w:sz w:val="20"/>
        </w:rPr>
        <w:t>. Con base en los criterios justificados de la definición de “materia teórica” (ver Anexo 1), se definen las siguientes materias como teóricas:</w:t>
      </w:r>
    </w:p>
    <w:tbl>
      <w:tblPr>
        <w:tblW w:type="auto" w:w="0"/>
        <w:jc w:val="center"/>
        <w:tblLayout w:type="fixed"/>
        <w:tblLook w:firstColumn="1" w:firstRow="1" w:lastColumn="0" w:lastRow="0" w:noHBand="0" w:noVBand="1" w:val="04A0"/>
      </w:tblPr>
      <w:tblGrid>
        <w:gridCol w:w="2853"/>
        <w:gridCol w:w="6218"/>
      </w:tblGrid>
      <w:tr>
        <w:trPr>
          <w:tblHeader/>
        </w:trPr>
        <w:tc>
          <w:tcPr>
            <w:tcW w:type="dxa" w:w="285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Sigla</w:t>
            </w:r>
            <w:r>
              <w:rPr>
                <w:rFonts w:ascii="Century Gothic" w:hAnsi="Century Gothic" w:cs="Century Gothic" w:eastAsia="Century Gothic"/>
                <w:b/>
                <w:i w:val="0"/>
                <w:color w:val="FFFFFF"/>
                <w:sz w:val="20"/>
              </w:rPr>
              <w:t xml:space="preserve"> </w:t>
            </w:r>
            <w:r>
              <w:rPr>
                <w:rFonts w:ascii="Century Gothic" w:hAnsi="Century Gothic" w:cs="Century Gothic" w:eastAsia="Century Gothic"/>
                <w:b/>
                <w:i w:val="0"/>
                <w:color w:val="FFFFFF"/>
                <w:sz w:val="20"/>
              </w:rPr>
              <w:t>Código</w:t>
            </w:r>
          </w:p>
        </w:tc>
        <w:tc>
          <w:tcPr>
            <w:tcW w:type="dxa" w:w="62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Primer Año</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General</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Comercial y Gobierno Corporativo</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Laboral y Seguridad Social</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Segundo Año</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de Sistemas Gerenciales</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Legislación Tributaria y Aduanera</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Métodos y Técnicas de Investigación</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Tercer Año</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Organizacional y Comportamiento Organizacional</w:t>
            </w: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Cuarto Año</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5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w:t>
            </w:r>
          </w:p>
        </w:tc>
        <w:tc>
          <w:tcPr>
            <w:tcW w:type="dxa" w:w="62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e Independencia Profesional</w:t>
            </w:r>
          </w:p>
        </w:tc>
      </w:tr>
    </w:tbl>
    <w:p>
      <w:pPr>
        <w:spacing w:before="0" w:after="120" w:line="240" w:lineRule="auto"/>
        <w:jc w:val="left"/>
      </w:pP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13.1.2</w:t>
        <w:tab/>
      </w:r>
      <w:r>
        <w:rPr>
          <w:rFonts w:ascii="Century Gothic" w:hAnsi="Century Gothic" w:cs="Century Gothic" w:eastAsia="Century Gothic"/>
          <w:b/>
          <w:i w:val="0"/>
          <w:sz w:val="22"/>
        </w:rPr>
        <w:t>NORMATIVAS INTERNAS DE CARRERA</w:t>
      </w:r>
    </w:p>
    <w:p>
      <w:pPr>
        <w:keepNext/>
        <w:tabs>
          <w:tab w:pos="992" w:val="left"/>
        </w:tabs>
        <w:spacing w:before="40" w:after="200" w:line="240" w:lineRule="auto"/>
        <w:ind w:left="992" w:hanging="992"/>
        <w:jc w:val="left"/>
      </w:pPr>
      <w:r>
        <w:rPr>
          <w:rFonts w:ascii="Century Gothic" w:hAnsi="Century Gothic" w:cs="Century Gothic" w:eastAsia="Century Gothic"/>
          <w:b/>
          <w:i w:val="0"/>
          <w:sz w:val="22"/>
        </w:rPr>
        <w:t>13.1.2.1</w:t>
        <w:tab/>
      </w:r>
      <w:r>
        <w:rPr>
          <w:rFonts w:ascii="Century Gothic" w:hAnsi="Century Gothic" w:cs="Century Gothic" w:eastAsia="Century Gothic"/>
          <w:b/>
          <w:i w:val="0"/>
          <w:sz w:val="22"/>
        </w:rPr>
        <w:t>REGLAMENTO DE MODALIDADES DE GRADUACIÓN</w:t>
      </w:r>
    </w:p>
    <w:p>
      <w:pPr>
        <w:spacing w:before="0" w:after="200" w:line="240" w:lineRule="auto"/>
        <w:jc w:val="both"/>
      </w:pPr>
      <w:r>
        <w:rPr>
          <w:rFonts w:ascii="Century Gothic" w:hAnsi="Century Gothic" w:cs="Century Gothic" w:eastAsia="Century Gothic"/>
          <w:b/>
          <w:i w:val="0"/>
          <w:sz w:val="20"/>
        </w:rPr>
        <w:t>CAPITULO I: DISPOSICIONES GENERALES</w:t>
      </w:r>
    </w:p>
    <w:p>
      <w:pPr>
        <w:spacing w:before="0" w:after="200" w:line="240" w:lineRule="auto"/>
        <w:jc w:val="both"/>
      </w:pPr>
      <w:r>
        <w:rPr>
          <w:rFonts w:ascii="Century Gothic" w:hAnsi="Century Gothic" w:cs="Century Gothic" w:eastAsia="Century Gothic"/>
          <w:b/>
          <w:i w:val="0"/>
          <w:sz w:val="20"/>
        </w:rPr>
        <w:t>ARTÍCULO 1.- ALCANCE</w:t>
      </w:r>
    </w:p>
    <w:p>
      <w:pPr>
        <w:spacing w:before="0" w:after="200" w:line="240" w:lineRule="auto"/>
        <w:jc w:val="both"/>
      </w:pPr>
      <w:r>
        <w:rPr>
          <w:rFonts w:ascii="Century Gothic" w:hAnsi="Century Gothic" w:cs="Century Gothic" w:eastAsia="Century Gothic"/>
          <w:b w:val="0"/>
          <w:i w:val="0"/>
          <w:sz w:val="20"/>
        </w:rPr>
        <w:t>El presente reglamento, establece normas, procedimientos y requisitos para obtener el Grado Académico de Licenciatura en Contaduría Pública y Título en Provisión Nacional de Contador Público Autorizado, que deberán ser observados irrefragablemente por todos los Postulantes de la Carrera de Contaduría Pública de la Facultad de Ciencias Económicas y Financieras de la Universidad Mayor de “San Andrés”.</w:t>
      </w:r>
    </w:p>
    <w:p>
      <w:pPr>
        <w:spacing w:before="0" w:after="200" w:line="240" w:lineRule="auto"/>
        <w:jc w:val="both"/>
      </w:pPr>
      <w:r>
        <w:rPr>
          <w:rFonts w:ascii="Century Gothic" w:hAnsi="Century Gothic" w:cs="Century Gothic" w:eastAsia="Century Gothic"/>
          <w:b w:val="0"/>
          <w:i w:val="0"/>
          <w:sz w:val="20"/>
        </w:rPr>
        <w:t>Establece a su vez normas y procedimientos orientados al desempeño de los Docentes de la Carrera de Contaduría Pública en condición de Tribunales en las diversas modalidades de graduación.</w:t>
      </w:r>
    </w:p>
    <w:p>
      <w:pPr>
        <w:spacing w:before="0" w:after="200" w:line="240" w:lineRule="auto"/>
        <w:jc w:val="both"/>
      </w:pPr>
      <w:r>
        <w:rPr>
          <w:rFonts w:ascii="Century Gothic" w:hAnsi="Century Gothic" w:cs="Century Gothic" w:eastAsia="Century Gothic"/>
          <w:b/>
          <w:i w:val="0"/>
          <w:sz w:val="20"/>
        </w:rPr>
        <w:t>ARTÍCULO 2.- CERTIFICADO DE CONCLUSIÓN DE ESTUDIOS</w:t>
      </w:r>
    </w:p>
    <w:p>
      <w:pPr>
        <w:spacing w:before="0" w:after="200" w:line="240" w:lineRule="auto"/>
        <w:jc w:val="both"/>
      </w:pPr>
      <w:r>
        <w:rPr>
          <w:rFonts w:ascii="Century Gothic" w:hAnsi="Century Gothic" w:cs="Century Gothic" w:eastAsia="Century Gothic"/>
          <w:b w:val="0"/>
          <w:i w:val="0"/>
          <w:sz w:val="20"/>
        </w:rPr>
        <w:t>La Carrera de Contaduría Pública, conforme al “Plan de Estudios - 2024” en vigencia, a solicitud del Postulante, otorgará previa verificación del cumplimiento de requisitos el “Certificado de Conclusión de Estudios”.</w:t>
      </w:r>
    </w:p>
    <w:p>
      <w:pPr>
        <w:spacing w:before="0" w:after="200" w:line="240" w:lineRule="auto"/>
        <w:jc w:val="both"/>
      </w:pPr>
      <w:r>
        <w:rPr>
          <w:rFonts w:ascii="Century Gothic" w:hAnsi="Century Gothic" w:cs="Century Gothic" w:eastAsia="Century Gothic"/>
          <w:b w:val="0"/>
          <w:i w:val="0"/>
          <w:sz w:val="20"/>
        </w:rPr>
        <w:t>El Certificado de Conclusión de Estudios, no acredita grado académico alguno, siendo finalidad exclusiva habilitar al Postulante, para optar por cualquiera de las modalidades de graduación establecidas en el presente Reglamento y obtener el Título Académico de Licenciatura en Contaduría Pública; en virtud del cumplimiento de los requisitos establecidos para cada Modalidad, de manera específica.</w:t>
      </w:r>
    </w:p>
    <w:p>
      <w:pPr>
        <w:spacing w:before="0" w:after="200" w:line="240" w:lineRule="auto"/>
        <w:jc w:val="both"/>
      </w:pPr>
      <w:r>
        <w:rPr>
          <w:rFonts w:ascii="Century Gothic" w:hAnsi="Century Gothic" w:cs="Century Gothic" w:eastAsia="Century Gothic"/>
          <w:b/>
          <w:i w:val="0"/>
          <w:sz w:val="20"/>
        </w:rPr>
        <w:t>ARTÍCULO 3.- TITULO ACADÉMICO</w:t>
      </w:r>
    </w:p>
    <w:p>
      <w:pPr>
        <w:spacing w:before="0" w:after="200" w:line="240" w:lineRule="auto"/>
        <w:jc w:val="both"/>
      </w:pPr>
      <w:r>
        <w:rPr>
          <w:rFonts w:ascii="Century Gothic" w:hAnsi="Century Gothic" w:cs="Century Gothic" w:eastAsia="Century Gothic"/>
          <w:b w:val="0"/>
          <w:i w:val="0"/>
          <w:sz w:val="20"/>
        </w:rPr>
        <w:t>La Carrera de Contaduría Pública de la Facultad de Ciencias Económicas y Financieras de la Universidad Mayor de “San Andrés”, en conformidad con los Planes de Estudios vigentes y habiendo aprobado el Postulante cualquiera de las modalidades de graduación establecidas en el presente Reglamento y previa verificación del cumplimiento de requisitos académicos y administrativos, habilitará al Postulante a realizar los trámites pertinentes para obtener el Título Académico de Licenciatura en Contaduría Pública y el Título en Provisión Nacional de Contador Público Autorizado; en observancia a lo establecido por la Constitución Política del Estado, Artículo 92, Parágrafo III.</w:t>
      </w:r>
    </w:p>
    <w:p>
      <w:pPr>
        <w:spacing w:before="0" w:after="200" w:line="240" w:lineRule="auto"/>
        <w:jc w:val="both"/>
      </w:pPr>
      <w:r>
        <w:rPr>
          <w:rFonts w:ascii="Century Gothic" w:hAnsi="Century Gothic" w:cs="Century Gothic" w:eastAsia="Century Gothic"/>
          <w:b/>
          <w:i w:val="0"/>
          <w:sz w:val="20"/>
        </w:rPr>
        <w:t>ARTÍCULO 4.- MODALIDADES DE GRADUACIÓN</w:t>
      </w:r>
    </w:p>
    <w:p>
      <w:pPr>
        <w:spacing w:before="0" w:after="200" w:line="240" w:lineRule="auto"/>
        <w:jc w:val="both"/>
      </w:pPr>
      <w:r>
        <w:rPr>
          <w:rFonts w:ascii="Century Gothic" w:hAnsi="Century Gothic" w:cs="Century Gothic" w:eastAsia="Century Gothic"/>
          <w:b w:val="0"/>
          <w:i w:val="0"/>
          <w:sz w:val="20"/>
        </w:rPr>
        <w:t>En concordancia con las disposiciones universitarias vigentes, las modalidades de graduación establecidas para acceder al Título Académico de Licenciatura en Contaduría Pública son las siguientes:</w:t>
      </w:r>
    </w:p>
    <w:p>
      <w:pPr>
        <w:numPr>
          <w:ilvl w:val="0"/>
          <w:numId w:val="902"/>
        </w:numPr>
        <w:spacing w:before="0" w:after="160" w:line="240" w:lineRule="auto"/>
        <w:jc w:val="both"/>
      </w:pPr>
      <w:r>
        <w:rPr>
          <w:rFonts w:ascii="Century Gothic" w:hAnsi="Century Gothic" w:cs="Century Gothic" w:eastAsia="Century Gothic"/>
          <w:b w:val="0"/>
          <w:i w:val="0"/>
          <w:sz w:val="20"/>
        </w:rPr>
        <w:t>Tesis de Grado.</w:t>
      </w:r>
    </w:p>
    <w:p>
      <w:pPr>
        <w:numPr>
          <w:ilvl w:val="0"/>
          <w:numId w:val="902"/>
        </w:numPr>
        <w:spacing w:before="0" w:after="160" w:line="240" w:lineRule="auto"/>
        <w:jc w:val="both"/>
      </w:pPr>
      <w:r>
        <w:rPr>
          <w:rFonts w:ascii="Century Gothic" w:hAnsi="Century Gothic" w:cs="Century Gothic" w:eastAsia="Century Gothic"/>
          <w:b w:val="0"/>
          <w:i w:val="0"/>
          <w:sz w:val="20"/>
        </w:rPr>
        <w:t>Proyecto de Grado.</w:t>
      </w:r>
    </w:p>
    <w:p>
      <w:pPr>
        <w:numPr>
          <w:ilvl w:val="0"/>
          <w:numId w:val="902"/>
        </w:numPr>
        <w:spacing w:before="0" w:after="160" w:line="240" w:lineRule="auto"/>
        <w:jc w:val="both"/>
      </w:pPr>
      <w:r>
        <w:rPr>
          <w:rFonts w:ascii="Century Gothic" w:hAnsi="Century Gothic" w:cs="Century Gothic" w:eastAsia="Century Gothic"/>
          <w:b w:val="0"/>
          <w:i w:val="0"/>
          <w:sz w:val="20"/>
        </w:rPr>
        <w:t>Examen de Grado.</w:t>
      </w:r>
    </w:p>
    <w:p>
      <w:pPr>
        <w:numPr>
          <w:ilvl w:val="0"/>
          <w:numId w:val="902"/>
        </w:numPr>
        <w:spacing w:before="0" w:after="160" w:line="240" w:lineRule="auto"/>
        <w:jc w:val="both"/>
      </w:pPr>
      <w:r>
        <w:rPr>
          <w:rFonts w:ascii="Century Gothic" w:hAnsi="Century Gothic" w:cs="Century Gothic" w:eastAsia="Century Gothic"/>
          <w:b w:val="0"/>
          <w:i w:val="0"/>
          <w:sz w:val="20"/>
        </w:rPr>
        <w:t>Trabajo Dirigido.</w:t>
      </w:r>
    </w:p>
    <w:p>
      <w:pPr>
        <w:numPr>
          <w:ilvl w:val="0"/>
          <w:numId w:val="902"/>
        </w:numPr>
        <w:spacing w:before="0" w:after="160" w:line="240" w:lineRule="auto"/>
        <w:jc w:val="both"/>
      </w:pPr>
      <w:r>
        <w:rPr>
          <w:rFonts w:ascii="Century Gothic" w:hAnsi="Century Gothic" w:cs="Century Gothic" w:eastAsia="Century Gothic"/>
          <w:b w:val="0"/>
          <w:i w:val="0"/>
          <w:sz w:val="20"/>
        </w:rPr>
        <w:t>Graduación por excelencia (De acuerdo a reglamento específico).</w:t>
      </w:r>
    </w:p>
    <w:p>
      <w:pPr>
        <w:numPr>
          <w:ilvl w:val="0"/>
          <w:numId w:val="902"/>
        </w:numPr>
        <w:spacing w:before="0" w:after="200" w:line="240" w:lineRule="auto"/>
        <w:jc w:val="both"/>
      </w:pPr>
      <w:r>
        <w:rPr>
          <w:rFonts w:ascii="Century Gothic" w:hAnsi="Century Gothic" w:cs="Century Gothic" w:eastAsia="Century Gothic"/>
          <w:b w:val="0"/>
          <w:i w:val="0"/>
          <w:sz w:val="20"/>
        </w:rPr>
        <w:t>Plan Excepcional de Titulación Para Antiguos Estudiantes No Graduados - P.E.T.A.E.N.G. (De acuerdo a reglamento específico aprobado para el efecto)</w:t>
      </w:r>
    </w:p>
    <w:p>
      <w:pPr>
        <w:spacing w:before="0" w:after="200" w:line="240" w:lineRule="auto"/>
        <w:jc w:val="both"/>
      </w:pPr>
      <w:r>
        <w:rPr>
          <w:rFonts w:ascii="Century Gothic" w:hAnsi="Century Gothic" w:cs="Century Gothic" w:eastAsia="Century Gothic"/>
          <w:b w:val="0"/>
          <w:i w:val="0"/>
          <w:sz w:val="20"/>
        </w:rPr>
        <w:t>La Dirección de Carrera, a solicitud del Postulante emitirá una Resolución autorizando la modalidad elegida por el Postulante para la obtención del Título Académico.</w:t>
      </w:r>
    </w:p>
    <w:p>
      <w:pPr>
        <w:spacing w:before="0" w:after="200" w:line="240" w:lineRule="auto"/>
        <w:jc w:val="both"/>
      </w:pPr>
      <w:r>
        <w:rPr>
          <w:rFonts w:ascii="Century Gothic" w:hAnsi="Century Gothic" w:cs="Century Gothic" w:eastAsia="Century Gothic"/>
          <w:b/>
          <w:i w:val="0"/>
          <w:sz w:val="20"/>
        </w:rPr>
        <w:t>ARTÍCULO 5.- REQUISITOS DE HABILITACIÓN</w:t>
      </w:r>
    </w:p>
    <w:p>
      <w:pPr>
        <w:spacing w:before="0" w:after="200" w:line="240" w:lineRule="auto"/>
        <w:jc w:val="both"/>
      </w:pPr>
      <w:r>
        <w:rPr>
          <w:rFonts w:ascii="Century Gothic" w:hAnsi="Century Gothic" w:cs="Century Gothic" w:eastAsia="Century Gothic"/>
          <w:b w:val="0"/>
          <w:i w:val="0"/>
          <w:sz w:val="20"/>
        </w:rPr>
        <w:t>Los Postulantes de la Carrera de Contaduría Pública, para habilitarse a cualquiera de las modalidades de graduación y acceder al Título Académico de Licenciatura en Contaduría Pública, deberán presentar el “Certificado de Conclusión de Estudios”, además de los requisitos académicos, administrativos y el pago por concepto de valores universitarios establecidos por las instancias pertinentes.</w:t>
      </w:r>
    </w:p>
    <w:p>
      <w:pPr>
        <w:spacing w:before="0" w:after="200" w:line="240" w:lineRule="auto"/>
        <w:jc w:val="both"/>
      </w:pPr>
      <w:r>
        <w:rPr>
          <w:rFonts w:ascii="Century Gothic" w:hAnsi="Century Gothic" w:cs="Century Gothic" w:eastAsia="Century Gothic"/>
          <w:b/>
          <w:i w:val="0"/>
          <w:sz w:val="20"/>
        </w:rPr>
        <w:t>ARTÍCULO 6.- PLAZO</w:t>
      </w:r>
    </w:p>
    <w:p>
      <w:pPr>
        <w:spacing w:before="0" w:after="200" w:line="240" w:lineRule="auto"/>
        <w:jc w:val="both"/>
      </w:pPr>
      <w:r>
        <w:rPr>
          <w:rFonts w:ascii="Century Gothic" w:hAnsi="Century Gothic" w:cs="Century Gothic" w:eastAsia="Century Gothic"/>
          <w:b w:val="0"/>
          <w:i w:val="0"/>
          <w:sz w:val="20"/>
        </w:rPr>
        <w:t>El plazo máximo que tiene el Postulante de la Carrera de Contaduría Pública para preparar y sustentar: Tesis de Grado y Proyecto de Grado es de doce (12) meses, a partir de la fecha de aprobación del perfil de grado; pudiendo ser ampliado por única vez, en casos excepcionales, por un plazo de tres (3) meses, para lo cual el Director de Carrera deberá emitir la Resolución de Ampliación correspondiente.</w:t>
      </w:r>
    </w:p>
    <w:p>
      <w:pPr>
        <w:spacing w:before="0" w:after="200" w:line="240" w:lineRule="auto"/>
        <w:jc w:val="both"/>
      </w:pPr>
      <w:r>
        <w:rPr>
          <w:rFonts w:ascii="Century Gothic" w:hAnsi="Century Gothic" w:cs="Century Gothic" w:eastAsia="Century Gothic"/>
          <w:b w:val="0"/>
          <w:i w:val="0"/>
          <w:sz w:val="20"/>
        </w:rPr>
        <w:t>Vencido el plazo establecido en párrafo anterior, el Postulante deberá iniciar un nuevo trámite con otra temática.</w:t>
      </w:r>
    </w:p>
    <w:p>
      <w:pPr>
        <w:spacing w:before="0" w:after="200" w:line="240" w:lineRule="auto"/>
        <w:jc w:val="both"/>
      </w:pPr>
      <w:r>
        <w:rPr>
          <w:rFonts w:ascii="Century Gothic" w:hAnsi="Century Gothic" w:cs="Century Gothic" w:eastAsia="Century Gothic"/>
          <w:b w:val="0"/>
          <w:i w:val="0"/>
          <w:sz w:val="20"/>
        </w:rPr>
        <w:t>En el caso del Trabajo Dirigido, se establece que debe existir una dedicación exclusiva por parte del postulante a las actividades a ser desarrolladas, debiendo concluir en un plazo máximo de ocho (8) meses.</w:t>
      </w:r>
    </w:p>
    <w:p>
      <w:pPr>
        <w:spacing w:before="0" w:after="200" w:line="240" w:lineRule="auto"/>
        <w:jc w:val="both"/>
      </w:pPr>
      <w:r>
        <w:rPr>
          <w:rFonts w:ascii="Century Gothic" w:hAnsi="Century Gothic" w:cs="Century Gothic" w:eastAsia="Century Gothic"/>
          <w:b/>
          <w:i w:val="0"/>
          <w:sz w:val="20"/>
        </w:rPr>
        <w:t>ARTÍCULO 7.- RESTRICCIONES</w:t>
      </w:r>
    </w:p>
    <w:p>
      <w:pPr>
        <w:spacing w:before="0" w:after="200" w:line="240" w:lineRule="auto"/>
        <w:jc w:val="both"/>
      </w:pPr>
      <w:r>
        <w:rPr>
          <w:rFonts w:ascii="Century Gothic" w:hAnsi="Century Gothic" w:cs="Century Gothic" w:eastAsia="Century Gothic"/>
          <w:b w:val="0"/>
          <w:i w:val="0"/>
          <w:sz w:val="20"/>
        </w:rPr>
        <w:t>Son restricciones, para los Docentes de la Carrera de Contaduría Pública, las siguientes:</w:t>
      </w:r>
    </w:p>
    <w:p>
      <w:pPr>
        <w:spacing w:before="0" w:after="200" w:line="240" w:lineRule="auto"/>
        <w:jc w:val="both"/>
      </w:pPr>
      <w:r>
        <w:rPr>
          <w:rFonts w:ascii="Century Gothic" w:hAnsi="Century Gothic" w:cs="Century Gothic" w:eastAsia="Century Gothic"/>
          <w:b w:val="0"/>
          <w:i w:val="0"/>
          <w:sz w:val="20"/>
        </w:rPr>
        <w:t>El Director de Carrera, por las funciones que desempeña, no podrá ser Tutor Académico de: Tesis de Grado, Proyecto de Grado y/o Trabajo Dirigido.</w:t>
      </w:r>
    </w:p>
    <w:p>
      <w:pPr>
        <w:spacing w:before="0" w:after="200" w:line="240" w:lineRule="auto"/>
        <w:jc w:val="both"/>
      </w:pPr>
      <w:r>
        <w:rPr>
          <w:rFonts w:ascii="Century Gothic" w:hAnsi="Century Gothic" w:cs="Century Gothic" w:eastAsia="Century Gothic"/>
          <w:b w:val="0"/>
          <w:i w:val="0"/>
          <w:sz w:val="20"/>
        </w:rPr>
        <w:t>El Docente que desarrolle funciones de Tutor Académico en cualquier modalidad, no deberá efectuar cobros por ningún concepto al Postulante que requiera su tutoría.</w:t>
      </w:r>
    </w:p>
    <w:p>
      <w:pPr>
        <w:spacing w:before="0" w:after="200" w:line="240" w:lineRule="auto"/>
        <w:jc w:val="both"/>
      </w:pPr>
      <w:r>
        <w:rPr>
          <w:rFonts w:ascii="Century Gothic" w:hAnsi="Century Gothic" w:cs="Century Gothic" w:eastAsia="Century Gothic"/>
          <w:b w:val="0"/>
          <w:i w:val="0"/>
          <w:sz w:val="20"/>
        </w:rPr>
        <w:t>Los Docentes que formen parte del Tribunal Examinador para Exámenes de Grado, no podrán dictar clases, cursillos, seminarios y/o talleres a los Postulantes que se presenten a dichos exámenes.</w:t>
      </w:r>
    </w:p>
    <w:p>
      <w:pPr>
        <w:spacing w:before="0" w:after="200" w:line="240" w:lineRule="auto"/>
        <w:jc w:val="both"/>
      </w:pPr>
      <w:r>
        <w:rPr>
          <w:rFonts w:ascii="Century Gothic" w:hAnsi="Century Gothic" w:cs="Century Gothic" w:eastAsia="Century Gothic"/>
          <w:b/>
          <w:i w:val="0"/>
          <w:sz w:val="20"/>
        </w:rPr>
        <w:t>CAPITULO II: PROYECTO DE GRADO</w:t>
      </w:r>
    </w:p>
    <w:p>
      <w:pPr>
        <w:spacing w:before="0" w:after="200" w:line="240" w:lineRule="auto"/>
        <w:jc w:val="both"/>
      </w:pPr>
      <w:r>
        <w:rPr>
          <w:rFonts w:ascii="Century Gothic" w:hAnsi="Century Gothic" w:cs="Century Gothic" w:eastAsia="Century Gothic"/>
          <w:b/>
          <w:i w:val="0"/>
          <w:sz w:val="20"/>
        </w:rPr>
        <w:t>ARTÍCULO 8.- CONCEPTO</w:t>
      </w:r>
    </w:p>
    <w:p>
      <w:pPr>
        <w:spacing w:before="0" w:after="200" w:line="240" w:lineRule="auto"/>
        <w:jc w:val="both"/>
      </w:pPr>
      <w:r>
        <w:rPr>
          <w:rFonts w:ascii="Century Gothic" w:hAnsi="Century Gothic" w:cs="Century Gothic" w:eastAsia="Century Gothic"/>
          <w:b w:val="0"/>
          <w:i w:val="0"/>
          <w:sz w:val="20"/>
        </w:rPr>
        <w:t>El Proyecto de Grado, es una modalidad de graduación, que consiste en desarrollar un trabajo de investigación, programación y diseño de un proyecto de uso social que cumple con exigencias de metodología científica, está orientado a temas que tengan relevancia en la solución de problemas de un determinado sector, que debe ser supervisado adecuadamente por un Tutor Académico.</w:t>
      </w:r>
    </w:p>
    <w:p>
      <w:pPr>
        <w:spacing w:before="0" w:after="200" w:line="240" w:lineRule="auto"/>
        <w:jc w:val="both"/>
      </w:pPr>
      <w:r>
        <w:rPr>
          <w:rFonts w:ascii="Century Gothic" w:hAnsi="Century Gothic" w:cs="Century Gothic" w:eastAsia="Century Gothic"/>
          <w:b/>
          <w:i w:val="0"/>
          <w:sz w:val="20"/>
        </w:rPr>
        <w:t>ARTÍCULO 9.- TUTOR ACADÉMICO</w:t>
      </w:r>
    </w:p>
    <w:p>
      <w:pPr>
        <w:spacing w:before="0" w:after="200" w:line="240" w:lineRule="auto"/>
        <w:jc w:val="both"/>
      </w:pPr>
      <w:r>
        <w:rPr>
          <w:rFonts w:ascii="Century Gothic" w:hAnsi="Century Gothic" w:cs="Century Gothic" w:eastAsia="Century Gothic"/>
          <w:b w:val="0"/>
          <w:i w:val="0"/>
          <w:sz w:val="20"/>
        </w:rPr>
        <w:t>Para ser Tutor Académico del Proyecto de Grado, se requiere ser Docente (Titular y/o Interino) de la Carrera de Contaduría Pública y poseer grado académico mínimo de Licenciatura o Superior, otorgado por el Sistema de la Universidad Pública Boliviana.</w:t>
      </w:r>
    </w:p>
    <w:p>
      <w:pPr>
        <w:spacing w:before="0" w:after="200" w:line="240" w:lineRule="auto"/>
        <w:jc w:val="both"/>
      </w:pPr>
      <w:r>
        <w:rPr>
          <w:rFonts w:ascii="Century Gothic" w:hAnsi="Century Gothic" w:cs="Century Gothic" w:eastAsia="Century Gothic"/>
          <w:b w:val="0"/>
          <w:i w:val="0"/>
          <w:sz w:val="20"/>
        </w:rPr>
        <w:t>Las tutorías a cargo de Docentes Interinos deberán sujetarse al calendario académico aprobado por el Honorable Consejo Universitario.</w:t>
      </w:r>
    </w:p>
    <w:p>
      <w:pPr>
        <w:spacing w:before="0" w:after="200" w:line="240" w:lineRule="auto"/>
        <w:jc w:val="both"/>
      </w:pPr>
      <w:r>
        <w:rPr>
          <w:rFonts w:ascii="Century Gothic" w:hAnsi="Century Gothic" w:cs="Century Gothic" w:eastAsia="Century Gothic"/>
          <w:b w:val="0"/>
          <w:i w:val="0"/>
          <w:sz w:val="20"/>
        </w:rPr>
        <w:t>El Tutor Académico, tiene las siguientes obligaciones:</w:t>
      </w:r>
    </w:p>
    <w:p>
      <w:pPr>
        <w:numPr>
          <w:ilvl w:val="0"/>
          <w:numId w:val="903"/>
        </w:numPr>
        <w:spacing w:before="0" w:after="160" w:line="240" w:lineRule="auto"/>
        <w:jc w:val="both"/>
      </w:pPr>
      <w:r>
        <w:rPr>
          <w:rFonts w:ascii="Century Gothic" w:hAnsi="Century Gothic" w:cs="Century Gothic" w:eastAsia="Century Gothic"/>
          <w:b w:val="0"/>
          <w:i w:val="0"/>
          <w:sz w:val="20"/>
        </w:rPr>
        <w:t>Orientar y guiar en la elaboración del Proyecto de Grado</w:t>
      </w:r>
    </w:p>
    <w:p>
      <w:pPr>
        <w:numPr>
          <w:ilvl w:val="0"/>
          <w:numId w:val="903"/>
        </w:numPr>
        <w:spacing w:before="0" w:after="160" w:line="240" w:lineRule="auto"/>
        <w:jc w:val="both"/>
      </w:pPr>
      <w:r>
        <w:rPr>
          <w:rFonts w:ascii="Century Gothic" w:hAnsi="Century Gothic" w:cs="Century Gothic" w:eastAsia="Century Gothic"/>
          <w:b w:val="0"/>
          <w:i w:val="0"/>
          <w:sz w:val="20"/>
        </w:rPr>
        <w:t>Realizar las revisiones previas a las presentaciones de los Perfiles de Proyecto de Grado, el Proyecto de Grado (Borrador y Final) y la defensa para evaluar y determinar el nivel de suficiencia que permita a los Postulantes avanzar a la siguiente etapa.</w:t>
      </w:r>
    </w:p>
    <w:p>
      <w:pPr>
        <w:numPr>
          <w:ilvl w:val="0"/>
          <w:numId w:val="903"/>
        </w:numPr>
        <w:spacing w:before="0" w:after="160" w:line="240" w:lineRule="auto"/>
        <w:jc w:val="both"/>
      </w:pPr>
      <w:r>
        <w:rPr>
          <w:rFonts w:ascii="Century Gothic" w:hAnsi="Century Gothic" w:cs="Century Gothic" w:eastAsia="Century Gothic"/>
          <w:b w:val="0"/>
          <w:i w:val="0"/>
          <w:sz w:val="20"/>
        </w:rPr>
        <w:t>Participar en la defensa oral del Proyecto de Grado, para absolver dudas que se platean relacionados con el trabajo y su desarrollo.</w:t>
      </w:r>
    </w:p>
    <w:p>
      <w:pPr>
        <w:numPr>
          <w:ilvl w:val="0"/>
          <w:numId w:val="903"/>
        </w:numPr>
        <w:spacing w:before="0" w:after="200" w:line="240" w:lineRule="auto"/>
        <w:jc w:val="both"/>
      </w:pPr>
      <w:r>
        <w:rPr>
          <w:rFonts w:ascii="Century Gothic" w:hAnsi="Century Gothic" w:cs="Century Gothic" w:eastAsia="Century Gothic"/>
          <w:b w:val="0"/>
          <w:i w:val="0"/>
          <w:sz w:val="20"/>
        </w:rPr>
        <w:t>Exigir al Postulante el cumplimiento de todos los requisitos establecidos para la modalidad de graduación</w:t>
      </w:r>
    </w:p>
    <w:p>
      <w:pPr>
        <w:spacing w:before="0" w:after="200" w:line="240" w:lineRule="auto"/>
        <w:jc w:val="both"/>
      </w:pPr>
      <w:r>
        <w:rPr>
          <w:rFonts w:ascii="Century Gothic" w:hAnsi="Century Gothic" w:cs="Century Gothic" w:eastAsia="Century Gothic"/>
          <w:b w:val="0"/>
          <w:i w:val="0"/>
          <w:sz w:val="20"/>
        </w:rPr>
        <w:t>Todos los docentes de la Carrera de Contaduría Pública tienen la obligación de ser tutores de los estudiantes que así lo soliciten de acuerdo a su especialidad, competencia y disponibilidad de tiempo, en cumplimiento de las Normas universitarias vigentes.</w:t>
      </w:r>
    </w:p>
    <w:p>
      <w:pPr>
        <w:spacing w:before="0" w:after="200" w:line="240" w:lineRule="auto"/>
        <w:jc w:val="both"/>
      </w:pPr>
      <w:r>
        <w:rPr>
          <w:rFonts w:ascii="Century Gothic" w:hAnsi="Century Gothic" w:cs="Century Gothic" w:eastAsia="Century Gothic"/>
          <w:b/>
          <w:i w:val="0"/>
          <w:sz w:val="20"/>
        </w:rPr>
        <w:t>ARTÍCULO 10.- DESIGNACIÓN TUTOR ACADÉMICO</w:t>
      </w:r>
    </w:p>
    <w:p>
      <w:pPr>
        <w:spacing w:before="0" w:after="200" w:line="240" w:lineRule="auto"/>
        <w:jc w:val="both"/>
      </w:pPr>
      <w:r>
        <w:rPr>
          <w:rFonts w:ascii="Century Gothic" w:hAnsi="Century Gothic" w:cs="Century Gothic" w:eastAsia="Century Gothic"/>
          <w:b w:val="0"/>
          <w:i w:val="0"/>
          <w:sz w:val="20"/>
        </w:rPr>
        <w:t>Para el Proyecto de Grado, el Director de Carrera, a petición del Postulante y con la aceptación del Docente, procederá a la designación del Tutor Académico.</w:t>
      </w:r>
    </w:p>
    <w:p>
      <w:pPr>
        <w:spacing w:before="0" w:after="200" w:line="240" w:lineRule="auto"/>
        <w:jc w:val="both"/>
      </w:pPr>
      <w:r>
        <w:rPr>
          <w:rFonts w:ascii="Century Gothic" w:hAnsi="Century Gothic" w:cs="Century Gothic" w:eastAsia="Century Gothic"/>
          <w:b/>
          <w:i w:val="0"/>
          <w:sz w:val="20"/>
        </w:rPr>
        <w:t>ARTÍCULO 11.- PROCESO DE PREPARACIÓN</w:t>
      </w:r>
    </w:p>
    <w:p>
      <w:pPr>
        <w:spacing w:before="0" w:after="200" w:line="240" w:lineRule="auto"/>
        <w:jc w:val="both"/>
      </w:pPr>
      <w:r>
        <w:rPr>
          <w:rFonts w:ascii="Century Gothic" w:hAnsi="Century Gothic" w:cs="Century Gothic" w:eastAsia="Century Gothic"/>
          <w:b w:val="0"/>
          <w:i w:val="0"/>
          <w:sz w:val="20"/>
        </w:rPr>
        <w:t>La modalidad de Proyecto de Grado cumplirá las siguientes fases:</w:t>
      </w:r>
    </w:p>
    <w:p>
      <w:pPr>
        <w:numPr>
          <w:ilvl w:val="0"/>
          <w:numId w:val="904"/>
        </w:numPr>
        <w:spacing w:before="0" w:after="160" w:line="240" w:lineRule="auto"/>
        <w:jc w:val="both"/>
      </w:pPr>
      <w:r>
        <w:rPr>
          <w:rFonts w:ascii="Century Gothic" w:hAnsi="Century Gothic" w:cs="Century Gothic" w:eastAsia="Century Gothic"/>
          <w:b w:val="0"/>
          <w:i w:val="0"/>
          <w:sz w:val="20"/>
        </w:rPr>
        <w:t>Presentación del Perfil de Proyecto de Grado</w:t>
      </w:r>
    </w:p>
    <w:p>
      <w:pPr>
        <w:numPr>
          <w:ilvl w:val="0"/>
          <w:numId w:val="904"/>
        </w:numPr>
        <w:spacing w:before="0" w:after="160" w:line="240" w:lineRule="auto"/>
        <w:jc w:val="both"/>
      </w:pPr>
      <w:r>
        <w:rPr>
          <w:rFonts w:ascii="Century Gothic" w:hAnsi="Century Gothic" w:cs="Century Gothic" w:eastAsia="Century Gothic"/>
          <w:b w:val="0"/>
          <w:i w:val="0"/>
          <w:sz w:val="20"/>
        </w:rPr>
        <w:t>Aprobación del Perfil de Proyecto de Grado</w:t>
      </w:r>
    </w:p>
    <w:p>
      <w:pPr>
        <w:numPr>
          <w:ilvl w:val="0"/>
          <w:numId w:val="904"/>
        </w:numPr>
        <w:spacing w:before="0" w:after="160" w:line="240" w:lineRule="auto"/>
        <w:jc w:val="both"/>
      </w:pPr>
      <w:r>
        <w:rPr>
          <w:rFonts w:ascii="Century Gothic" w:hAnsi="Century Gothic" w:cs="Century Gothic" w:eastAsia="Century Gothic"/>
          <w:b w:val="0"/>
          <w:i w:val="0"/>
          <w:sz w:val="20"/>
        </w:rPr>
        <w:t>Presentación del Proyecto de Grado (Borrador)</w:t>
      </w:r>
    </w:p>
    <w:p>
      <w:pPr>
        <w:numPr>
          <w:ilvl w:val="0"/>
          <w:numId w:val="904"/>
        </w:numPr>
        <w:spacing w:before="0" w:after="160" w:line="240" w:lineRule="auto"/>
        <w:jc w:val="both"/>
      </w:pPr>
      <w:r>
        <w:rPr>
          <w:rFonts w:ascii="Century Gothic" w:hAnsi="Century Gothic" w:cs="Century Gothic" w:eastAsia="Century Gothic"/>
          <w:b w:val="0"/>
          <w:i w:val="0"/>
          <w:sz w:val="20"/>
        </w:rPr>
        <w:t>Presentación del Proyecto de Grado (Final)</w:t>
      </w:r>
    </w:p>
    <w:p>
      <w:pPr>
        <w:numPr>
          <w:ilvl w:val="0"/>
          <w:numId w:val="904"/>
        </w:numPr>
        <w:spacing w:before="0" w:after="200" w:line="240" w:lineRule="auto"/>
        <w:jc w:val="both"/>
      </w:pPr>
      <w:r>
        <w:rPr>
          <w:rFonts w:ascii="Century Gothic" w:hAnsi="Century Gothic" w:cs="Century Gothic" w:eastAsia="Century Gothic"/>
          <w:b w:val="0"/>
          <w:i w:val="0"/>
          <w:sz w:val="20"/>
        </w:rPr>
        <w:t>Sustentación del Proyecto de Grado</w:t>
      </w:r>
    </w:p>
    <w:p>
      <w:pPr>
        <w:spacing w:before="0" w:after="200" w:line="240" w:lineRule="auto"/>
        <w:jc w:val="both"/>
      </w:pPr>
      <w:r>
        <w:rPr>
          <w:rFonts w:ascii="Century Gothic" w:hAnsi="Century Gothic" w:cs="Century Gothic" w:eastAsia="Century Gothic"/>
          <w:b/>
          <w:i w:val="0"/>
          <w:sz w:val="20"/>
        </w:rPr>
        <w:t>ARTÍCULO 12.- PRESENTACIÓN DEL PERFIL DEL PROYECTO DE GRADO</w:t>
      </w:r>
    </w:p>
    <w:p>
      <w:pPr>
        <w:spacing w:before="0" w:after="200" w:line="240" w:lineRule="auto"/>
        <w:jc w:val="both"/>
      </w:pPr>
      <w:r>
        <w:rPr>
          <w:rFonts w:ascii="Century Gothic" w:hAnsi="Century Gothic" w:cs="Century Gothic" w:eastAsia="Century Gothic"/>
          <w:b w:val="0"/>
          <w:i w:val="0"/>
          <w:sz w:val="20"/>
        </w:rPr>
        <w:t>Concluida la preparación del perfil de Proyecto de Grado, el Postulante con el informe de aprobación del Tutor Académico, presentará el documento en cuatro (4) ejemplares a la Dirección de Carrera, para la designación del Tribunal Revisor.</w:t>
      </w:r>
    </w:p>
    <w:p>
      <w:pPr>
        <w:spacing w:before="0" w:after="200" w:line="240" w:lineRule="auto"/>
        <w:jc w:val="both"/>
      </w:pPr>
      <w:r>
        <w:rPr>
          <w:rFonts w:ascii="Century Gothic" w:hAnsi="Century Gothic" w:cs="Century Gothic" w:eastAsia="Century Gothic"/>
          <w:b/>
          <w:i w:val="0"/>
          <w:sz w:val="20"/>
        </w:rPr>
        <w:t>ARTÍCULO 13.- TRIBUNAL REVISOR DEL PERFIL DEL PROYECTO DE GRADO</w:t>
      </w:r>
    </w:p>
    <w:p>
      <w:pPr>
        <w:spacing w:before="0" w:after="200" w:line="240" w:lineRule="auto"/>
        <w:jc w:val="both"/>
      </w:pPr>
      <w:r>
        <w:rPr>
          <w:rFonts w:ascii="Century Gothic" w:hAnsi="Century Gothic" w:cs="Century Gothic" w:eastAsia="Century Gothic"/>
          <w:b w:val="0"/>
          <w:i w:val="0"/>
          <w:sz w:val="20"/>
        </w:rPr>
        <w:t>El Director de Carrera, en función a la temática del perfil de Proyecto de Grado presentado por el Postulante, designará tres (3) Docentes (Titulares y/o Interinos) para conformar el Tribunal Revisor.</w:t>
      </w:r>
    </w:p>
    <w:p>
      <w:pPr>
        <w:spacing w:before="0" w:after="200" w:line="240" w:lineRule="auto"/>
        <w:jc w:val="both"/>
      </w:pPr>
      <w:r>
        <w:rPr>
          <w:rFonts w:ascii="Century Gothic" w:hAnsi="Century Gothic" w:cs="Century Gothic" w:eastAsia="Century Gothic"/>
          <w:b w:val="0"/>
          <w:i w:val="0"/>
          <w:sz w:val="20"/>
        </w:rPr>
        <w:t>Los Docentes designados por la Dirección de Carrera para conformar el Tribunal Revisor, tienen la obligación ineludible de hacer conocer el informe en un plazo no mayor a veinte (20) días calendario, a partir de la fecha de recepción oficial del perfil de Proyecto de Grado.</w:t>
      </w:r>
    </w:p>
    <w:p>
      <w:pPr>
        <w:spacing w:before="0" w:after="200" w:line="240" w:lineRule="auto"/>
        <w:jc w:val="both"/>
      </w:pPr>
      <w:r>
        <w:rPr>
          <w:rFonts w:ascii="Century Gothic" w:hAnsi="Century Gothic" w:cs="Century Gothic" w:eastAsia="Century Gothic"/>
          <w:b w:val="0"/>
          <w:i w:val="0"/>
          <w:sz w:val="20"/>
        </w:rPr>
        <w:t>En caso de no recibir el informe dentro del plazo fijado, el Director de Carrera conminará por escrito al Docente miembro del Tribunal Revisor, para que en un plazo de cinco (5) días calendario emita su informe.</w:t>
      </w:r>
    </w:p>
    <w:p>
      <w:pPr>
        <w:spacing w:before="0" w:after="200" w:line="240" w:lineRule="auto"/>
        <w:jc w:val="both"/>
      </w:pPr>
      <w:r>
        <w:rPr>
          <w:rFonts w:ascii="Century Gothic" w:hAnsi="Century Gothic" w:cs="Century Gothic" w:eastAsia="Century Gothic"/>
          <w:b/>
          <w:i w:val="0"/>
          <w:sz w:val="20"/>
        </w:rPr>
        <w:t>ARTÍCULO 14.- INFORME TRIBUNAL REVISOR DEL PERFIL DEL PROYECTO DE GRADO</w:t>
      </w:r>
    </w:p>
    <w:p>
      <w:pPr>
        <w:spacing w:before="0" w:after="200" w:line="240" w:lineRule="auto"/>
        <w:jc w:val="both"/>
      </w:pPr>
      <w:r>
        <w:rPr>
          <w:rFonts w:ascii="Century Gothic" w:hAnsi="Century Gothic" w:cs="Century Gothic" w:eastAsia="Century Gothic"/>
          <w:b w:val="0"/>
          <w:i w:val="0"/>
          <w:sz w:val="20"/>
        </w:rPr>
        <w:t>Una vez revisado el contenido del perfil de proyecto de grado, los miembros del Tribunal Revisor por separado, emitirán los informes correspondientes.</w:t>
      </w:r>
    </w:p>
    <w:p>
      <w:pPr>
        <w:spacing w:before="0" w:after="200" w:line="240" w:lineRule="auto"/>
        <w:jc w:val="both"/>
      </w:pPr>
      <w:r>
        <w:rPr>
          <w:rFonts w:ascii="Century Gothic" w:hAnsi="Century Gothic" w:cs="Century Gothic" w:eastAsia="Century Gothic"/>
          <w:b w:val="0"/>
          <w:i w:val="0"/>
          <w:sz w:val="20"/>
        </w:rPr>
        <w:t>Si algún miembro del Tribunal Revisor del Perfil de Proyecto Grado, emite un informe con observaciones al documento presentado (perfil), el Director de Carrera comunicará esta situación oficialmente al Postulante y Tutor Académico, adjuntado fotocopias, para que en un plazo no mayor a veinte (20) días calendario efectúen las correcciones y/o aclaraciones; y remitan el perfil de proyecto de grado corregido para ser derivado al Tribunal Revisor y que éste emita un nuevo informe en un plazo no mayor a veinte (20) días calendario.</w:t>
      </w:r>
    </w:p>
    <w:p>
      <w:pPr>
        <w:spacing w:before="0" w:after="200" w:line="240" w:lineRule="auto"/>
        <w:jc w:val="both"/>
      </w:pPr>
      <w:r>
        <w:rPr>
          <w:rFonts w:ascii="Century Gothic" w:hAnsi="Century Gothic" w:cs="Century Gothic" w:eastAsia="Century Gothic"/>
          <w:b/>
          <w:i w:val="0"/>
          <w:sz w:val="20"/>
        </w:rPr>
        <w:t>ARTÍCULO 15.- APROBACIÓN DEL PERFIL DE PROYECTO DE GRADO</w:t>
      </w:r>
    </w:p>
    <w:p>
      <w:pPr>
        <w:spacing w:before="0" w:after="200" w:line="240" w:lineRule="auto"/>
        <w:jc w:val="both"/>
      </w:pPr>
      <w:r>
        <w:rPr>
          <w:rFonts w:ascii="Century Gothic" w:hAnsi="Century Gothic" w:cs="Century Gothic" w:eastAsia="Century Gothic"/>
          <w:b w:val="0"/>
          <w:i w:val="0"/>
          <w:sz w:val="20"/>
        </w:rPr>
        <w:t>Con los informes favorables del Tribunal Revisor, el Director de Carrera, en plazo no mayor a siete (7) días calendario, mediante Resolución de Dirección, aprobará el contenido del perfil de proyecto de grado para continuar con el desarrollo del proyecto de grado.</w:t>
      </w:r>
    </w:p>
    <w:p>
      <w:pPr>
        <w:spacing w:before="0" w:after="200" w:line="240" w:lineRule="auto"/>
        <w:jc w:val="both"/>
      </w:pPr>
      <w:r>
        <w:rPr>
          <w:rFonts w:ascii="Century Gothic" w:hAnsi="Century Gothic" w:cs="Century Gothic" w:eastAsia="Century Gothic"/>
          <w:b/>
          <w:i w:val="0"/>
          <w:sz w:val="20"/>
        </w:rPr>
        <w:t>ARTÍCULO 16.- PRESENTACIÓN DEL PROYECTO DE GRADO (BORRADOR)</w:t>
      </w:r>
    </w:p>
    <w:p>
      <w:pPr>
        <w:spacing w:before="0" w:after="200" w:line="240" w:lineRule="auto"/>
        <w:jc w:val="both"/>
      </w:pPr>
      <w:r>
        <w:rPr>
          <w:rFonts w:ascii="Century Gothic" w:hAnsi="Century Gothic" w:cs="Century Gothic" w:eastAsia="Century Gothic"/>
          <w:b w:val="0"/>
          <w:i w:val="0"/>
          <w:sz w:val="20"/>
        </w:rPr>
        <w:t>Concluida la preparación del Proyecto de Grado, en plazo no mayor a ciento ochenta (180) días calendario contados a partir de la aprobación del perfil de Proyecto de Grado, el Postulante con la aceptación formal del Tutor Académico, presentará el proyecto de grado en borrador, en tres (3) ejemplares anillados a la Dirección de Carrera, para la designación de Tribunal Examinador.</w:t>
      </w:r>
    </w:p>
    <w:p>
      <w:pPr>
        <w:spacing w:before="0" w:after="200" w:line="240" w:lineRule="auto"/>
        <w:jc w:val="both"/>
      </w:pPr>
      <w:r>
        <w:rPr>
          <w:rFonts w:ascii="Century Gothic" w:hAnsi="Century Gothic" w:cs="Century Gothic" w:eastAsia="Century Gothic"/>
          <w:b/>
          <w:i w:val="0"/>
          <w:sz w:val="20"/>
        </w:rPr>
        <w:t>ARTÍCULO 17.- TRIBUNAL EXAMINADOR</w:t>
      </w:r>
    </w:p>
    <w:p>
      <w:pPr>
        <w:spacing w:before="0" w:after="200" w:line="240" w:lineRule="auto"/>
        <w:jc w:val="both"/>
      </w:pPr>
      <w:r>
        <w:rPr>
          <w:rFonts w:ascii="Century Gothic" w:hAnsi="Century Gothic" w:cs="Century Gothic" w:eastAsia="Century Gothic"/>
          <w:b w:val="0"/>
          <w:i w:val="0"/>
          <w:sz w:val="20"/>
        </w:rPr>
        <w:t>El Director de Carrera, con base a la aprobación del perfil del proyecto de grado designará a los miembros del Tribunal Revisor como Tribunal Examinador, salvo casos excepcionales.</w:t>
      </w:r>
    </w:p>
    <w:p>
      <w:pPr>
        <w:spacing w:before="0" w:after="200" w:line="240" w:lineRule="auto"/>
        <w:jc w:val="both"/>
      </w:pPr>
      <w:r>
        <w:rPr>
          <w:rFonts w:ascii="Century Gothic" w:hAnsi="Century Gothic" w:cs="Century Gothic" w:eastAsia="Century Gothic"/>
          <w:b w:val="0"/>
          <w:i w:val="0"/>
          <w:sz w:val="20"/>
        </w:rPr>
        <w:t>El Tribunal Examinador para sustentación de proyecto de grado, estará conformado por tres (3) Docentes (Titulares y/o Interinos) de la Carrera de Contaduría Pública, cuya presidencia recaerá en el Docente más antiguo.</w:t>
      </w:r>
    </w:p>
    <w:p>
      <w:pPr>
        <w:spacing w:before="0" w:after="200" w:line="240" w:lineRule="auto"/>
        <w:jc w:val="both"/>
      </w:pPr>
      <w:r>
        <w:rPr>
          <w:rFonts w:ascii="Century Gothic" w:hAnsi="Century Gothic" w:cs="Century Gothic" w:eastAsia="Century Gothic"/>
          <w:b/>
          <w:i w:val="0"/>
          <w:sz w:val="20"/>
        </w:rPr>
        <w:t>ARTÍCULO 18.- SOBRE LOS INFORMES DEL TRIBUNAL EXAMINADOR</w:t>
      </w:r>
    </w:p>
    <w:p>
      <w:pPr>
        <w:spacing w:before="0" w:after="200" w:line="240" w:lineRule="auto"/>
        <w:jc w:val="both"/>
      </w:pPr>
      <w:r>
        <w:rPr>
          <w:rFonts w:ascii="Century Gothic" w:hAnsi="Century Gothic" w:cs="Century Gothic" w:eastAsia="Century Gothic"/>
          <w:b w:val="0"/>
          <w:i w:val="0"/>
          <w:sz w:val="20"/>
        </w:rPr>
        <w:t>Los Docentes designados por la Dirección de Carrera para conformar el Tribunal Examinador, tienen la obligación ineludible de hacer conocer el informe en un plazo no mayor a veinte (20) días calendario, a partir de la fecha de recepción del Proyecto de Grado en Borrador. En caso de no recibir este informe dentro del plazo fijado, el Director de Carrera conminará por escrito este hecho al Docente miembro del Tribunal Examinador.</w:t>
      </w:r>
    </w:p>
    <w:p>
      <w:pPr>
        <w:spacing w:before="0" w:after="200" w:line="240" w:lineRule="auto"/>
        <w:jc w:val="both"/>
      </w:pPr>
      <w:r>
        <w:rPr>
          <w:rFonts w:ascii="Century Gothic" w:hAnsi="Century Gothic" w:cs="Century Gothic" w:eastAsia="Century Gothic"/>
          <w:b w:val="0"/>
          <w:i w:val="0"/>
          <w:sz w:val="20"/>
        </w:rPr>
        <w:t>Una vez revisado el contenido del Proyecto de Grado, los miembros del Tribunal Examinador por separado, emitirán informe correspondiente que puede ser:</w:t>
      </w:r>
    </w:p>
    <w:p>
      <w:pPr>
        <w:numPr>
          <w:ilvl w:val="0"/>
          <w:numId w:val="905"/>
        </w:numPr>
        <w:spacing w:before="0" w:after="160" w:line="240" w:lineRule="auto"/>
        <w:jc w:val="both"/>
      </w:pPr>
      <w:r>
        <w:rPr>
          <w:rFonts w:ascii="Century Gothic" w:hAnsi="Century Gothic" w:cs="Century Gothic" w:eastAsia="Century Gothic"/>
          <w:b w:val="0"/>
          <w:i w:val="0"/>
          <w:sz w:val="20"/>
        </w:rPr>
        <w:t>Informe de Suficiencia; o</w:t>
      </w:r>
    </w:p>
    <w:p>
      <w:pPr>
        <w:numPr>
          <w:ilvl w:val="0"/>
          <w:numId w:val="905"/>
        </w:numPr>
        <w:spacing w:before="0" w:after="200" w:line="240" w:lineRule="auto"/>
        <w:jc w:val="both"/>
      </w:pPr>
      <w:r>
        <w:rPr>
          <w:rFonts w:ascii="Century Gothic" w:hAnsi="Century Gothic" w:cs="Century Gothic" w:eastAsia="Century Gothic"/>
          <w:b w:val="0"/>
          <w:i w:val="0"/>
          <w:sz w:val="20"/>
        </w:rPr>
        <w:t>Informe con Observación.</w:t>
      </w:r>
    </w:p>
    <w:p>
      <w:pPr>
        <w:spacing w:before="0" w:after="200" w:line="240" w:lineRule="auto"/>
        <w:jc w:val="both"/>
      </w:pPr>
      <w:r>
        <w:rPr>
          <w:rFonts w:ascii="Century Gothic" w:hAnsi="Century Gothic" w:cs="Century Gothic" w:eastAsia="Century Gothic"/>
          <w:b w:val="0"/>
          <w:i w:val="0"/>
          <w:sz w:val="20"/>
        </w:rPr>
        <w:t>De existir observaciones, al contenido del Proyecto de Grado, el Director de Carrera comunicará oficialmente al Postulante y Tutor Académico sobre el hecho, adjuntando fotocopias, para que en el plazo no mayor a treinta (30) días calendario se efectúen las correcciones y remita el Proyecto de Grado en borrador corregido para ser derivado al Tribunal Examinador y este emita un nuevo informe. En caso de no haber subsanado las observaciones, el Tribunal emitirá informe de rechazo.</w:t>
      </w:r>
    </w:p>
    <w:p>
      <w:pPr>
        <w:spacing w:before="0" w:after="200" w:line="240" w:lineRule="auto"/>
        <w:jc w:val="both"/>
      </w:pPr>
      <w:r>
        <w:rPr>
          <w:rFonts w:ascii="Century Gothic" w:hAnsi="Century Gothic" w:cs="Century Gothic" w:eastAsia="Century Gothic"/>
          <w:b/>
          <w:i w:val="0"/>
          <w:sz w:val="20"/>
        </w:rPr>
        <w:t>ARTÍCULO 19.- APROBACIÓN DEL PROYECTO DE GRADO</w:t>
      </w:r>
    </w:p>
    <w:p>
      <w:pPr>
        <w:spacing w:before="0" w:after="200" w:line="240" w:lineRule="auto"/>
        <w:jc w:val="both"/>
      </w:pPr>
      <w:r>
        <w:rPr>
          <w:rFonts w:ascii="Century Gothic" w:hAnsi="Century Gothic" w:cs="Century Gothic" w:eastAsia="Century Gothic"/>
          <w:b w:val="0"/>
          <w:i w:val="0"/>
          <w:sz w:val="20"/>
        </w:rPr>
        <w:t>Con los informes favorables del Tribunal Examinador, el Director de Carrera mediante Resolución de Dirección, en un plazo no mayor a siete (7) días calendario, aprobará el contenido del Proyecto de Grado para efectuar la impresión final y debidamente empastada en el número de ejemplares citado en el Artículo siguiente del presente Reglamento, restando la fijación del día y la hora para la sustentación.</w:t>
      </w:r>
    </w:p>
    <w:p>
      <w:pPr>
        <w:spacing w:before="0" w:after="200" w:line="240" w:lineRule="auto"/>
        <w:jc w:val="both"/>
      </w:pPr>
      <w:r>
        <w:rPr>
          <w:rFonts w:ascii="Century Gothic" w:hAnsi="Century Gothic" w:cs="Century Gothic" w:eastAsia="Century Gothic"/>
          <w:b/>
          <w:i w:val="0"/>
          <w:sz w:val="20"/>
        </w:rPr>
        <w:t>ARTÍCULO 20.- REQUISITOS PARA SUSTENTACIÓN</w:t>
      </w:r>
    </w:p>
    <w:p>
      <w:pPr>
        <w:spacing w:before="0" w:after="200" w:line="240" w:lineRule="auto"/>
        <w:jc w:val="both"/>
      </w:pPr>
      <w:r>
        <w:rPr>
          <w:rFonts w:ascii="Century Gothic" w:hAnsi="Century Gothic" w:cs="Century Gothic" w:eastAsia="Century Gothic"/>
          <w:b w:val="0"/>
          <w:i w:val="0"/>
          <w:sz w:val="20"/>
        </w:rPr>
        <w:t>Concluido el proceso de presentación y aprobación del proyecto de grado, en el marco de las modalidades mencionadas y cumplidos los requisitos exigidos por la Universidad Mayor de “San Andrés” y por el presente Reglamento, el postulante, con visto bueno del Tutor Académico solicitará mediante carta dirigida al Director de Carrera, se fije día y hora para la sustentación del proyecto de grado, debiendo adjuntar siete (7) ejemplares del trabajo final distribuidos como sigue:</w:t>
      </w:r>
    </w:p>
    <w:p>
      <w:pPr>
        <w:numPr>
          <w:ilvl w:val="0"/>
          <w:numId w:val="906"/>
        </w:numPr>
        <w:spacing w:before="0" w:after="160" w:line="240" w:lineRule="auto"/>
        <w:jc w:val="both"/>
      </w:pPr>
      <w:r>
        <w:rPr>
          <w:rFonts w:ascii="Century Gothic" w:hAnsi="Century Gothic" w:cs="Century Gothic" w:eastAsia="Century Gothic"/>
          <w:b w:val="0"/>
          <w:i w:val="0"/>
          <w:sz w:val="20"/>
        </w:rPr>
        <w:t>Tres ejemplares para los tres Tribunales Examinadores.</w:t>
      </w:r>
    </w:p>
    <w:p>
      <w:pPr>
        <w:numPr>
          <w:ilvl w:val="0"/>
          <w:numId w:val="906"/>
        </w:numPr>
        <w:spacing w:before="0" w:after="160" w:line="240" w:lineRule="auto"/>
        <w:jc w:val="both"/>
      </w:pPr>
      <w:r>
        <w:rPr>
          <w:rFonts w:ascii="Century Gothic" w:hAnsi="Century Gothic" w:cs="Century Gothic" w:eastAsia="Century Gothic"/>
          <w:b w:val="0"/>
          <w:i w:val="0"/>
          <w:sz w:val="20"/>
        </w:rPr>
        <w:t>Un ejemplar para el Postulante.</w:t>
      </w:r>
    </w:p>
    <w:p>
      <w:pPr>
        <w:numPr>
          <w:ilvl w:val="0"/>
          <w:numId w:val="906"/>
        </w:numPr>
        <w:spacing w:before="0" w:after="160" w:line="240" w:lineRule="auto"/>
        <w:jc w:val="both"/>
      </w:pPr>
      <w:r>
        <w:rPr>
          <w:rFonts w:ascii="Century Gothic" w:hAnsi="Century Gothic" w:cs="Century Gothic" w:eastAsia="Century Gothic"/>
          <w:b w:val="0"/>
          <w:i w:val="0"/>
          <w:sz w:val="20"/>
        </w:rPr>
        <w:t>Un ejemplar para el Tutor Académico.</w:t>
      </w:r>
    </w:p>
    <w:p>
      <w:pPr>
        <w:numPr>
          <w:ilvl w:val="0"/>
          <w:numId w:val="906"/>
        </w:numPr>
        <w:spacing w:before="0" w:after="160" w:line="240" w:lineRule="auto"/>
        <w:jc w:val="both"/>
      </w:pPr>
      <w:r>
        <w:rPr>
          <w:rFonts w:ascii="Century Gothic" w:hAnsi="Century Gothic" w:cs="Century Gothic" w:eastAsia="Century Gothic"/>
          <w:b w:val="0"/>
          <w:i w:val="0"/>
          <w:sz w:val="20"/>
        </w:rPr>
        <w:t>Un ejemplar para la Biblioteca Central de la Universidad Mayor de “San Andrés”</w:t>
      </w:r>
    </w:p>
    <w:p>
      <w:pPr>
        <w:numPr>
          <w:ilvl w:val="0"/>
          <w:numId w:val="906"/>
        </w:numPr>
        <w:spacing w:before="0" w:after="200" w:line="240" w:lineRule="auto"/>
        <w:jc w:val="both"/>
      </w:pPr>
      <w:r>
        <w:rPr>
          <w:rFonts w:ascii="Century Gothic" w:hAnsi="Century Gothic" w:cs="Century Gothic" w:eastAsia="Century Gothic"/>
          <w:b w:val="0"/>
          <w:i w:val="0"/>
          <w:sz w:val="20"/>
        </w:rPr>
        <w:t>Un ejemplar para la Biblioteca de la Carrera de Contaduría Pública</w:t>
      </w:r>
    </w:p>
    <w:p>
      <w:pPr>
        <w:spacing w:before="0" w:after="200" w:line="240" w:lineRule="auto"/>
        <w:jc w:val="both"/>
      </w:pPr>
      <w:r>
        <w:rPr>
          <w:rFonts w:ascii="Century Gothic" w:hAnsi="Century Gothic" w:cs="Century Gothic" w:eastAsia="Century Gothic"/>
          <w:b w:val="0"/>
          <w:i w:val="0"/>
          <w:sz w:val="20"/>
        </w:rPr>
        <w:t>El Director de Carrera fijará el día y hora para la sustentación de grado, de acuerdo al Calendario Académico aprobado por la Carrera de Contaduría Pública, comunicando sobre dicho acto, al Tribunal Examinador con un plazo no menor a siete (7) días calendario.</w:t>
      </w:r>
    </w:p>
    <w:p>
      <w:pPr>
        <w:spacing w:before="0" w:after="200" w:line="240" w:lineRule="auto"/>
        <w:jc w:val="both"/>
      </w:pPr>
      <w:r>
        <w:rPr>
          <w:rFonts w:ascii="Century Gothic" w:hAnsi="Century Gothic" w:cs="Century Gothic" w:eastAsia="Century Gothic"/>
          <w:b/>
          <w:i w:val="0"/>
          <w:sz w:val="20"/>
        </w:rPr>
        <w:t>ARTÍCULO 21.- SUSTENTACIÓN</w:t>
      </w:r>
    </w:p>
    <w:p>
      <w:pPr>
        <w:spacing w:before="0" w:after="200" w:line="240" w:lineRule="auto"/>
        <w:jc w:val="both"/>
      </w:pPr>
      <w:r>
        <w:rPr>
          <w:rFonts w:ascii="Century Gothic" w:hAnsi="Century Gothic" w:cs="Century Gothic" w:eastAsia="Century Gothic"/>
          <w:b w:val="0"/>
          <w:i w:val="0"/>
          <w:sz w:val="20"/>
        </w:rPr>
        <w:t>Concluido el proceso de preparación y aprobación del proyecto de grado y una vez presentados los mismos, el Postulante realizará la sustentación formal ante el “Tribunal Examinador” designado.</w:t>
      </w:r>
    </w:p>
    <w:p>
      <w:pPr>
        <w:spacing w:before="0" w:after="200" w:line="240" w:lineRule="auto"/>
        <w:jc w:val="both"/>
      </w:pPr>
      <w:r>
        <w:rPr>
          <w:rFonts w:ascii="Century Gothic" w:hAnsi="Century Gothic" w:cs="Century Gothic" w:eastAsia="Century Gothic"/>
          <w:b/>
          <w:i w:val="0"/>
          <w:sz w:val="20"/>
        </w:rPr>
        <w:t>ARTÍCULO 22.- DESARROLLO SUSTENTACIÓN DEL PROYECTO DE GRADO</w:t>
      </w:r>
    </w:p>
    <w:p>
      <w:pPr>
        <w:spacing w:before="0" w:after="200" w:line="240" w:lineRule="auto"/>
        <w:jc w:val="both"/>
      </w:pPr>
      <w:r>
        <w:rPr>
          <w:rFonts w:ascii="Century Gothic" w:hAnsi="Century Gothic" w:cs="Century Gothic" w:eastAsia="Century Gothic"/>
          <w:b w:val="0"/>
          <w:i w:val="0"/>
          <w:sz w:val="20"/>
        </w:rPr>
        <w:t>La sustentación del proyecto de grado se desarrollará en acto público, conforme el siguiente procedimiento:</w:t>
      </w:r>
    </w:p>
    <w:p>
      <w:pPr>
        <w:numPr>
          <w:ilvl w:val="0"/>
          <w:numId w:val="907"/>
        </w:numPr>
        <w:spacing w:before="0" w:after="160" w:line="240" w:lineRule="auto"/>
        <w:jc w:val="both"/>
      </w:pPr>
      <w:r>
        <w:rPr>
          <w:rFonts w:ascii="Century Gothic" w:hAnsi="Century Gothic" w:cs="Century Gothic" w:eastAsia="Century Gothic"/>
          <w:b w:val="0"/>
          <w:i w:val="0"/>
          <w:sz w:val="20"/>
        </w:rPr>
        <w:t>El Postulante se presentará el día y hora señalado, con una hora de anticipación, para la sustentación del proyecto de grado.</w:t>
      </w:r>
    </w:p>
    <w:p>
      <w:pPr>
        <w:numPr>
          <w:ilvl w:val="0"/>
          <w:numId w:val="907"/>
        </w:numPr>
        <w:spacing w:before="0" w:after="160" w:line="240" w:lineRule="auto"/>
        <w:jc w:val="both"/>
      </w:pPr>
      <w:r>
        <w:rPr>
          <w:rFonts w:ascii="Century Gothic" w:hAnsi="Century Gothic" w:cs="Century Gothic" w:eastAsia="Century Gothic"/>
          <w:b w:val="0"/>
          <w:i w:val="0"/>
          <w:sz w:val="20"/>
        </w:rPr>
        <w:t>Se instalará el Tribunal Examinador, con la presencia de tres (3) Docentes designados oportunamente, bajo la presidencia del Docente más antiguo para dar inicio al acto académico.</w:t>
      </w:r>
    </w:p>
    <w:p>
      <w:pPr>
        <w:numPr>
          <w:ilvl w:val="0"/>
          <w:numId w:val="907"/>
        </w:numPr>
        <w:spacing w:before="0" w:after="160" w:line="240" w:lineRule="auto"/>
        <w:jc w:val="both"/>
      </w:pPr>
      <w:r>
        <w:rPr>
          <w:rFonts w:ascii="Century Gothic" w:hAnsi="Century Gothic" w:cs="Century Gothic" w:eastAsia="Century Gothic"/>
          <w:b w:val="0"/>
          <w:i w:val="0"/>
          <w:sz w:val="20"/>
        </w:rPr>
        <w:t>En ausencia de algún miembro del Tribunal Examinador, se instalará con dos (2) Tribunales Examinadores.</w:t>
      </w:r>
    </w:p>
    <w:p>
      <w:pPr>
        <w:numPr>
          <w:ilvl w:val="0"/>
          <w:numId w:val="907"/>
        </w:numPr>
        <w:spacing w:before="0" w:after="160" w:line="240" w:lineRule="auto"/>
        <w:jc w:val="both"/>
      </w:pPr>
      <w:r>
        <w:rPr>
          <w:rFonts w:ascii="Century Gothic" w:hAnsi="Century Gothic" w:cs="Century Gothic" w:eastAsia="Century Gothic"/>
          <w:b w:val="0"/>
          <w:i w:val="0"/>
          <w:sz w:val="20"/>
        </w:rPr>
        <w:t>En ausencia del Presidente del Tribunal, asumirá el Docente más antiguo.</w:t>
      </w:r>
    </w:p>
    <w:p>
      <w:pPr>
        <w:numPr>
          <w:ilvl w:val="0"/>
          <w:numId w:val="907"/>
        </w:numPr>
        <w:spacing w:before="0" w:after="160" w:line="240" w:lineRule="auto"/>
        <w:jc w:val="both"/>
      </w:pPr>
      <w:r>
        <w:rPr>
          <w:rFonts w:ascii="Century Gothic" w:hAnsi="Century Gothic" w:cs="Century Gothic" w:eastAsia="Century Gothic"/>
          <w:b w:val="0"/>
          <w:i w:val="0"/>
          <w:sz w:val="20"/>
        </w:rPr>
        <w:t>El Tribunal Examinador concederá al Postulante el tiempo de veinte (20) a treinta (30) minutos para efectuar exposición oral de su trabajo de grado. En la sustentación, podrá hacer uso de apoyos audiovisuales que permitan facilitar su exposición.</w:t>
      </w:r>
    </w:p>
    <w:p>
      <w:pPr>
        <w:numPr>
          <w:ilvl w:val="0"/>
          <w:numId w:val="907"/>
        </w:numPr>
        <w:spacing w:before="0" w:after="160" w:line="240" w:lineRule="auto"/>
        <w:jc w:val="both"/>
      </w:pPr>
      <w:r>
        <w:rPr>
          <w:rFonts w:ascii="Century Gothic" w:hAnsi="Century Gothic" w:cs="Century Gothic" w:eastAsia="Century Gothic"/>
          <w:b w:val="0"/>
          <w:i w:val="0"/>
          <w:sz w:val="20"/>
        </w:rPr>
        <w:t>Concluida la exposición, el Presidente del Tribunal dará inicio a la ronda de preguntas por parte de los miembros del Tribunal Examinador, relacionadas estrictamente al tema objeto del Proyecto de Grado.</w:t>
      </w:r>
    </w:p>
    <w:p>
      <w:pPr>
        <w:numPr>
          <w:ilvl w:val="0"/>
          <w:numId w:val="907"/>
        </w:numPr>
        <w:spacing w:before="0" w:after="160" w:line="240" w:lineRule="auto"/>
        <w:jc w:val="both"/>
      </w:pPr>
      <w:r>
        <w:rPr>
          <w:rFonts w:ascii="Century Gothic" w:hAnsi="Century Gothic" w:cs="Century Gothic" w:eastAsia="Century Gothic"/>
          <w:b w:val="0"/>
          <w:i w:val="0"/>
          <w:sz w:val="20"/>
        </w:rPr>
        <w:t>Concluida la ronda de preguntas, el Presidente del Tribunal declarará cuarto intermedio, y en sesión reservada, los miembros del Tribunal procederán a evaluar el contenido del trabajo, la exposición y las respuestas del Postulante de acuerdo al método de evaluación establecido en el presente reglamento.</w:t>
      </w:r>
    </w:p>
    <w:p>
      <w:pPr>
        <w:numPr>
          <w:ilvl w:val="0"/>
          <w:numId w:val="907"/>
        </w:numPr>
        <w:spacing w:before="0" w:after="160" w:line="240" w:lineRule="auto"/>
        <w:jc w:val="both"/>
      </w:pPr>
      <w:r>
        <w:rPr>
          <w:rFonts w:ascii="Century Gothic" w:hAnsi="Century Gothic" w:cs="Century Gothic" w:eastAsia="Century Gothic"/>
          <w:b w:val="0"/>
          <w:i w:val="0"/>
          <w:sz w:val="20"/>
        </w:rPr>
        <w:t>El Presidente del Tribunal consignará la calificación literal y numeral obtenida por el Postulante, la cual estará refrendada con las firmas de los miembros del Tribunal.</w:t>
      </w:r>
    </w:p>
    <w:p>
      <w:pPr>
        <w:numPr>
          <w:ilvl w:val="0"/>
          <w:numId w:val="907"/>
        </w:numPr>
        <w:spacing w:before="0" w:after="200" w:line="240" w:lineRule="auto"/>
        <w:jc w:val="both"/>
      </w:pPr>
      <w:r>
        <w:rPr>
          <w:rFonts w:ascii="Century Gothic" w:hAnsi="Century Gothic" w:cs="Century Gothic" w:eastAsia="Century Gothic"/>
          <w:b w:val="0"/>
          <w:i w:val="0"/>
          <w:sz w:val="20"/>
        </w:rPr>
        <w:t>El Presidente del Tribunal, reiniciará el acto académico, dando lectura al Acta de Sustentación de Grado y procederá a clausurar entregando un ejemplar del trabajo al Postulante, con la nota correspondiente y firmas del Tribunal.</w:t>
      </w:r>
    </w:p>
    <w:p>
      <w:pPr>
        <w:spacing w:before="0" w:after="200" w:line="240" w:lineRule="auto"/>
        <w:jc w:val="both"/>
      </w:pPr>
      <w:r>
        <w:rPr>
          <w:rFonts w:ascii="Century Gothic" w:hAnsi="Century Gothic" w:cs="Century Gothic" w:eastAsia="Century Gothic"/>
          <w:b/>
          <w:i w:val="0"/>
          <w:sz w:val="20"/>
        </w:rPr>
        <w:t>ARTÍCULO 23.- PROCESO DE EVALUACIÓN</w:t>
      </w:r>
    </w:p>
    <w:p>
      <w:pPr>
        <w:spacing w:before="0" w:after="200" w:line="240" w:lineRule="auto"/>
        <w:jc w:val="both"/>
      </w:pPr>
      <w:r>
        <w:rPr>
          <w:rFonts w:ascii="Century Gothic" w:hAnsi="Century Gothic" w:cs="Century Gothic" w:eastAsia="Century Gothic"/>
          <w:b w:val="0"/>
          <w:i w:val="0"/>
          <w:sz w:val="20"/>
        </w:rPr>
        <w:t>Concluida la sustentación, el Tribunal Examinador sesionará a puerta cerrada y determinará la calificación final, cuantitativa y cualitativa obtenida por el Postulante, evaluando en forma conjunta los siguientes aspectos:</w:t>
      </w:r>
    </w:p>
    <w:p>
      <w:pPr>
        <w:numPr>
          <w:ilvl w:val="0"/>
          <w:numId w:val="908"/>
        </w:numPr>
        <w:spacing w:before="0" w:after="160" w:line="240" w:lineRule="auto"/>
        <w:jc w:val="both"/>
      </w:pPr>
      <w:r>
        <w:rPr>
          <w:rFonts w:ascii="Century Gothic" w:hAnsi="Century Gothic" w:cs="Century Gothic" w:eastAsia="Century Gothic"/>
          <w:b/>
          <w:i w:val="0"/>
          <w:sz w:val="20"/>
        </w:rPr>
        <w:t>Con relación al trabajo:</w:t>
      </w:r>
    </w:p>
    <w:p>
      <w:pPr>
        <w:numPr>
          <w:ilvl w:val="0"/>
          <w:numId w:val="908"/>
        </w:numPr>
        <w:spacing w:before="0" w:after="160" w:line="240" w:lineRule="auto"/>
        <w:jc w:val="both"/>
      </w:pPr>
      <w:r>
        <w:rPr>
          <w:rFonts w:ascii="Century Gothic" w:hAnsi="Century Gothic" w:cs="Century Gothic" w:eastAsia="Century Gothic"/>
          <w:b w:val="0"/>
          <w:i w:val="0"/>
          <w:sz w:val="20"/>
        </w:rPr>
        <w:t>Presentación formal</w:t>
      </w:r>
    </w:p>
    <w:p>
      <w:pPr>
        <w:numPr>
          <w:ilvl w:val="0"/>
          <w:numId w:val="908"/>
        </w:numPr>
        <w:spacing w:before="0" w:after="160" w:line="240" w:lineRule="auto"/>
        <w:jc w:val="both"/>
      </w:pPr>
      <w:r>
        <w:rPr>
          <w:rFonts w:ascii="Century Gothic" w:hAnsi="Century Gothic" w:cs="Century Gothic" w:eastAsia="Century Gothic"/>
          <w:b w:val="0"/>
          <w:i w:val="0"/>
          <w:sz w:val="20"/>
        </w:rPr>
        <w:t>Relevancia y contenido</w:t>
      </w:r>
    </w:p>
    <w:p>
      <w:pPr>
        <w:numPr>
          <w:ilvl w:val="0"/>
          <w:numId w:val="908"/>
        </w:numPr>
        <w:spacing w:before="0" w:after="160" w:line="240" w:lineRule="auto"/>
        <w:jc w:val="both"/>
      </w:pPr>
      <w:r>
        <w:rPr>
          <w:rFonts w:ascii="Century Gothic" w:hAnsi="Century Gothic" w:cs="Century Gothic" w:eastAsia="Century Gothic"/>
          <w:b w:val="0"/>
          <w:i w:val="0"/>
          <w:sz w:val="20"/>
        </w:rPr>
        <w:t>Fuentes de información</w:t>
      </w:r>
    </w:p>
    <w:p>
      <w:pPr>
        <w:numPr>
          <w:ilvl w:val="0"/>
          <w:numId w:val="908"/>
        </w:numPr>
        <w:spacing w:before="0" w:after="160" w:line="240" w:lineRule="auto"/>
        <w:jc w:val="both"/>
      </w:pPr>
      <w:r>
        <w:rPr>
          <w:rFonts w:ascii="Century Gothic" w:hAnsi="Century Gothic" w:cs="Century Gothic" w:eastAsia="Century Gothic"/>
          <w:b w:val="0"/>
          <w:i w:val="0"/>
          <w:sz w:val="20"/>
        </w:rPr>
        <w:t>Composición y redacción</w:t>
      </w:r>
    </w:p>
    <w:p>
      <w:pPr>
        <w:numPr>
          <w:ilvl w:val="0"/>
          <w:numId w:val="908"/>
        </w:numPr>
        <w:spacing w:before="0" w:after="160" w:line="240" w:lineRule="auto"/>
        <w:jc w:val="both"/>
      </w:pPr>
      <w:r>
        <w:rPr>
          <w:rFonts w:ascii="Century Gothic" w:hAnsi="Century Gothic" w:cs="Century Gothic" w:eastAsia="Century Gothic"/>
          <w:b w:val="0"/>
          <w:i w:val="0"/>
          <w:sz w:val="20"/>
        </w:rPr>
        <w:t>Justificación, desarrollo metodológico y presentación de resultados</w:t>
      </w:r>
    </w:p>
    <w:p>
      <w:pPr>
        <w:numPr>
          <w:ilvl w:val="0"/>
          <w:numId w:val="908"/>
        </w:numPr>
        <w:spacing w:before="0" w:after="160" w:line="240" w:lineRule="auto"/>
        <w:jc w:val="both"/>
      </w:pPr>
      <w:r>
        <w:rPr>
          <w:rFonts w:ascii="Century Gothic" w:hAnsi="Century Gothic" w:cs="Century Gothic" w:eastAsia="Century Gothic"/>
          <w:b/>
          <w:i w:val="0"/>
          <w:sz w:val="20"/>
        </w:rPr>
        <w:t>Con relación a la sustentación:</w:t>
      </w:r>
    </w:p>
    <w:p>
      <w:pPr>
        <w:numPr>
          <w:ilvl w:val="0"/>
          <w:numId w:val="908"/>
        </w:numPr>
        <w:spacing w:before="0" w:after="160" w:line="240" w:lineRule="auto"/>
        <w:jc w:val="both"/>
      </w:pPr>
      <w:r>
        <w:rPr>
          <w:rFonts w:ascii="Century Gothic" w:hAnsi="Century Gothic" w:cs="Century Gothic" w:eastAsia="Century Gothic"/>
          <w:b w:val="0"/>
          <w:i w:val="0"/>
          <w:sz w:val="20"/>
        </w:rPr>
        <w:t>Comunicación y empleo del lenguaje</w:t>
      </w:r>
    </w:p>
    <w:p>
      <w:pPr>
        <w:numPr>
          <w:ilvl w:val="0"/>
          <w:numId w:val="908"/>
        </w:numPr>
        <w:spacing w:before="0" w:after="160" w:line="240" w:lineRule="auto"/>
        <w:jc w:val="both"/>
      </w:pPr>
      <w:r>
        <w:rPr>
          <w:rFonts w:ascii="Century Gothic" w:hAnsi="Century Gothic" w:cs="Century Gothic" w:eastAsia="Century Gothic"/>
          <w:b w:val="0"/>
          <w:i w:val="0"/>
          <w:sz w:val="20"/>
        </w:rPr>
        <w:t>Claridad de las ideas expuestas</w:t>
      </w:r>
    </w:p>
    <w:p>
      <w:pPr>
        <w:numPr>
          <w:ilvl w:val="0"/>
          <w:numId w:val="908"/>
        </w:numPr>
        <w:spacing w:before="0" w:after="160" w:line="240" w:lineRule="auto"/>
        <w:jc w:val="both"/>
      </w:pPr>
      <w:r>
        <w:rPr>
          <w:rFonts w:ascii="Century Gothic" w:hAnsi="Century Gothic" w:cs="Century Gothic" w:eastAsia="Century Gothic"/>
          <w:b w:val="0"/>
          <w:i w:val="0"/>
          <w:sz w:val="20"/>
        </w:rPr>
        <w:t>Dominio del tema</w:t>
      </w:r>
    </w:p>
    <w:p>
      <w:pPr>
        <w:numPr>
          <w:ilvl w:val="0"/>
          <w:numId w:val="908"/>
        </w:numPr>
        <w:spacing w:before="0" w:after="160" w:line="240" w:lineRule="auto"/>
        <w:jc w:val="both"/>
      </w:pPr>
      <w:r>
        <w:rPr>
          <w:rFonts w:ascii="Century Gothic" w:hAnsi="Century Gothic" w:cs="Century Gothic" w:eastAsia="Century Gothic"/>
          <w:b w:val="0"/>
          <w:i w:val="0"/>
          <w:sz w:val="20"/>
        </w:rPr>
        <w:t>Utilización de recursos en la exposición</w:t>
      </w:r>
    </w:p>
    <w:p>
      <w:pPr>
        <w:numPr>
          <w:ilvl w:val="0"/>
          <w:numId w:val="908"/>
        </w:numPr>
        <w:spacing w:before="0" w:after="160" w:line="240" w:lineRule="auto"/>
        <w:jc w:val="both"/>
      </w:pPr>
      <w:r>
        <w:rPr>
          <w:rFonts w:ascii="Century Gothic" w:hAnsi="Century Gothic" w:cs="Century Gothic" w:eastAsia="Century Gothic"/>
          <w:b w:val="0"/>
          <w:i w:val="0"/>
          <w:sz w:val="20"/>
        </w:rPr>
        <w:t>Desarrollo de conclusiones</w:t>
      </w:r>
    </w:p>
    <w:p>
      <w:pPr>
        <w:numPr>
          <w:ilvl w:val="0"/>
          <w:numId w:val="908"/>
        </w:numPr>
        <w:spacing w:before="0" w:after="200" w:line="240" w:lineRule="auto"/>
        <w:jc w:val="both"/>
      </w:pPr>
      <w:r>
        <w:rPr>
          <w:rFonts w:ascii="Century Gothic" w:hAnsi="Century Gothic" w:cs="Century Gothic" w:eastAsia="Century Gothic"/>
          <w:b/>
          <w:i w:val="0"/>
          <w:sz w:val="20"/>
        </w:rPr>
        <w:t>Ponderación modalidad de graduación de Proyecto de Grado</w:t>
      </w:r>
    </w:p>
    <w:p>
      <w:pPr>
        <w:spacing w:before="0" w:after="200" w:line="240" w:lineRule="auto"/>
        <w:jc w:val="both"/>
      </w:pPr>
      <w:r>
        <w:rPr>
          <w:rFonts w:ascii="Century Gothic" w:hAnsi="Century Gothic" w:cs="Century Gothic" w:eastAsia="Century Gothic"/>
          <w:b w:val="0"/>
          <w:i w:val="0"/>
          <w:sz w:val="20"/>
        </w:rPr>
        <w:t>Presentación y contenido: Cuarenta (40) puntos</w:t>
      </w:r>
    </w:p>
    <w:p>
      <w:pPr>
        <w:spacing w:before="0" w:after="200" w:line="240" w:lineRule="auto"/>
        <w:jc w:val="both"/>
      </w:pPr>
      <w:r>
        <w:rPr>
          <w:rFonts w:ascii="Century Gothic" w:hAnsi="Century Gothic" w:cs="Century Gothic" w:eastAsia="Century Gothic"/>
          <w:b w:val="0"/>
          <w:i w:val="0"/>
          <w:sz w:val="20"/>
        </w:rPr>
        <w:t>Sustentación: Treinta (30) puntos</w:t>
      </w:r>
    </w:p>
    <w:p>
      <w:pPr>
        <w:spacing w:before="0" w:after="200" w:line="240" w:lineRule="auto"/>
        <w:jc w:val="both"/>
      </w:pPr>
      <w:r>
        <w:rPr>
          <w:rFonts w:ascii="Century Gothic" w:hAnsi="Century Gothic" w:cs="Century Gothic" w:eastAsia="Century Gothic"/>
          <w:b w:val="0"/>
          <w:i w:val="0"/>
          <w:sz w:val="20"/>
        </w:rPr>
        <w:t>Respuestas: Treinta (30) puntos</w:t>
      </w:r>
    </w:p>
    <w:p>
      <w:pPr>
        <w:numPr>
          <w:ilvl w:val="0"/>
          <w:numId w:val="909"/>
        </w:numPr>
        <w:spacing w:before="0" w:after="200" w:line="240" w:lineRule="auto"/>
        <w:jc w:val="both"/>
      </w:pPr>
      <w:r>
        <w:rPr>
          <w:rFonts w:ascii="Century Gothic" w:hAnsi="Century Gothic" w:cs="Century Gothic" w:eastAsia="Century Gothic"/>
          <w:b/>
          <w:i w:val="0"/>
          <w:sz w:val="20"/>
        </w:rPr>
        <w:t>Escala cuantitativa y cualitativa:</w:t>
      </w:r>
    </w:p>
    <w:p>
      <w:pPr>
        <w:spacing w:before="0" w:after="200" w:line="240" w:lineRule="auto"/>
        <w:jc w:val="both"/>
      </w:pPr>
      <w:r>
        <w:rPr>
          <w:rFonts w:ascii="Century Gothic" w:hAnsi="Century Gothic" w:cs="Century Gothic" w:eastAsia="Century Gothic"/>
          <w:b w:val="0"/>
          <w:i w:val="0"/>
          <w:sz w:val="20"/>
        </w:rPr>
        <w:t>La escala de calificaciones, cualitativa y cuantitativa es la siguiente:</w:t>
      </w:r>
    </w:p>
    <w:tbl>
      <w:tblPr>
        <w:tblW w:type="auto" w:w="0"/>
        <w:jc w:val="center"/>
        <w:tblLayout w:type="fixed"/>
        <w:tblLook w:firstColumn="1" w:firstRow="1" w:lastColumn="0" w:lastRow="0" w:noHBand="0" w:noVBand="1" w:val="04A0"/>
      </w:tblPr>
      <w:tblGrid>
        <w:gridCol w:w="6527"/>
        <w:gridCol w:w="2544"/>
      </w:tblGrid>
      <w:tr>
        <w:trPr>
          <w:tblHeader/>
        </w:trPr>
        <w:tc>
          <w:tcPr>
            <w:tcW w:type="dxa" w:w="652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25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Reprobado</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 50</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Buena</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 70</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Sobresaliente – Con recomendación de publicación</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 89</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Excelente – Con mención honorífica, felicitación y recomendación de publicación</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 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Dicha escala corresponde a lo establecido en el Artículo 41 del Reglamento General de Tipos de Modalidad de Graduación del XII Congreso Nacional de Universidades del Sistema Boliviano realizado en Oruro.</w:t>
      </w:r>
    </w:p>
    <w:p>
      <w:pPr>
        <w:spacing w:before="0" w:after="200" w:line="240" w:lineRule="auto"/>
        <w:jc w:val="both"/>
      </w:pPr>
      <w:r>
        <w:rPr>
          <w:rFonts w:ascii="Century Gothic" w:hAnsi="Century Gothic" w:cs="Century Gothic" w:eastAsia="Century Gothic"/>
          <w:b w:val="0"/>
          <w:i w:val="0"/>
          <w:sz w:val="20"/>
        </w:rPr>
        <w:t>La calificación final, en forma separada, reflejará el criterio de los miembros del Tribunal Examinador en relación al trabajo, sustentación y respuestas, a través de la media aritmética ponderada de los miembros.</w:t>
      </w:r>
    </w:p>
    <w:p>
      <w:pPr>
        <w:spacing w:before="0" w:after="200" w:line="240" w:lineRule="auto"/>
        <w:jc w:val="both"/>
      </w:pPr>
      <w:r>
        <w:rPr>
          <w:rFonts w:ascii="Century Gothic" w:hAnsi="Century Gothic" w:cs="Century Gothic" w:eastAsia="Century Gothic"/>
          <w:b w:val="0"/>
          <w:i w:val="0"/>
          <w:sz w:val="20"/>
        </w:rPr>
        <w:t>La calificación obtenida por el Postulante se transcribirá en el Acta de Sustentación de Grado en forma numeral y literal y en números enteros.</w:t>
      </w:r>
    </w:p>
    <w:p>
      <w:pPr>
        <w:spacing w:before="0" w:after="200" w:line="240" w:lineRule="auto"/>
        <w:jc w:val="both"/>
      </w:pPr>
      <w:r>
        <w:rPr>
          <w:rFonts w:ascii="Century Gothic" w:hAnsi="Century Gothic" w:cs="Century Gothic" w:eastAsia="Century Gothic"/>
          <w:b/>
          <w:i w:val="0"/>
          <w:sz w:val="20"/>
        </w:rPr>
        <w:t>ARTÍCULO 24.- INASISTENCIA DE MIEMBROS DEL TRIBUNAL</w:t>
      </w:r>
    </w:p>
    <w:p>
      <w:pPr>
        <w:spacing w:before="0" w:after="200" w:line="240" w:lineRule="auto"/>
        <w:jc w:val="both"/>
      </w:pPr>
      <w:r>
        <w:rPr>
          <w:rFonts w:ascii="Century Gothic" w:hAnsi="Century Gothic" w:cs="Century Gothic" w:eastAsia="Century Gothic"/>
          <w:b w:val="0"/>
          <w:i w:val="0"/>
          <w:sz w:val="20"/>
        </w:rPr>
        <w:t>Es obligación de todo Docente Titular e Interino, designado como Tribunal Examinador, cumplir con sus funciones. De no existir quórum necesario (mínimo dos Tribunales), se suspenderá la sustentación hasta siete (7) días calendario impostergablemente.</w:t>
      </w:r>
    </w:p>
    <w:p>
      <w:pPr>
        <w:spacing w:before="0" w:after="200" w:line="240" w:lineRule="auto"/>
        <w:jc w:val="both"/>
      </w:pPr>
      <w:r>
        <w:rPr>
          <w:rFonts w:ascii="Century Gothic" w:hAnsi="Century Gothic" w:cs="Century Gothic" w:eastAsia="Century Gothic"/>
          <w:b w:val="0"/>
          <w:i w:val="0"/>
          <w:sz w:val="20"/>
        </w:rPr>
        <w:t>Él o los Docentes Tribunales que no asistan serán objeto de amonestación formal por parte del Director de Carrera, salvo en casos debidamente justificables, de ser reiterativa su ausencia se informará al Honorable Consejo de la Carrera para su consideración y sanción conforme al Reglamento Universitario en vigencia.</w:t>
      </w:r>
    </w:p>
    <w:p>
      <w:pPr>
        <w:spacing w:before="0" w:after="200" w:line="240" w:lineRule="auto"/>
        <w:jc w:val="both"/>
      </w:pPr>
      <w:r>
        <w:rPr>
          <w:rFonts w:ascii="Century Gothic" w:hAnsi="Century Gothic" w:cs="Century Gothic" w:eastAsia="Century Gothic"/>
          <w:b/>
          <w:i w:val="0"/>
          <w:sz w:val="20"/>
        </w:rPr>
        <w:t>ARTÍCULO 25.- INASISTENCIA DE LOS POSTULANTES</w:t>
      </w:r>
    </w:p>
    <w:p>
      <w:pPr>
        <w:spacing w:before="0" w:after="200" w:line="240" w:lineRule="auto"/>
        <w:jc w:val="both"/>
      </w:pPr>
      <w:r>
        <w:rPr>
          <w:rFonts w:ascii="Century Gothic" w:hAnsi="Century Gothic" w:cs="Century Gothic" w:eastAsia="Century Gothic"/>
          <w:b w:val="0"/>
          <w:i w:val="0"/>
          <w:sz w:val="20"/>
        </w:rPr>
        <w:t>Es obligación de todo Postulante presentarse al Acto Académico de Sustentación, con una hora de antelación. De no asistir, se suspenderá la sustentación hasta sesenta (60) días calendario y será objeto de amonestación formal por parte del Director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pPr>
        <w:spacing w:before="0" w:after="200" w:line="240" w:lineRule="auto"/>
        <w:jc w:val="both"/>
      </w:pPr>
      <w:r>
        <w:rPr>
          <w:rFonts w:ascii="Century Gothic" w:hAnsi="Century Gothic" w:cs="Century Gothic" w:eastAsia="Century Gothic"/>
          <w:b/>
          <w:i w:val="0"/>
          <w:sz w:val="20"/>
        </w:rPr>
        <w:t>ARTÍCULO 26.- EXCUSA DE MIEMBROS DEL TRIBUNAL</w:t>
      </w:r>
    </w:p>
    <w:p>
      <w:pPr>
        <w:spacing w:before="0" w:after="200" w:line="240" w:lineRule="auto"/>
        <w:jc w:val="both"/>
      </w:pPr>
      <w:r>
        <w:rPr>
          <w:rFonts w:ascii="Century Gothic" w:hAnsi="Century Gothic" w:cs="Century Gothic" w:eastAsia="Century Gothic"/>
          <w:b w:val="0"/>
          <w:i w:val="0"/>
          <w:sz w:val="20"/>
        </w:rPr>
        <w:t>El Docente Titular o Interino designado en calidad de Tribunal podrá excusarse, por única vez, y por razones de parentesco y/o conflicto de intereses.</w:t>
      </w:r>
    </w:p>
    <w:p>
      <w:pPr>
        <w:spacing w:before="0" w:after="200" w:line="240" w:lineRule="auto"/>
        <w:jc w:val="both"/>
      </w:pPr>
      <w:r>
        <w:rPr>
          <w:rFonts w:ascii="Century Gothic" w:hAnsi="Century Gothic" w:cs="Century Gothic" w:eastAsia="Century Gothic"/>
          <w:b/>
          <w:i w:val="0"/>
          <w:sz w:val="20"/>
        </w:rPr>
        <w:t>CAPITULO III: TESIS DE GRADO</w:t>
      </w:r>
    </w:p>
    <w:p>
      <w:pPr>
        <w:spacing w:before="0" w:after="200" w:line="240" w:lineRule="auto"/>
        <w:jc w:val="both"/>
      </w:pPr>
      <w:r>
        <w:rPr>
          <w:rFonts w:ascii="Century Gothic" w:hAnsi="Century Gothic" w:cs="Century Gothic" w:eastAsia="Century Gothic"/>
          <w:b/>
          <w:i w:val="0"/>
          <w:sz w:val="20"/>
        </w:rPr>
        <w:t>ARTÍCULO 27.- CONCEPTO</w:t>
      </w:r>
    </w:p>
    <w:p>
      <w:pPr>
        <w:spacing w:before="0" w:after="200" w:line="240" w:lineRule="auto"/>
        <w:jc w:val="both"/>
      </w:pPr>
      <w:r>
        <w:rPr>
          <w:rFonts w:ascii="Century Gothic" w:hAnsi="Century Gothic" w:cs="Century Gothic" w:eastAsia="Century Gothic"/>
          <w:b w:val="0"/>
          <w:i w:val="0"/>
          <w:sz w:val="20"/>
        </w:rPr>
        <w:t>La Tesis de Grado, es una modalidad de graduación, que consiste en desarrollar un trabajo de investigación con exigencias de metodología acorde a la temática tratada, donde el Postulante demuestra el dominio del tema o problema, en área determinada, que plantea alternativas aplicables o propone soluciones prácticas y/o teóricas, que deben ser supervisadas adecuadamente por un Tutor Académico.</w:t>
      </w:r>
    </w:p>
    <w:p>
      <w:pPr>
        <w:spacing w:before="0" w:after="200" w:line="240" w:lineRule="auto"/>
        <w:jc w:val="both"/>
      </w:pPr>
      <w:r>
        <w:rPr>
          <w:rFonts w:ascii="Century Gothic" w:hAnsi="Century Gothic" w:cs="Century Gothic" w:eastAsia="Century Gothic"/>
          <w:b/>
          <w:i w:val="0"/>
          <w:sz w:val="20"/>
        </w:rPr>
        <w:t>ARTÍCULO 28.- TUTOR ACADÉMICO</w:t>
      </w:r>
    </w:p>
    <w:p>
      <w:pPr>
        <w:spacing w:before="0" w:after="200" w:line="240" w:lineRule="auto"/>
        <w:jc w:val="both"/>
      </w:pPr>
      <w:r>
        <w:rPr>
          <w:rFonts w:ascii="Century Gothic" w:hAnsi="Century Gothic" w:cs="Century Gothic" w:eastAsia="Century Gothic"/>
          <w:b w:val="0"/>
          <w:i w:val="0"/>
          <w:sz w:val="20"/>
        </w:rPr>
        <w:t>Para ser Tutor Académico de Tesis de Grado, se requiere ser Docente (Titular y/o Interino) de la Carrera de Contaduría Pública y poseer grado académico mínimo de Licenciatura o Superior, otorgado por el Sistema de la Universidad Pública Boliviana.</w:t>
      </w:r>
    </w:p>
    <w:p>
      <w:pPr>
        <w:spacing w:before="0" w:after="200" w:line="240" w:lineRule="auto"/>
        <w:jc w:val="both"/>
      </w:pPr>
      <w:r>
        <w:rPr>
          <w:rFonts w:ascii="Century Gothic" w:hAnsi="Century Gothic" w:cs="Century Gothic" w:eastAsia="Century Gothic"/>
          <w:b w:val="0"/>
          <w:i w:val="0"/>
          <w:sz w:val="20"/>
        </w:rPr>
        <w:t>Las tutorías a cargo de Docentes Interinos deberán sujetarse al calendario académico aprobado por el Honorable Consejo Universitario.</w:t>
      </w:r>
    </w:p>
    <w:p>
      <w:pPr>
        <w:spacing w:before="0" w:after="200" w:line="240" w:lineRule="auto"/>
        <w:jc w:val="both"/>
      </w:pPr>
      <w:r>
        <w:rPr>
          <w:rFonts w:ascii="Century Gothic" w:hAnsi="Century Gothic" w:cs="Century Gothic" w:eastAsia="Century Gothic"/>
          <w:b w:val="0"/>
          <w:i w:val="0"/>
          <w:sz w:val="20"/>
        </w:rPr>
        <w:t>El Tutor Académico, tiene las siguientes obligaciones:</w:t>
      </w:r>
    </w:p>
    <w:p>
      <w:pPr>
        <w:numPr>
          <w:ilvl w:val="0"/>
          <w:numId w:val="910"/>
        </w:numPr>
        <w:spacing w:before="0" w:after="160" w:line="240" w:lineRule="auto"/>
        <w:jc w:val="both"/>
      </w:pPr>
      <w:r>
        <w:rPr>
          <w:rFonts w:ascii="Century Gothic" w:hAnsi="Century Gothic" w:cs="Century Gothic" w:eastAsia="Century Gothic"/>
          <w:b w:val="0"/>
          <w:i w:val="0"/>
          <w:sz w:val="20"/>
        </w:rPr>
        <w:t>Orientar y guiar en la elaboración de la Tesis de Grado</w:t>
      </w:r>
    </w:p>
    <w:p>
      <w:pPr>
        <w:numPr>
          <w:ilvl w:val="0"/>
          <w:numId w:val="910"/>
        </w:numPr>
        <w:spacing w:before="0" w:after="160" w:line="240" w:lineRule="auto"/>
        <w:jc w:val="both"/>
      </w:pPr>
      <w:r>
        <w:rPr>
          <w:rFonts w:ascii="Century Gothic" w:hAnsi="Century Gothic" w:cs="Century Gothic" w:eastAsia="Century Gothic"/>
          <w:b w:val="0"/>
          <w:i w:val="0"/>
          <w:sz w:val="20"/>
        </w:rPr>
        <w:t>Realizar las revisiones previas a las presentaciones de los Perfiles de Tesis de Grado, la Tesis de Grado (Borrador y Final) y la defensa para evaluar y determinar el nivel de suficiencia que permita a los Postulantes avanzar a la siguiente etapa.</w:t>
      </w:r>
    </w:p>
    <w:p>
      <w:pPr>
        <w:numPr>
          <w:ilvl w:val="0"/>
          <w:numId w:val="910"/>
        </w:numPr>
        <w:spacing w:before="0" w:after="160" w:line="240" w:lineRule="auto"/>
        <w:jc w:val="both"/>
      </w:pPr>
      <w:r>
        <w:rPr>
          <w:rFonts w:ascii="Century Gothic" w:hAnsi="Century Gothic" w:cs="Century Gothic" w:eastAsia="Century Gothic"/>
          <w:b w:val="0"/>
          <w:i w:val="0"/>
          <w:sz w:val="20"/>
        </w:rPr>
        <w:t>Participar en la defensa oral de la Tesis de Grado, para absolver dudas que se platean relacionados con el trabajo y su desarrollo.</w:t>
      </w:r>
    </w:p>
    <w:p>
      <w:pPr>
        <w:numPr>
          <w:ilvl w:val="0"/>
          <w:numId w:val="910"/>
        </w:numPr>
        <w:spacing w:before="0" w:after="200" w:line="240" w:lineRule="auto"/>
        <w:jc w:val="both"/>
      </w:pPr>
      <w:r>
        <w:rPr>
          <w:rFonts w:ascii="Century Gothic" w:hAnsi="Century Gothic" w:cs="Century Gothic" w:eastAsia="Century Gothic"/>
          <w:b w:val="0"/>
          <w:i w:val="0"/>
          <w:sz w:val="20"/>
        </w:rPr>
        <w:t>Exigir al Postulante el cumplimiento de todos los requisitos establecidos para la modalidad de graduación.</w:t>
      </w:r>
    </w:p>
    <w:p>
      <w:pPr>
        <w:spacing w:before="0" w:after="200" w:line="240" w:lineRule="auto"/>
        <w:jc w:val="both"/>
      </w:pPr>
      <w:r>
        <w:rPr>
          <w:rFonts w:ascii="Century Gothic" w:hAnsi="Century Gothic" w:cs="Century Gothic" w:eastAsia="Century Gothic"/>
          <w:b w:val="0"/>
          <w:i w:val="0"/>
          <w:sz w:val="20"/>
        </w:rPr>
        <w:t>Todos los docentes de la Carrera de Contaduría Pública tienen la obligación de ser tutores de los estudiantes que así lo soliciten de acuerdo a su especialidad, competencia y disponibilidad de tiempo, en cumplimiento de las Normas universitarias vigentes.</w:t>
      </w:r>
    </w:p>
    <w:p>
      <w:pPr>
        <w:spacing w:before="0" w:after="200" w:line="240" w:lineRule="auto"/>
        <w:jc w:val="both"/>
      </w:pPr>
      <w:r>
        <w:rPr>
          <w:rFonts w:ascii="Century Gothic" w:hAnsi="Century Gothic" w:cs="Century Gothic" w:eastAsia="Century Gothic"/>
          <w:b/>
          <w:i w:val="0"/>
          <w:sz w:val="20"/>
        </w:rPr>
        <w:t>ARTÍCULO 29.- DESIGNACIÓN TUTOR ACADÉMICO</w:t>
      </w:r>
    </w:p>
    <w:p>
      <w:pPr>
        <w:spacing w:before="0" w:after="200" w:line="240" w:lineRule="auto"/>
        <w:jc w:val="both"/>
      </w:pPr>
      <w:r>
        <w:rPr>
          <w:rFonts w:ascii="Century Gothic" w:hAnsi="Century Gothic" w:cs="Century Gothic" w:eastAsia="Century Gothic"/>
          <w:b w:val="0"/>
          <w:i w:val="0"/>
          <w:sz w:val="20"/>
        </w:rPr>
        <w:t>Para la Tesis de Grado, el Director de Carrera, a petición del Postulante y con la aceptación del Docente, procederá a la designación del Tutor Académico.</w:t>
      </w:r>
    </w:p>
    <w:p>
      <w:pPr>
        <w:spacing w:before="0" w:after="200" w:line="240" w:lineRule="auto"/>
        <w:jc w:val="both"/>
      </w:pPr>
      <w:r>
        <w:rPr>
          <w:rFonts w:ascii="Century Gothic" w:hAnsi="Century Gothic" w:cs="Century Gothic" w:eastAsia="Century Gothic"/>
          <w:b/>
          <w:i w:val="0"/>
          <w:sz w:val="20"/>
        </w:rPr>
        <w:t>ARTÍCULO 30.- PROCESO DE PREPARACIÓN</w:t>
      </w:r>
    </w:p>
    <w:p>
      <w:pPr>
        <w:spacing w:before="0" w:after="200" w:line="240" w:lineRule="auto"/>
        <w:jc w:val="both"/>
      </w:pPr>
      <w:r>
        <w:rPr>
          <w:rFonts w:ascii="Century Gothic" w:hAnsi="Century Gothic" w:cs="Century Gothic" w:eastAsia="Century Gothic"/>
          <w:b w:val="0"/>
          <w:i w:val="0"/>
          <w:sz w:val="20"/>
        </w:rPr>
        <w:t>La investigación bajo la modalidad de Tesis de Grado cumplirá las siguientes fases:</w:t>
      </w:r>
    </w:p>
    <w:p>
      <w:pPr>
        <w:numPr>
          <w:ilvl w:val="0"/>
          <w:numId w:val="911"/>
        </w:numPr>
        <w:spacing w:before="0" w:after="160" w:line="240" w:lineRule="auto"/>
        <w:jc w:val="both"/>
      </w:pPr>
      <w:r>
        <w:rPr>
          <w:rFonts w:ascii="Century Gothic" w:hAnsi="Century Gothic" w:cs="Century Gothic" w:eastAsia="Century Gothic"/>
          <w:b w:val="0"/>
          <w:i w:val="0"/>
          <w:sz w:val="20"/>
        </w:rPr>
        <w:t>Presentación del Perfil de Tesis</w:t>
      </w:r>
    </w:p>
    <w:p>
      <w:pPr>
        <w:numPr>
          <w:ilvl w:val="0"/>
          <w:numId w:val="911"/>
        </w:numPr>
        <w:spacing w:before="0" w:after="160" w:line="240" w:lineRule="auto"/>
        <w:jc w:val="both"/>
      </w:pPr>
      <w:r>
        <w:rPr>
          <w:rFonts w:ascii="Century Gothic" w:hAnsi="Century Gothic" w:cs="Century Gothic" w:eastAsia="Century Gothic"/>
          <w:b w:val="0"/>
          <w:i w:val="0"/>
          <w:sz w:val="20"/>
        </w:rPr>
        <w:t>Aprobación del Perfil de Tesis</w:t>
      </w:r>
    </w:p>
    <w:p>
      <w:pPr>
        <w:numPr>
          <w:ilvl w:val="0"/>
          <w:numId w:val="911"/>
        </w:numPr>
        <w:spacing w:before="0" w:after="160" w:line="240" w:lineRule="auto"/>
        <w:jc w:val="both"/>
      </w:pPr>
      <w:r>
        <w:rPr>
          <w:rFonts w:ascii="Century Gothic" w:hAnsi="Century Gothic" w:cs="Century Gothic" w:eastAsia="Century Gothic"/>
          <w:b w:val="0"/>
          <w:i w:val="0"/>
          <w:sz w:val="20"/>
        </w:rPr>
        <w:t>Presentación de la Tesis de Grado (Borrador)</w:t>
      </w:r>
    </w:p>
    <w:p>
      <w:pPr>
        <w:numPr>
          <w:ilvl w:val="0"/>
          <w:numId w:val="911"/>
        </w:numPr>
        <w:spacing w:before="0" w:after="160" w:line="240" w:lineRule="auto"/>
        <w:jc w:val="both"/>
      </w:pPr>
      <w:r>
        <w:rPr>
          <w:rFonts w:ascii="Century Gothic" w:hAnsi="Century Gothic" w:cs="Century Gothic" w:eastAsia="Century Gothic"/>
          <w:b w:val="0"/>
          <w:i w:val="0"/>
          <w:sz w:val="20"/>
        </w:rPr>
        <w:t>Presentación de la Tesis de Grado (Final)</w:t>
      </w:r>
    </w:p>
    <w:p>
      <w:pPr>
        <w:numPr>
          <w:ilvl w:val="0"/>
          <w:numId w:val="911"/>
        </w:numPr>
        <w:spacing w:before="0" w:after="200" w:line="240" w:lineRule="auto"/>
        <w:jc w:val="both"/>
      </w:pPr>
      <w:r>
        <w:rPr>
          <w:rFonts w:ascii="Century Gothic" w:hAnsi="Century Gothic" w:cs="Century Gothic" w:eastAsia="Century Gothic"/>
          <w:b w:val="0"/>
          <w:i w:val="0"/>
          <w:sz w:val="20"/>
        </w:rPr>
        <w:t>Sustentación de la Tesis de Grado</w:t>
      </w:r>
    </w:p>
    <w:p>
      <w:pPr>
        <w:spacing w:before="0" w:after="200" w:line="240" w:lineRule="auto"/>
        <w:jc w:val="both"/>
      </w:pPr>
      <w:r>
        <w:rPr>
          <w:rFonts w:ascii="Century Gothic" w:hAnsi="Century Gothic" w:cs="Century Gothic" w:eastAsia="Century Gothic"/>
          <w:b/>
          <w:i w:val="0"/>
          <w:sz w:val="20"/>
        </w:rPr>
        <w:t>ARTÍCULO 31.- PRESENTACIÓN DEL PERFIL DE TESIS</w:t>
      </w:r>
    </w:p>
    <w:p>
      <w:pPr>
        <w:spacing w:before="0" w:after="200" w:line="240" w:lineRule="auto"/>
        <w:jc w:val="both"/>
      </w:pPr>
      <w:r>
        <w:rPr>
          <w:rFonts w:ascii="Century Gothic" w:hAnsi="Century Gothic" w:cs="Century Gothic" w:eastAsia="Century Gothic"/>
          <w:b w:val="0"/>
          <w:i w:val="0"/>
          <w:sz w:val="20"/>
        </w:rPr>
        <w:t>Concluida la preparación del perfil de Tesis, el Postulante con el informe de aprobación del Tutor Académico, presentará en cuatro (4) ejemplares a la Dirección de Carrera, para la designación del Tribunal Revisor.</w:t>
      </w:r>
    </w:p>
    <w:p>
      <w:pPr>
        <w:spacing w:before="0" w:after="200" w:line="240" w:lineRule="auto"/>
        <w:jc w:val="both"/>
      </w:pPr>
      <w:r>
        <w:rPr>
          <w:rFonts w:ascii="Century Gothic" w:hAnsi="Century Gothic" w:cs="Century Gothic" w:eastAsia="Century Gothic"/>
          <w:b/>
          <w:i w:val="0"/>
          <w:sz w:val="20"/>
        </w:rPr>
        <w:t>ARTÍCULO 32.- TRIBUNAL REVISOR DEL PERFIL DE TESIS</w:t>
      </w:r>
    </w:p>
    <w:p>
      <w:pPr>
        <w:spacing w:before="0" w:after="200" w:line="240" w:lineRule="auto"/>
        <w:jc w:val="both"/>
      </w:pPr>
      <w:r>
        <w:rPr>
          <w:rFonts w:ascii="Century Gothic" w:hAnsi="Century Gothic" w:cs="Century Gothic" w:eastAsia="Century Gothic"/>
          <w:b w:val="0"/>
          <w:i w:val="0"/>
          <w:sz w:val="20"/>
        </w:rPr>
        <w:t>El Director de Carrera, en función a la temática del perfil de Tesis presentado por el Postulante, designará tres (3) Docentes (Titulares y/o Interinos) para conformar el Tribunal Revisor.</w:t>
      </w:r>
    </w:p>
    <w:p>
      <w:pPr>
        <w:spacing w:before="0" w:after="200" w:line="240" w:lineRule="auto"/>
        <w:jc w:val="both"/>
      </w:pPr>
      <w:r>
        <w:rPr>
          <w:rFonts w:ascii="Century Gothic" w:hAnsi="Century Gothic" w:cs="Century Gothic" w:eastAsia="Century Gothic"/>
          <w:b w:val="0"/>
          <w:i w:val="0"/>
          <w:sz w:val="20"/>
        </w:rPr>
        <w:t>Los Docentes designados por la Dirección de Carrera para conformar el Tribunal Revisor, tienen la obligación ineludible de hacer conocer el informe en un plazo no mayor a veinte (20) días calendario, a partir de la fecha de recepción oficial del perfil de tesis.</w:t>
      </w:r>
    </w:p>
    <w:p>
      <w:pPr>
        <w:spacing w:before="0" w:after="200" w:line="240" w:lineRule="auto"/>
        <w:jc w:val="both"/>
      </w:pPr>
      <w:r>
        <w:rPr>
          <w:rFonts w:ascii="Century Gothic" w:hAnsi="Century Gothic" w:cs="Century Gothic" w:eastAsia="Century Gothic"/>
          <w:b w:val="0"/>
          <w:i w:val="0"/>
          <w:sz w:val="20"/>
        </w:rPr>
        <w:t>En caso de no recibir el informe dentro del plazo fijado, el Director de Carrera conminará por escrito al Docente miembro del Tribunal Revisor, para que en un plazo de cinco (5) días calendario emita su informe.</w:t>
      </w:r>
    </w:p>
    <w:p>
      <w:pPr>
        <w:spacing w:before="0" w:after="200" w:line="240" w:lineRule="auto"/>
        <w:jc w:val="both"/>
      </w:pPr>
      <w:r>
        <w:rPr>
          <w:rFonts w:ascii="Century Gothic" w:hAnsi="Century Gothic" w:cs="Century Gothic" w:eastAsia="Century Gothic"/>
          <w:b/>
          <w:i w:val="0"/>
          <w:sz w:val="20"/>
        </w:rPr>
        <w:t>ARTÍCULO 33.- INFORME DEL TRIBUNAL REVISOR</w:t>
      </w:r>
    </w:p>
    <w:p>
      <w:pPr>
        <w:spacing w:before="0" w:after="200" w:line="240" w:lineRule="auto"/>
        <w:jc w:val="both"/>
      </w:pPr>
      <w:r>
        <w:rPr>
          <w:rFonts w:ascii="Century Gothic" w:hAnsi="Century Gothic" w:cs="Century Gothic" w:eastAsia="Century Gothic"/>
          <w:b w:val="0"/>
          <w:i w:val="0"/>
          <w:sz w:val="20"/>
        </w:rPr>
        <w:t>Una vez revisado el contenido del perfil de tesis, los miembros del Tribunal Revisor por separado, emitirán los informes correspondientes.</w:t>
      </w:r>
    </w:p>
    <w:p>
      <w:pPr>
        <w:spacing w:before="0" w:after="200" w:line="240" w:lineRule="auto"/>
        <w:jc w:val="both"/>
      </w:pPr>
      <w:r>
        <w:rPr>
          <w:rFonts w:ascii="Century Gothic" w:hAnsi="Century Gothic" w:cs="Century Gothic" w:eastAsia="Century Gothic"/>
          <w:b w:val="0"/>
          <w:i w:val="0"/>
          <w:sz w:val="20"/>
        </w:rPr>
        <w:t>Si algún miembro del Tribunal Revisor del Perfil de Tesis, emite un informe con observaciones al documento presentado (perfil), el Director de Carrera comunicará esta situación oficialmente al Postulante y Tutor Académico, adjuntando fotocopias, para que en plazo no mayor a veinte (20) días calendario efectúen las correcciones, y remitan el perfil de tesis corregido para ser derivado al Tribunal Revisor y este emita un nuevo informe, en un plazo no mayor a veinte (20) días calendario.</w:t>
      </w:r>
    </w:p>
    <w:p>
      <w:pPr>
        <w:spacing w:before="0" w:after="200" w:line="240" w:lineRule="auto"/>
        <w:jc w:val="both"/>
      </w:pPr>
      <w:r>
        <w:rPr>
          <w:rFonts w:ascii="Century Gothic" w:hAnsi="Century Gothic" w:cs="Century Gothic" w:eastAsia="Century Gothic"/>
          <w:b/>
          <w:i w:val="0"/>
          <w:sz w:val="20"/>
        </w:rPr>
        <w:t>ARTÍCULO 34.- APROBACIÓN DEL PERFIL DE TESIS</w:t>
      </w:r>
    </w:p>
    <w:p>
      <w:pPr>
        <w:spacing w:before="0" w:after="200" w:line="240" w:lineRule="auto"/>
        <w:jc w:val="both"/>
      </w:pPr>
      <w:r>
        <w:rPr>
          <w:rFonts w:ascii="Century Gothic" w:hAnsi="Century Gothic" w:cs="Century Gothic" w:eastAsia="Century Gothic"/>
          <w:b w:val="0"/>
          <w:i w:val="0"/>
          <w:sz w:val="20"/>
        </w:rPr>
        <w:t>Con los informes favorables del Tribunal Revisor, el Director de Carrera, en plazo no mayor a siete (7) días calendario, mediante Resolución de Dirección, aprobará el contenido del perfil de tesis para continuar con el desarrollo de la tesis de grado.</w:t>
      </w:r>
    </w:p>
    <w:p>
      <w:pPr>
        <w:spacing w:before="0" w:after="200" w:line="240" w:lineRule="auto"/>
        <w:jc w:val="both"/>
      </w:pPr>
      <w:r>
        <w:rPr>
          <w:rFonts w:ascii="Century Gothic" w:hAnsi="Century Gothic" w:cs="Century Gothic" w:eastAsia="Century Gothic"/>
          <w:b/>
          <w:i w:val="0"/>
          <w:sz w:val="20"/>
        </w:rPr>
        <w:t>ARTÍCULO 35.- PRESENTACIÓN DE LA TESIS DE GRADO (BORRADOR)</w:t>
      </w:r>
    </w:p>
    <w:p>
      <w:pPr>
        <w:spacing w:before="0" w:after="200" w:line="240" w:lineRule="auto"/>
        <w:jc w:val="both"/>
      </w:pPr>
      <w:r>
        <w:rPr>
          <w:rFonts w:ascii="Century Gothic" w:hAnsi="Century Gothic" w:cs="Century Gothic" w:eastAsia="Century Gothic"/>
          <w:b w:val="0"/>
          <w:i w:val="0"/>
          <w:sz w:val="20"/>
        </w:rPr>
        <w:t>Concluida la preparación de la Tesis de Grado, en plazo no mayor a ciento ochenta (180) días calendario contados a partir de la aprobación del perfil de Tesis, el Postulante con la aceptación formal del Tutor Académico, presentará la tesis de grado en borrador, en tres (3) ejemplares anillados a la Dirección de Carrera, para la designación de Tribunal Examinador.</w:t>
      </w:r>
    </w:p>
    <w:p>
      <w:pPr>
        <w:spacing w:before="0" w:after="200" w:line="240" w:lineRule="auto"/>
        <w:jc w:val="both"/>
      </w:pPr>
      <w:r>
        <w:rPr>
          <w:rFonts w:ascii="Century Gothic" w:hAnsi="Century Gothic" w:cs="Century Gothic" w:eastAsia="Century Gothic"/>
          <w:b/>
          <w:i w:val="0"/>
          <w:sz w:val="20"/>
        </w:rPr>
        <w:t>ARTÍCULO 36.- TRIBUNAL EXAMINADOR</w:t>
      </w:r>
    </w:p>
    <w:p>
      <w:pPr>
        <w:spacing w:before="0" w:after="200" w:line="240" w:lineRule="auto"/>
        <w:jc w:val="both"/>
      </w:pPr>
      <w:r>
        <w:rPr>
          <w:rFonts w:ascii="Century Gothic" w:hAnsi="Century Gothic" w:cs="Century Gothic" w:eastAsia="Century Gothic"/>
          <w:b w:val="0"/>
          <w:i w:val="0"/>
          <w:sz w:val="20"/>
        </w:rPr>
        <w:t>El Director de Carrera, con base a la aprobación del perfil de la tesis de grado designará a los miembros del Tribunal Revisor como Tribunal Examinador, salvo casos excepcionales.</w:t>
      </w:r>
    </w:p>
    <w:p>
      <w:pPr>
        <w:spacing w:before="0" w:after="200" w:line="240" w:lineRule="auto"/>
        <w:jc w:val="both"/>
      </w:pPr>
      <w:r>
        <w:rPr>
          <w:rFonts w:ascii="Century Gothic" w:hAnsi="Century Gothic" w:cs="Century Gothic" w:eastAsia="Century Gothic"/>
          <w:b w:val="0"/>
          <w:i w:val="0"/>
          <w:sz w:val="20"/>
        </w:rPr>
        <w:t>El Tribunal Examinador para sustentación de la tesis de grado, estará conformado por tres (3) Docentes (Titulares y/o Interinos) de la Carrera de Contaduría Pública, cuya presidencia recaerá en el Docente más antiguo.</w:t>
      </w:r>
    </w:p>
    <w:p>
      <w:pPr>
        <w:spacing w:before="0" w:after="200" w:line="240" w:lineRule="auto"/>
        <w:jc w:val="both"/>
      </w:pPr>
      <w:r>
        <w:rPr>
          <w:rFonts w:ascii="Century Gothic" w:hAnsi="Century Gothic" w:cs="Century Gothic" w:eastAsia="Century Gothic"/>
          <w:b/>
          <w:i w:val="0"/>
          <w:sz w:val="20"/>
        </w:rPr>
        <w:t>ARTÍCULO 37.- SOBRE INFORMES DEL TRIBUNAL EXAMINADOR</w:t>
      </w:r>
    </w:p>
    <w:p>
      <w:pPr>
        <w:spacing w:before="0" w:after="200" w:line="240" w:lineRule="auto"/>
        <w:jc w:val="both"/>
      </w:pPr>
      <w:r>
        <w:rPr>
          <w:rFonts w:ascii="Century Gothic" w:hAnsi="Century Gothic" w:cs="Century Gothic" w:eastAsia="Century Gothic"/>
          <w:b w:val="0"/>
          <w:i w:val="0"/>
          <w:sz w:val="20"/>
        </w:rPr>
        <w:t>Los Docentes designados por la Dirección de Carrera para conformar el Tribunal Examinador, tienen la obligación ineludible de hacer conocer el informe en un plazo no mayor a veinte (20) días calendario, a partir de la fecha de recepción de la Tesis de Grado en Borrador. En caso de no recibir este informe dentro del plazo fijado, el Director de Carrera conminará por escrito este hecho al Docente miembro del Tribunal Examinador.</w:t>
      </w:r>
    </w:p>
    <w:p>
      <w:pPr>
        <w:spacing w:before="0" w:after="200" w:line="240" w:lineRule="auto"/>
        <w:jc w:val="both"/>
      </w:pPr>
      <w:r>
        <w:rPr>
          <w:rFonts w:ascii="Century Gothic" w:hAnsi="Century Gothic" w:cs="Century Gothic" w:eastAsia="Century Gothic"/>
          <w:b w:val="0"/>
          <w:i w:val="0"/>
          <w:sz w:val="20"/>
        </w:rPr>
        <w:t>Una vez revisado el contenido de la Tesis de Grado, los miembros del Tribunal Examinador por separado, emitirán informe correspondiente que puede ser:</w:t>
      </w:r>
    </w:p>
    <w:p>
      <w:pPr>
        <w:numPr>
          <w:ilvl w:val="0"/>
          <w:numId w:val="912"/>
        </w:numPr>
        <w:spacing w:before="0" w:after="160" w:line="240" w:lineRule="auto"/>
        <w:jc w:val="both"/>
      </w:pPr>
      <w:r>
        <w:rPr>
          <w:rFonts w:ascii="Century Gothic" w:hAnsi="Century Gothic" w:cs="Century Gothic" w:eastAsia="Century Gothic"/>
          <w:b w:val="0"/>
          <w:i w:val="0"/>
          <w:sz w:val="20"/>
        </w:rPr>
        <w:t>Informe de Suficiencia; o</w:t>
      </w:r>
    </w:p>
    <w:p>
      <w:pPr>
        <w:numPr>
          <w:ilvl w:val="0"/>
          <w:numId w:val="912"/>
        </w:numPr>
        <w:spacing w:before="0" w:after="200" w:line="240" w:lineRule="auto"/>
        <w:jc w:val="both"/>
      </w:pPr>
      <w:r>
        <w:rPr>
          <w:rFonts w:ascii="Century Gothic" w:hAnsi="Century Gothic" w:cs="Century Gothic" w:eastAsia="Century Gothic"/>
          <w:b w:val="0"/>
          <w:i w:val="0"/>
          <w:sz w:val="20"/>
        </w:rPr>
        <w:t>Informe con Observación.</w:t>
      </w:r>
    </w:p>
    <w:p>
      <w:pPr>
        <w:spacing w:before="0" w:after="200" w:line="240" w:lineRule="auto"/>
        <w:jc w:val="both"/>
      </w:pPr>
      <w:r>
        <w:rPr>
          <w:rFonts w:ascii="Century Gothic" w:hAnsi="Century Gothic" w:cs="Century Gothic" w:eastAsia="Century Gothic"/>
          <w:b w:val="0"/>
          <w:i w:val="0"/>
          <w:sz w:val="20"/>
        </w:rPr>
        <w:t>De existir observaciones, al contenido de la Tesis de Grado, el Director de Carrera comunicará oficialmente al Postulante y Tutor Académico sobre el hecho, adjuntando fotocopias, para que en el plazo no mayor a treinta (30) días calendario efectúe las correcciones y remita la Tesis de Grado en borrador corregida para ser derivada al Tribunal Examinador y este emita un nuevo informe. En caso de no haber subsanado las observaciones, el Tribunal emitirá informe de rechazo.</w:t>
      </w:r>
    </w:p>
    <w:p>
      <w:pPr>
        <w:spacing w:before="0" w:after="200" w:line="240" w:lineRule="auto"/>
        <w:jc w:val="both"/>
      </w:pPr>
      <w:r>
        <w:rPr>
          <w:rFonts w:ascii="Century Gothic" w:hAnsi="Century Gothic" w:cs="Century Gothic" w:eastAsia="Century Gothic"/>
          <w:b/>
          <w:i w:val="0"/>
          <w:sz w:val="20"/>
        </w:rPr>
        <w:t>ARTÍCULO 38.- APROBACIÓN DE LA TESIS DE GRADO</w:t>
      </w:r>
    </w:p>
    <w:p>
      <w:pPr>
        <w:spacing w:before="0" w:after="200" w:line="240" w:lineRule="auto"/>
        <w:jc w:val="both"/>
      </w:pPr>
      <w:r>
        <w:rPr>
          <w:rFonts w:ascii="Century Gothic" w:hAnsi="Century Gothic" w:cs="Century Gothic" w:eastAsia="Century Gothic"/>
          <w:b w:val="0"/>
          <w:i w:val="0"/>
          <w:sz w:val="20"/>
        </w:rPr>
        <w:t>Con los informes favorables del Tribunal Examinador, el Director de Carrera mediante Resolución de Dirección, en un plazo no mayor a siete (7) días calendario, aprobará el contenido de la Tesis de Grado para efectuar la impresión final y debidamente empastada en el número de ejemplares citado en el Artículo siguiente del presente Reglamento, restando la fijación del día y la hora para la sustentación.</w:t>
      </w:r>
    </w:p>
    <w:p>
      <w:pPr>
        <w:spacing w:before="0" w:after="200" w:line="240" w:lineRule="auto"/>
        <w:jc w:val="both"/>
      </w:pPr>
      <w:r>
        <w:rPr>
          <w:rFonts w:ascii="Century Gothic" w:hAnsi="Century Gothic" w:cs="Century Gothic" w:eastAsia="Century Gothic"/>
          <w:b/>
          <w:i w:val="0"/>
          <w:sz w:val="20"/>
        </w:rPr>
        <w:t>ARTÍCULO 39.- REQUISITOS PARA SUSTENTACIÓN</w:t>
      </w:r>
    </w:p>
    <w:p>
      <w:pPr>
        <w:spacing w:before="0" w:after="200" w:line="240" w:lineRule="auto"/>
        <w:jc w:val="both"/>
      </w:pPr>
      <w:r>
        <w:rPr>
          <w:rFonts w:ascii="Century Gothic" w:hAnsi="Century Gothic" w:cs="Century Gothic" w:eastAsia="Century Gothic"/>
          <w:b w:val="0"/>
          <w:i w:val="0"/>
          <w:sz w:val="20"/>
        </w:rPr>
        <w:t>Concluido el proceso de presentación y aprobación de la tesis de grado, en el marco de las modalidades mencionadas y cumplidos los requisitos exigidos por la Universidad Mayor de “San Andrés” y por el presente Reglamento, el postulante, con visto bueno del Tutor Académico solicitará mediante carta dirigida al Director de Carrera, se fije día y hora para la sustentación de la tesis de grado, debiendo adjuntar siete (7) ejemplares del trabajo final distribuidos como sigue:</w:t>
      </w:r>
    </w:p>
    <w:p>
      <w:pPr>
        <w:numPr>
          <w:ilvl w:val="0"/>
          <w:numId w:val="913"/>
        </w:numPr>
        <w:spacing w:before="0" w:after="160" w:line="240" w:lineRule="auto"/>
        <w:jc w:val="both"/>
      </w:pPr>
      <w:r>
        <w:rPr>
          <w:rFonts w:ascii="Century Gothic" w:hAnsi="Century Gothic" w:cs="Century Gothic" w:eastAsia="Century Gothic"/>
          <w:b w:val="0"/>
          <w:i w:val="0"/>
          <w:sz w:val="20"/>
        </w:rPr>
        <w:t>Tres ejemplares para los tres Tribunales Examinadores.</w:t>
      </w:r>
    </w:p>
    <w:p>
      <w:pPr>
        <w:numPr>
          <w:ilvl w:val="0"/>
          <w:numId w:val="913"/>
        </w:numPr>
        <w:spacing w:before="0" w:after="160" w:line="240" w:lineRule="auto"/>
        <w:jc w:val="both"/>
      </w:pPr>
      <w:r>
        <w:rPr>
          <w:rFonts w:ascii="Century Gothic" w:hAnsi="Century Gothic" w:cs="Century Gothic" w:eastAsia="Century Gothic"/>
          <w:b w:val="0"/>
          <w:i w:val="0"/>
          <w:sz w:val="20"/>
        </w:rPr>
        <w:t>Un ejemplar para el Postulante.</w:t>
      </w:r>
    </w:p>
    <w:p>
      <w:pPr>
        <w:numPr>
          <w:ilvl w:val="0"/>
          <w:numId w:val="913"/>
        </w:numPr>
        <w:spacing w:before="0" w:after="160" w:line="240" w:lineRule="auto"/>
        <w:jc w:val="both"/>
      </w:pPr>
      <w:r>
        <w:rPr>
          <w:rFonts w:ascii="Century Gothic" w:hAnsi="Century Gothic" w:cs="Century Gothic" w:eastAsia="Century Gothic"/>
          <w:b w:val="0"/>
          <w:i w:val="0"/>
          <w:sz w:val="20"/>
        </w:rPr>
        <w:t>Un ejemplar para el Tutor Académico.</w:t>
      </w:r>
    </w:p>
    <w:p>
      <w:pPr>
        <w:numPr>
          <w:ilvl w:val="0"/>
          <w:numId w:val="913"/>
        </w:numPr>
        <w:spacing w:before="0" w:after="160" w:line="240" w:lineRule="auto"/>
        <w:jc w:val="both"/>
      </w:pPr>
      <w:r>
        <w:rPr>
          <w:rFonts w:ascii="Century Gothic" w:hAnsi="Century Gothic" w:cs="Century Gothic" w:eastAsia="Century Gothic"/>
          <w:b w:val="0"/>
          <w:i w:val="0"/>
          <w:sz w:val="20"/>
        </w:rPr>
        <w:t>Un ejemplar para la Biblioteca Central de la Universidad Mayor de “San Andrés”</w:t>
      </w:r>
    </w:p>
    <w:p>
      <w:pPr>
        <w:numPr>
          <w:ilvl w:val="0"/>
          <w:numId w:val="913"/>
        </w:numPr>
        <w:spacing w:before="0" w:after="200" w:line="240" w:lineRule="auto"/>
        <w:jc w:val="both"/>
      </w:pPr>
      <w:r>
        <w:rPr>
          <w:rFonts w:ascii="Century Gothic" w:hAnsi="Century Gothic" w:cs="Century Gothic" w:eastAsia="Century Gothic"/>
          <w:b w:val="0"/>
          <w:i w:val="0"/>
          <w:sz w:val="20"/>
        </w:rPr>
        <w:t>Un ejemplar para la Biblioteca de la Carrera de Contaduría Pública</w:t>
      </w:r>
    </w:p>
    <w:p>
      <w:pPr>
        <w:spacing w:before="0" w:after="200" w:line="240" w:lineRule="auto"/>
        <w:jc w:val="both"/>
      </w:pPr>
      <w:r>
        <w:rPr>
          <w:rFonts w:ascii="Century Gothic" w:hAnsi="Century Gothic" w:cs="Century Gothic" w:eastAsia="Century Gothic"/>
          <w:b w:val="0"/>
          <w:i w:val="0"/>
          <w:sz w:val="20"/>
        </w:rPr>
        <w:t>El Director de Carrera fijará el día y hora para la sustentación de grado, de acuerdo al Calendario Académico aprobado por la Carrera de Contaduría Pública, comunicando sobre dicho acto, al Tribunal Examinador con un plazo no menor a siete (7) días calendario.</w:t>
      </w:r>
    </w:p>
    <w:p>
      <w:pPr>
        <w:spacing w:before="0" w:after="200" w:line="240" w:lineRule="auto"/>
        <w:jc w:val="both"/>
      </w:pPr>
      <w:r>
        <w:rPr>
          <w:rFonts w:ascii="Century Gothic" w:hAnsi="Century Gothic" w:cs="Century Gothic" w:eastAsia="Century Gothic"/>
          <w:b/>
          <w:i w:val="0"/>
          <w:sz w:val="20"/>
        </w:rPr>
        <w:t>ARTÍCULO 40.- SUSTENTACIÓN</w:t>
      </w:r>
    </w:p>
    <w:p>
      <w:pPr>
        <w:spacing w:before="0" w:after="200" w:line="240" w:lineRule="auto"/>
        <w:jc w:val="both"/>
      </w:pPr>
      <w:r>
        <w:rPr>
          <w:rFonts w:ascii="Century Gothic" w:hAnsi="Century Gothic" w:cs="Century Gothic" w:eastAsia="Century Gothic"/>
          <w:b w:val="0"/>
          <w:i w:val="0"/>
          <w:sz w:val="20"/>
        </w:rPr>
        <w:t>Concluido el proceso de preparación y aprobación de la tesis de grado y una vez presentados los mismos, el Postulante realizará la sustentación formal ante el “Tribunal Examinador” designado.</w:t>
      </w:r>
    </w:p>
    <w:p>
      <w:pPr>
        <w:spacing w:before="0" w:after="200" w:line="240" w:lineRule="auto"/>
        <w:jc w:val="both"/>
      </w:pPr>
      <w:r>
        <w:rPr>
          <w:rFonts w:ascii="Century Gothic" w:hAnsi="Century Gothic" w:cs="Century Gothic" w:eastAsia="Century Gothic"/>
          <w:b/>
          <w:i w:val="0"/>
          <w:sz w:val="20"/>
        </w:rPr>
        <w:t>ARTÍCULO 41.- DESARROLLO SUSTENTACIÓN DE LA TESIS DE GRADO</w:t>
      </w:r>
    </w:p>
    <w:p>
      <w:pPr>
        <w:spacing w:before="0" w:after="200" w:line="240" w:lineRule="auto"/>
        <w:jc w:val="both"/>
      </w:pPr>
      <w:r>
        <w:rPr>
          <w:rFonts w:ascii="Century Gothic" w:hAnsi="Century Gothic" w:cs="Century Gothic" w:eastAsia="Century Gothic"/>
          <w:b w:val="0"/>
          <w:i w:val="0"/>
          <w:sz w:val="20"/>
        </w:rPr>
        <w:t>La sustentación de la tesis de grado se desarrollará en acto público, conforme el siguiente procedimiento:</w:t>
      </w:r>
    </w:p>
    <w:p>
      <w:pPr>
        <w:numPr>
          <w:ilvl w:val="0"/>
          <w:numId w:val="914"/>
        </w:numPr>
        <w:spacing w:before="0" w:after="160" w:line="240" w:lineRule="auto"/>
        <w:jc w:val="both"/>
      </w:pPr>
      <w:r>
        <w:rPr>
          <w:rFonts w:ascii="Century Gothic" w:hAnsi="Century Gothic" w:cs="Century Gothic" w:eastAsia="Century Gothic"/>
          <w:b w:val="0"/>
          <w:i w:val="0"/>
          <w:sz w:val="20"/>
        </w:rPr>
        <w:t>El Postulante se presentará el día y hora señalado, con una hora de anticipación, para la sustentación de la tesis de grado.</w:t>
      </w:r>
    </w:p>
    <w:p>
      <w:pPr>
        <w:numPr>
          <w:ilvl w:val="0"/>
          <w:numId w:val="914"/>
        </w:numPr>
        <w:spacing w:before="0" w:after="160" w:line="240" w:lineRule="auto"/>
        <w:jc w:val="both"/>
      </w:pPr>
      <w:r>
        <w:rPr>
          <w:rFonts w:ascii="Century Gothic" w:hAnsi="Century Gothic" w:cs="Century Gothic" w:eastAsia="Century Gothic"/>
          <w:b w:val="0"/>
          <w:i w:val="0"/>
          <w:sz w:val="20"/>
        </w:rPr>
        <w:t>Se instalará el Tribunal Examinador, con la presencia de tres (3) Docentes designados oportunamente, bajo la presidencia del Docente más antiguo para dar inicio al acto académico.</w:t>
      </w:r>
    </w:p>
    <w:p>
      <w:pPr>
        <w:numPr>
          <w:ilvl w:val="0"/>
          <w:numId w:val="914"/>
        </w:numPr>
        <w:spacing w:before="0" w:after="160" w:line="240" w:lineRule="auto"/>
        <w:jc w:val="both"/>
      </w:pPr>
      <w:r>
        <w:rPr>
          <w:rFonts w:ascii="Century Gothic" w:hAnsi="Century Gothic" w:cs="Century Gothic" w:eastAsia="Century Gothic"/>
          <w:b w:val="0"/>
          <w:i w:val="0"/>
          <w:sz w:val="20"/>
        </w:rPr>
        <w:t>En ausencia de algún miembro del Tribunal Examinador, se instalará con dos (2) Tribunales Examinadores.</w:t>
      </w:r>
    </w:p>
    <w:p>
      <w:pPr>
        <w:numPr>
          <w:ilvl w:val="0"/>
          <w:numId w:val="914"/>
        </w:numPr>
        <w:spacing w:before="0" w:after="160" w:line="240" w:lineRule="auto"/>
        <w:jc w:val="both"/>
      </w:pPr>
      <w:r>
        <w:rPr>
          <w:rFonts w:ascii="Century Gothic" w:hAnsi="Century Gothic" w:cs="Century Gothic" w:eastAsia="Century Gothic"/>
          <w:b w:val="0"/>
          <w:i w:val="0"/>
          <w:sz w:val="20"/>
        </w:rPr>
        <w:t>En ausencia del Presidente del Tribunal, asumirá el Docente más antiguo.</w:t>
      </w:r>
    </w:p>
    <w:p>
      <w:pPr>
        <w:numPr>
          <w:ilvl w:val="0"/>
          <w:numId w:val="914"/>
        </w:numPr>
        <w:spacing w:before="0" w:after="160" w:line="240" w:lineRule="auto"/>
        <w:jc w:val="both"/>
      </w:pPr>
      <w:r>
        <w:rPr>
          <w:rFonts w:ascii="Century Gothic" w:hAnsi="Century Gothic" w:cs="Century Gothic" w:eastAsia="Century Gothic"/>
          <w:b w:val="0"/>
          <w:i w:val="0"/>
          <w:sz w:val="20"/>
        </w:rPr>
        <w:t>El Tribunal Examinador concederá al Postulante el tiempo de veinte (20) a treinta (30) minutos para efectuar exposición oral de su tesis de grado. En la sustentación, podrá hacer uso de apoyos audiovisuales que permitan facilitar su exposición.</w:t>
      </w:r>
    </w:p>
    <w:p>
      <w:pPr>
        <w:numPr>
          <w:ilvl w:val="0"/>
          <w:numId w:val="914"/>
        </w:numPr>
        <w:spacing w:before="0" w:after="160" w:line="240" w:lineRule="auto"/>
        <w:jc w:val="both"/>
      </w:pPr>
      <w:r>
        <w:rPr>
          <w:rFonts w:ascii="Century Gothic" w:hAnsi="Century Gothic" w:cs="Century Gothic" w:eastAsia="Century Gothic"/>
          <w:b w:val="0"/>
          <w:i w:val="0"/>
          <w:sz w:val="20"/>
        </w:rPr>
        <w:t>Concluida la exposición, el Presidente del Tribunal dará inicio a la ronda de preguntas por parte de los miembros del Tribunal Examinador, relacionadas estrictamente al tema objeto de la Tesis de Grado.</w:t>
      </w:r>
    </w:p>
    <w:p>
      <w:pPr>
        <w:numPr>
          <w:ilvl w:val="0"/>
          <w:numId w:val="914"/>
        </w:numPr>
        <w:spacing w:before="0" w:after="160" w:line="240" w:lineRule="auto"/>
        <w:jc w:val="both"/>
      </w:pPr>
      <w:r>
        <w:rPr>
          <w:rFonts w:ascii="Century Gothic" w:hAnsi="Century Gothic" w:cs="Century Gothic" w:eastAsia="Century Gothic"/>
          <w:b w:val="0"/>
          <w:i w:val="0"/>
          <w:sz w:val="20"/>
        </w:rPr>
        <w:t>Concluida la ronda de preguntas, el Presidente del Tribunal declarará cuarto intermedio, y en sesión reservada, los miembros del Tribunal procederán a evaluar el contenido del trabajo, la exposición y las respuestas del Postulante de acuerdo al método de evaluación establecido en el presente reglamento.</w:t>
      </w:r>
    </w:p>
    <w:p>
      <w:pPr>
        <w:numPr>
          <w:ilvl w:val="0"/>
          <w:numId w:val="914"/>
        </w:numPr>
        <w:spacing w:before="0" w:after="160" w:line="240" w:lineRule="auto"/>
        <w:jc w:val="both"/>
      </w:pPr>
      <w:r>
        <w:rPr>
          <w:rFonts w:ascii="Century Gothic" w:hAnsi="Century Gothic" w:cs="Century Gothic" w:eastAsia="Century Gothic"/>
          <w:b w:val="0"/>
          <w:i w:val="0"/>
          <w:sz w:val="20"/>
        </w:rPr>
        <w:t>El Presidente del Tribunal consignará la calificación literal y numeral obtenida por el Postulante, la cual estará refrendada con las firmas de los miembros del Tribunal.</w:t>
      </w:r>
    </w:p>
    <w:p>
      <w:pPr>
        <w:numPr>
          <w:ilvl w:val="0"/>
          <w:numId w:val="914"/>
        </w:numPr>
        <w:spacing w:before="0" w:after="200" w:line="240" w:lineRule="auto"/>
        <w:jc w:val="both"/>
      </w:pPr>
      <w:r>
        <w:rPr>
          <w:rFonts w:ascii="Century Gothic" w:hAnsi="Century Gothic" w:cs="Century Gothic" w:eastAsia="Century Gothic"/>
          <w:b w:val="0"/>
          <w:i w:val="0"/>
          <w:sz w:val="20"/>
        </w:rPr>
        <w:t>El Presidente del Tribunal, reiniciará el acto académico, dando lectura al Acta de Sustentación de Grado y procederá a clausurar entregando un ejemplar del trabajo al Postulante, con la nota correspondiente y firmas del Tribunal.</w:t>
      </w:r>
    </w:p>
    <w:p>
      <w:pPr>
        <w:spacing w:before="0" w:after="200" w:line="240" w:lineRule="auto"/>
        <w:jc w:val="both"/>
      </w:pPr>
      <w:r>
        <w:rPr>
          <w:rFonts w:ascii="Century Gothic" w:hAnsi="Century Gothic" w:cs="Century Gothic" w:eastAsia="Century Gothic"/>
          <w:b/>
          <w:i w:val="0"/>
          <w:sz w:val="20"/>
        </w:rPr>
        <w:t>ARTÍCULO 42.- PROCESO DE EVALUACIÓN</w:t>
      </w:r>
    </w:p>
    <w:p>
      <w:pPr>
        <w:spacing w:before="0" w:after="200" w:line="240" w:lineRule="auto"/>
        <w:jc w:val="both"/>
      </w:pPr>
      <w:r>
        <w:rPr>
          <w:rFonts w:ascii="Century Gothic" w:hAnsi="Century Gothic" w:cs="Century Gothic" w:eastAsia="Century Gothic"/>
          <w:b w:val="0"/>
          <w:i w:val="0"/>
          <w:sz w:val="20"/>
        </w:rPr>
        <w:t>Concluida la sustentación, el Tribunal Examinador sesionará a puerta cerrada y determinará la calificación final, cuantitativa y cualitativa obtenida por el Postulante, evaluando en forma conjunta los siguientes aspectos:</w:t>
      </w:r>
    </w:p>
    <w:p>
      <w:pPr>
        <w:numPr>
          <w:ilvl w:val="0"/>
          <w:numId w:val="915"/>
        </w:numPr>
        <w:spacing w:before="0" w:after="160" w:line="240" w:lineRule="auto"/>
        <w:jc w:val="both"/>
      </w:pPr>
      <w:r>
        <w:rPr>
          <w:rFonts w:ascii="Century Gothic" w:hAnsi="Century Gothic" w:cs="Century Gothic" w:eastAsia="Century Gothic"/>
          <w:b/>
          <w:i w:val="0"/>
          <w:sz w:val="20"/>
        </w:rPr>
        <w:t>Con relación al trabajo:</w:t>
      </w:r>
    </w:p>
    <w:p>
      <w:pPr>
        <w:numPr>
          <w:ilvl w:val="0"/>
          <w:numId w:val="915"/>
        </w:numPr>
        <w:spacing w:before="0" w:after="160" w:line="240" w:lineRule="auto"/>
        <w:jc w:val="both"/>
      </w:pPr>
      <w:r>
        <w:rPr>
          <w:rFonts w:ascii="Century Gothic" w:hAnsi="Century Gothic" w:cs="Century Gothic" w:eastAsia="Century Gothic"/>
          <w:b w:val="0"/>
          <w:i w:val="0"/>
          <w:sz w:val="20"/>
        </w:rPr>
        <w:t>Presentación formal</w:t>
      </w:r>
    </w:p>
    <w:p>
      <w:pPr>
        <w:numPr>
          <w:ilvl w:val="0"/>
          <w:numId w:val="915"/>
        </w:numPr>
        <w:spacing w:before="0" w:after="160" w:line="240" w:lineRule="auto"/>
        <w:jc w:val="both"/>
      </w:pPr>
      <w:r>
        <w:rPr>
          <w:rFonts w:ascii="Century Gothic" w:hAnsi="Century Gothic" w:cs="Century Gothic" w:eastAsia="Century Gothic"/>
          <w:b w:val="0"/>
          <w:i w:val="0"/>
          <w:sz w:val="20"/>
        </w:rPr>
        <w:t>Relevancia y contenido</w:t>
      </w:r>
    </w:p>
    <w:p>
      <w:pPr>
        <w:numPr>
          <w:ilvl w:val="0"/>
          <w:numId w:val="915"/>
        </w:numPr>
        <w:spacing w:before="0" w:after="160" w:line="240" w:lineRule="auto"/>
        <w:jc w:val="both"/>
      </w:pPr>
      <w:r>
        <w:rPr>
          <w:rFonts w:ascii="Century Gothic" w:hAnsi="Century Gothic" w:cs="Century Gothic" w:eastAsia="Century Gothic"/>
          <w:b w:val="0"/>
          <w:i w:val="0"/>
          <w:sz w:val="20"/>
        </w:rPr>
        <w:t>Fuentes de información</w:t>
      </w:r>
    </w:p>
    <w:p>
      <w:pPr>
        <w:numPr>
          <w:ilvl w:val="0"/>
          <w:numId w:val="915"/>
        </w:numPr>
        <w:spacing w:before="0" w:after="160" w:line="240" w:lineRule="auto"/>
        <w:jc w:val="both"/>
      </w:pPr>
      <w:r>
        <w:rPr>
          <w:rFonts w:ascii="Century Gothic" w:hAnsi="Century Gothic" w:cs="Century Gothic" w:eastAsia="Century Gothic"/>
          <w:b w:val="0"/>
          <w:i w:val="0"/>
          <w:sz w:val="20"/>
        </w:rPr>
        <w:t>Composición y redacción</w:t>
      </w:r>
    </w:p>
    <w:p>
      <w:pPr>
        <w:numPr>
          <w:ilvl w:val="0"/>
          <w:numId w:val="915"/>
        </w:numPr>
        <w:spacing w:before="0" w:after="160" w:line="240" w:lineRule="auto"/>
        <w:jc w:val="both"/>
      </w:pPr>
      <w:r>
        <w:rPr>
          <w:rFonts w:ascii="Century Gothic" w:hAnsi="Century Gothic" w:cs="Century Gothic" w:eastAsia="Century Gothic"/>
          <w:b w:val="0"/>
          <w:i w:val="0"/>
          <w:sz w:val="20"/>
        </w:rPr>
        <w:t>Justificación, desarrollo metodológico y presentación de resultados</w:t>
      </w:r>
    </w:p>
    <w:p>
      <w:pPr>
        <w:numPr>
          <w:ilvl w:val="0"/>
          <w:numId w:val="915"/>
        </w:numPr>
        <w:spacing w:before="0" w:after="160" w:line="240" w:lineRule="auto"/>
        <w:jc w:val="both"/>
      </w:pPr>
      <w:r>
        <w:rPr>
          <w:rFonts w:ascii="Century Gothic" w:hAnsi="Century Gothic" w:cs="Century Gothic" w:eastAsia="Century Gothic"/>
          <w:b/>
          <w:i w:val="0"/>
          <w:sz w:val="20"/>
        </w:rPr>
        <w:t>Con relación a la sustentación:</w:t>
      </w:r>
    </w:p>
    <w:p>
      <w:pPr>
        <w:numPr>
          <w:ilvl w:val="0"/>
          <w:numId w:val="915"/>
        </w:numPr>
        <w:spacing w:before="0" w:after="160" w:line="240" w:lineRule="auto"/>
        <w:jc w:val="both"/>
      </w:pPr>
      <w:r>
        <w:rPr>
          <w:rFonts w:ascii="Century Gothic" w:hAnsi="Century Gothic" w:cs="Century Gothic" w:eastAsia="Century Gothic"/>
          <w:b w:val="0"/>
          <w:i w:val="0"/>
          <w:sz w:val="20"/>
        </w:rPr>
        <w:t>Comunicación y empleo del lenguaje</w:t>
      </w:r>
    </w:p>
    <w:p>
      <w:pPr>
        <w:numPr>
          <w:ilvl w:val="0"/>
          <w:numId w:val="915"/>
        </w:numPr>
        <w:spacing w:before="0" w:after="160" w:line="240" w:lineRule="auto"/>
        <w:jc w:val="both"/>
      </w:pPr>
      <w:r>
        <w:rPr>
          <w:rFonts w:ascii="Century Gothic" w:hAnsi="Century Gothic" w:cs="Century Gothic" w:eastAsia="Century Gothic"/>
          <w:b w:val="0"/>
          <w:i w:val="0"/>
          <w:sz w:val="20"/>
        </w:rPr>
        <w:t>Claridad de las ideas expuestas</w:t>
      </w:r>
    </w:p>
    <w:p>
      <w:pPr>
        <w:numPr>
          <w:ilvl w:val="0"/>
          <w:numId w:val="915"/>
        </w:numPr>
        <w:spacing w:before="0" w:after="160" w:line="240" w:lineRule="auto"/>
        <w:jc w:val="both"/>
      </w:pPr>
      <w:r>
        <w:rPr>
          <w:rFonts w:ascii="Century Gothic" w:hAnsi="Century Gothic" w:cs="Century Gothic" w:eastAsia="Century Gothic"/>
          <w:b w:val="0"/>
          <w:i w:val="0"/>
          <w:sz w:val="20"/>
        </w:rPr>
        <w:t>Dominio del tema</w:t>
      </w:r>
    </w:p>
    <w:p>
      <w:pPr>
        <w:numPr>
          <w:ilvl w:val="0"/>
          <w:numId w:val="915"/>
        </w:numPr>
        <w:spacing w:before="0" w:after="160" w:line="240" w:lineRule="auto"/>
        <w:jc w:val="both"/>
      </w:pPr>
      <w:r>
        <w:rPr>
          <w:rFonts w:ascii="Century Gothic" w:hAnsi="Century Gothic" w:cs="Century Gothic" w:eastAsia="Century Gothic"/>
          <w:b w:val="0"/>
          <w:i w:val="0"/>
          <w:sz w:val="20"/>
        </w:rPr>
        <w:t>Utilización de recursos en la exposición</w:t>
      </w:r>
    </w:p>
    <w:p>
      <w:pPr>
        <w:numPr>
          <w:ilvl w:val="0"/>
          <w:numId w:val="915"/>
        </w:numPr>
        <w:spacing w:before="0" w:after="160" w:line="240" w:lineRule="auto"/>
        <w:jc w:val="both"/>
      </w:pPr>
      <w:r>
        <w:rPr>
          <w:rFonts w:ascii="Century Gothic" w:hAnsi="Century Gothic" w:cs="Century Gothic" w:eastAsia="Century Gothic"/>
          <w:b w:val="0"/>
          <w:i w:val="0"/>
          <w:sz w:val="20"/>
        </w:rPr>
        <w:t>Desarrollo de conclusiones</w:t>
      </w:r>
    </w:p>
    <w:p>
      <w:pPr>
        <w:numPr>
          <w:ilvl w:val="0"/>
          <w:numId w:val="915"/>
        </w:numPr>
        <w:spacing w:before="0" w:after="200" w:line="240" w:lineRule="auto"/>
        <w:jc w:val="both"/>
      </w:pPr>
      <w:r>
        <w:rPr>
          <w:rFonts w:ascii="Century Gothic" w:hAnsi="Century Gothic" w:cs="Century Gothic" w:eastAsia="Century Gothic"/>
          <w:b/>
          <w:i w:val="0"/>
          <w:sz w:val="20"/>
        </w:rPr>
        <w:t>Ponderación modalidad de graduación de Tesis de Grado</w:t>
      </w:r>
    </w:p>
    <w:p>
      <w:pPr>
        <w:spacing w:before="0" w:after="200" w:line="240" w:lineRule="auto"/>
        <w:jc w:val="both"/>
      </w:pPr>
      <w:r>
        <w:rPr>
          <w:rFonts w:ascii="Century Gothic" w:hAnsi="Century Gothic" w:cs="Century Gothic" w:eastAsia="Century Gothic"/>
          <w:b w:val="0"/>
          <w:i w:val="0"/>
          <w:sz w:val="20"/>
        </w:rPr>
        <w:t>Presentación y contenido: Cincuenta (50) puntos</w:t>
      </w:r>
    </w:p>
    <w:p>
      <w:pPr>
        <w:spacing w:before="0" w:after="200" w:line="240" w:lineRule="auto"/>
        <w:jc w:val="both"/>
      </w:pPr>
      <w:r>
        <w:rPr>
          <w:rFonts w:ascii="Century Gothic" w:hAnsi="Century Gothic" w:cs="Century Gothic" w:eastAsia="Century Gothic"/>
          <w:b w:val="0"/>
          <w:i w:val="0"/>
          <w:sz w:val="20"/>
        </w:rPr>
        <w:t>Sustentación: Treinta (30) puntos</w:t>
      </w:r>
    </w:p>
    <w:p>
      <w:pPr>
        <w:spacing w:before="0" w:after="200" w:line="240" w:lineRule="auto"/>
        <w:jc w:val="both"/>
      </w:pPr>
      <w:r>
        <w:rPr>
          <w:rFonts w:ascii="Century Gothic" w:hAnsi="Century Gothic" w:cs="Century Gothic" w:eastAsia="Century Gothic"/>
          <w:b w:val="0"/>
          <w:i w:val="0"/>
          <w:sz w:val="20"/>
        </w:rPr>
        <w:t>Respuestas: Veinte (20) puntos.</w:t>
      </w:r>
    </w:p>
    <w:p>
      <w:pPr>
        <w:numPr>
          <w:ilvl w:val="0"/>
          <w:numId w:val="916"/>
        </w:numPr>
        <w:spacing w:before="0" w:after="200" w:line="240" w:lineRule="auto"/>
        <w:jc w:val="both"/>
      </w:pPr>
      <w:r>
        <w:rPr>
          <w:rFonts w:ascii="Century Gothic" w:hAnsi="Century Gothic" w:cs="Century Gothic" w:eastAsia="Century Gothic"/>
          <w:b/>
          <w:i w:val="0"/>
          <w:sz w:val="20"/>
        </w:rPr>
        <w:t>Escala cuantitativa y cualitativa:</w:t>
      </w:r>
    </w:p>
    <w:p>
      <w:pPr>
        <w:spacing w:before="0" w:after="200" w:line="240" w:lineRule="auto"/>
        <w:jc w:val="both"/>
      </w:pPr>
      <w:r>
        <w:rPr>
          <w:rFonts w:ascii="Century Gothic" w:hAnsi="Century Gothic" w:cs="Century Gothic" w:eastAsia="Century Gothic"/>
          <w:b w:val="0"/>
          <w:i w:val="0"/>
          <w:sz w:val="20"/>
        </w:rPr>
        <w:t>La escala de calificaciones, cualitativa y cuantitativa es la siguiente:</w:t>
      </w:r>
    </w:p>
    <w:tbl>
      <w:tblPr>
        <w:tblW w:type="auto" w:w="0"/>
        <w:jc w:val="center"/>
        <w:tblLayout w:type="fixed"/>
        <w:tblLook w:firstColumn="1" w:firstRow="1" w:lastColumn="0" w:lastRow="0" w:noHBand="0" w:noVBand="1" w:val="04A0"/>
      </w:tblPr>
      <w:tblGrid>
        <w:gridCol w:w="6527"/>
        <w:gridCol w:w="2544"/>
      </w:tblGrid>
      <w:tr>
        <w:trPr>
          <w:tblHeader/>
        </w:trPr>
        <w:tc>
          <w:tcPr>
            <w:tcW w:type="dxa" w:w="652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254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Reprobado</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 50</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Buena</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 70</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Sobresaliente – Con recomendación de publicación</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 89</w:t>
            </w:r>
          </w:p>
        </w:tc>
      </w:tr>
      <w:tr>
        <w:tc>
          <w:tcPr>
            <w:tcW w:type="dxa" w:w="65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Excelente – Con mención honorífica, felicitación y recomendación de publicación</w:t>
            </w:r>
          </w:p>
        </w:tc>
        <w:tc>
          <w:tcPr>
            <w:tcW w:type="dxa" w:w="254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 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Dicha escala corresponde a lo establecido en el Artículo 41 del Reglamento General de Tipos de Modalidad de Graduación del XII Congreso Nacional de Universidades del Sistema Boliviano realizado en Oruro.</w:t>
      </w:r>
    </w:p>
    <w:p>
      <w:pPr>
        <w:spacing w:before="0" w:after="200" w:line="240" w:lineRule="auto"/>
        <w:jc w:val="both"/>
      </w:pPr>
      <w:r>
        <w:rPr>
          <w:rFonts w:ascii="Century Gothic" w:hAnsi="Century Gothic" w:cs="Century Gothic" w:eastAsia="Century Gothic"/>
          <w:b w:val="0"/>
          <w:i w:val="0"/>
          <w:sz w:val="20"/>
        </w:rPr>
        <w:t>La calificación final, en forma separada, reflejará el criterio de los miembros del Tribunal Examinador en relación al trabajo, sustentación y respuestas, a través de la media aritmética ponderada de los miembros.</w:t>
      </w:r>
    </w:p>
    <w:p>
      <w:pPr>
        <w:spacing w:before="0" w:after="200" w:line="240" w:lineRule="auto"/>
        <w:jc w:val="both"/>
      </w:pPr>
      <w:r>
        <w:rPr>
          <w:rFonts w:ascii="Century Gothic" w:hAnsi="Century Gothic" w:cs="Century Gothic" w:eastAsia="Century Gothic"/>
          <w:b w:val="0"/>
          <w:i w:val="0"/>
          <w:sz w:val="20"/>
        </w:rPr>
        <w:t>La calificación obtenida por el Postulante se transcribirá en el Acta de Sustentación de Grado en forma numeral y literal y en números enteros.</w:t>
      </w:r>
    </w:p>
    <w:p>
      <w:pPr>
        <w:spacing w:before="0" w:after="200" w:line="240" w:lineRule="auto"/>
        <w:jc w:val="both"/>
      </w:pPr>
      <w:r>
        <w:rPr>
          <w:rFonts w:ascii="Century Gothic" w:hAnsi="Century Gothic" w:cs="Century Gothic" w:eastAsia="Century Gothic"/>
          <w:b/>
          <w:i w:val="0"/>
          <w:sz w:val="20"/>
        </w:rPr>
        <w:t>ARTÍCULO 43.- INASISTENCIA DE MIEMBROS DEL TRIBUNAL</w:t>
      </w:r>
    </w:p>
    <w:p>
      <w:pPr>
        <w:spacing w:before="0" w:after="200" w:line="240" w:lineRule="auto"/>
        <w:jc w:val="both"/>
      </w:pPr>
      <w:r>
        <w:rPr>
          <w:rFonts w:ascii="Century Gothic" w:hAnsi="Century Gothic" w:cs="Century Gothic" w:eastAsia="Century Gothic"/>
          <w:b w:val="0"/>
          <w:i w:val="0"/>
          <w:sz w:val="20"/>
        </w:rPr>
        <w:t>Es obligación de todo Docente Titular e Interino, designado como Tribunal Examinador, cumplir con sus funciones. De no existir quórum necesario (mínimo dos Tribunales), se suspenderá la sustentación hasta siete (7) días calendario impostergablemente.</w:t>
      </w:r>
    </w:p>
    <w:p>
      <w:pPr>
        <w:spacing w:before="0" w:after="200" w:line="240" w:lineRule="auto"/>
        <w:jc w:val="both"/>
      </w:pPr>
      <w:r>
        <w:rPr>
          <w:rFonts w:ascii="Century Gothic" w:hAnsi="Century Gothic" w:cs="Century Gothic" w:eastAsia="Century Gothic"/>
          <w:b w:val="0"/>
          <w:i w:val="0"/>
          <w:sz w:val="20"/>
        </w:rPr>
        <w:t>El o los Docentes Tribunales que no asistan serán objeto de amonestación formal por parte del Director de Carrera, salvo en casos debidamente justificables, de ser reiterativa su ausencia se informará al Honorable Consejo de la Carrera para su consideración y sanción conforme al Reglamento Universitario en vigencia.</w:t>
      </w:r>
    </w:p>
    <w:p>
      <w:pPr>
        <w:spacing w:before="0" w:after="200" w:line="240" w:lineRule="auto"/>
        <w:jc w:val="both"/>
      </w:pPr>
      <w:r>
        <w:rPr>
          <w:rFonts w:ascii="Century Gothic" w:hAnsi="Century Gothic" w:cs="Century Gothic" w:eastAsia="Century Gothic"/>
          <w:b/>
          <w:i w:val="0"/>
          <w:sz w:val="20"/>
        </w:rPr>
        <w:t>ARTÍCULO 44.- INASISTENCIA DE LOS POSTULANTES</w:t>
      </w:r>
    </w:p>
    <w:p>
      <w:pPr>
        <w:spacing w:before="0" w:after="200" w:line="240" w:lineRule="auto"/>
        <w:jc w:val="both"/>
      </w:pPr>
      <w:r>
        <w:rPr>
          <w:rFonts w:ascii="Century Gothic" w:hAnsi="Century Gothic" w:cs="Century Gothic" w:eastAsia="Century Gothic"/>
          <w:b w:val="0"/>
          <w:i w:val="0"/>
          <w:sz w:val="20"/>
        </w:rPr>
        <w:t>Es obligación de todo Postulante presentarse al Acto Académico de Sustentación, con una hora de antelación. De no asistir, se suspenderá la sustentación hasta sesenta (60) días calendario y será objeto de amonestación formal por parte del Director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pPr>
        <w:spacing w:before="0" w:after="200" w:line="240" w:lineRule="auto"/>
        <w:jc w:val="both"/>
      </w:pPr>
      <w:r>
        <w:rPr>
          <w:rFonts w:ascii="Century Gothic" w:hAnsi="Century Gothic" w:cs="Century Gothic" w:eastAsia="Century Gothic"/>
          <w:b/>
          <w:i w:val="0"/>
          <w:sz w:val="20"/>
        </w:rPr>
        <w:t>ARTÍCULO 45.- EXCUSA DE MIEMBROS DEL TRIBUNAL</w:t>
      </w:r>
    </w:p>
    <w:p>
      <w:pPr>
        <w:spacing w:before="0" w:after="200" w:line="240" w:lineRule="auto"/>
        <w:jc w:val="both"/>
      </w:pPr>
      <w:r>
        <w:rPr>
          <w:rFonts w:ascii="Century Gothic" w:hAnsi="Century Gothic" w:cs="Century Gothic" w:eastAsia="Century Gothic"/>
          <w:b w:val="0"/>
          <w:i w:val="0"/>
          <w:sz w:val="20"/>
        </w:rPr>
        <w:t>El Docente Titular e Interino designado en calidad de Tribunal podrá excusarse, por única vez, y por razones de parentesco y/o conflicto de intereses.</w:t>
      </w:r>
    </w:p>
    <w:p>
      <w:pPr>
        <w:spacing w:before="0" w:after="200" w:line="240" w:lineRule="auto"/>
        <w:jc w:val="both"/>
      </w:pPr>
      <w:r>
        <w:rPr>
          <w:rFonts w:ascii="Century Gothic" w:hAnsi="Century Gothic" w:cs="Century Gothic" w:eastAsia="Century Gothic"/>
          <w:b/>
          <w:i w:val="0"/>
          <w:sz w:val="20"/>
        </w:rPr>
        <w:t>CAPITULO IV: MODALIDAD TRABAJO DIRIGIDO</w:t>
      </w:r>
    </w:p>
    <w:p>
      <w:pPr>
        <w:spacing w:before="0" w:after="200" w:line="240" w:lineRule="auto"/>
        <w:jc w:val="both"/>
      </w:pPr>
      <w:r>
        <w:rPr>
          <w:rFonts w:ascii="Century Gothic" w:hAnsi="Century Gothic" w:cs="Century Gothic" w:eastAsia="Century Gothic"/>
          <w:b/>
          <w:i w:val="0"/>
          <w:sz w:val="20"/>
        </w:rPr>
        <w:t>ARTÍCULO 46.- CONCEPTO</w:t>
      </w:r>
    </w:p>
    <w:p>
      <w:pPr>
        <w:spacing w:before="0" w:after="200" w:line="240" w:lineRule="auto"/>
        <w:jc w:val="both"/>
      </w:pPr>
      <w:r>
        <w:rPr>
          <w:rFonts w:ascii="Century Gothic" w:hAnsi="Century Gothic" w:cs="Century Gothic" w:eastAsia="Century Gothic"/>
          <w:b w:val="0"/>
          <w:i w:val="0"/>
          <w:sz w:val="20"/>
        </w:rPr>
        <w:t>Esta modalidad de graduación, fue modificada según Resolución de Honorable Consejo Universitario No 330/2022 de 18 de agosto de 2022, que define el trabajo dirigido como un trabajo práctico pre-profesional desarrollado en instituciones externas e internas (UMSA), que son supervisados, fiscalizados y evaluados por profesionales en calidad de asesores o guías miembros; pueden ser de carácter individual o grupal, este último hasta un máximo de tres postulantes, acorde con los requerimientos del trabajo a realizar.</w:t>
      </w:r>
    </w:p>
    <w:p>
      <w:pPr>
        <w:spacing w:before="0" w:after="200" w:line="240" w:lineRule="auto"/>
        <w:jc w:val="both"/>
      </w:pPr>
      <w:r>
        <w:rPr>
          <w:rFonts w:ascii="Century Gothic" w:hAnsi="Century Gothic" w:cs="Century Gothic" w:eastAsia="Century Gothic"/>
          <w:b w:val="0"/>
          <w:i w:val="0"/>
          <w:sz w:val="20"/>
        </w:rPr>
        <w:t>Existen dos modalidades de trabajo dirigido:</w:t>
      </w:r>
    </w:p>
    <w:p>
      <w:pPr>
        <w:numPr>
          <w:ilvl w:val="0"/>
          <w:numId w:val="917"/>
        </w:numPr>
        <w:spacing w:before="0" w:after="160" w:line="240" w:lineRule="auto"/>
        <w:jc w:val="both"/>
      </w:pPr>
      <w:r>
        <w:rPr>
          <w:rFonts w:ascii="Century Gothic" w:hAnsi="Century Gothic" w:cs="Century Gothic" w:eastAsia="Century Gothic"/>
          <w:b/>
          <w:i w:val="0"/>
          <w:sz w:val="20"/>
        </w:rPr>
        <w:t>El trabajo dirigido externo</w:t>
      </w:r>
      <w:r>
        <w:rPr>
          <w:rFonts w:ascii="Century Gothic" w:hAnsi="Century Gothic" w:cs="Century Gothic" w:eastAsia="Century Gothic"/>
          <w:b w:val="0"/>
          <w:i w:val="0"/>
          <w:sz w:val="20"/>
        </w:rPr>
        <w:t>, se realiza en entidades públicas y privadas, bajo la guía de un Tutor Profesional y un Tutor Docente (Académico), en virtud a Convenios Interinstitucionales, suscritos con carácter obligatorio por el/la Rector(a) de la Universidad Mayor de San Andrés o las/los Decanos/as de las Facultades, a objeto de que se cumplan los propósitos del Trabajo Dirigido.</w:t>
      </w:r>
    </w:p>
    <w:p>
      <w:pPr>
        <w:numPr>
          <w:ilvl w:val="0"/>
          <w:numId w:val="917"/>
        </w:numPr>
        <w:spacing w:before="0" w:after="200" w:line="240" w:lineRule="auto"/>
        <w:jc w:val="both"/>
      </w:pPr>
      <w:r>
        <w:rPr>
          <w:rFonts w:ascii="Century Gothic" w:hAnsi="Century Gothic" w:cs="Century Gothic" w:eastAsia="Century Gothic"/>
          <w:b/>
          <w:i w:val="0"/>
          <w:sz w:val="20"/>
        </w:rPr>
        <w:t>El trabajo dirigido interno</w:t>
      </w:r>
      <w:r>
        <w:rPr>
          <w:rFonts w:ascii="Century Gothic" w:hAnsi="Century Gothic" w:cs="Century Gothic" w:eastAsia="Century Gothic"/>
          <w:b w:val="0"/>
          <w:i w:val="0"/>
          <w:sz w:val="20"/>
        </w:rPr>
        <w:t>, se realiza en las distintas dependencias de la Universidad Mayor de San Andrés, bajo la guía de un Tutor Profesional y un Tutor Docente (Académico), sin necesidad de suscribir Convenios Específicos.</w:t>
      </w:r>
    </w:p>
    <w:p>
      <w:pPr>
        <w:spacing w:before="0" w:after="200" w:line="240" w:lineRule="auto"/>
        <w:jc w:val="both"/>
      </w:pPr>
      <w:r>
        <w:rPr>
          <w:rFonts w:ascii="Century Gothic" w:hAnsi="Century Gothic" w:cs="Century Gothic" w:eastAsia="Century Gothic"/>
          <w:b/>
          <w:i w:val="0"/>
          <w:sz w:val="20"/>
        </w:rPr>
        <w:t>ARTÍCULO 47.- REQUISITOS DEL POSTULANTE</w:t>
      </w:r>
    </w:p>
    <w:p>
      <w:pPr>
        <w:spacing w:before="0" w:after="200" w:line="240" w:lineRule="auto"/>
        <w:jc w:val="both"/>
      </w:pPr>
      <w:r>
        <w:rPr>
          <w:rFonts w:ascii="Century Gothic" w:hAnsi="Century Gothic" w:cs="Century Gothic" w:eastAsia="Century Gothic"/>
          <w:b w:val="0"/>
          <w:i w:val="0"/>
          <w:sz w:val="20"/>
        </w:rPr>
        <w:t>Además de los requisitos establecidos en el Artículo 2 del presente Reglamento, el Postulante debe tener un promedio de aprobación de 60 puntos como mínimo durante su permanencia en la Carrera de Contaduría Pública.</w:t>
      </w:r>
    </w:p>
    <w:p>
      <w:pPr>
        <w:spacing w:before="0" w:after="200" w:line="240" w:lineRule="auto"/>
        <w:jc w:val="both"/>
      </w:pPr>
      <w:r>
        <w:rPr>
          <w:rFonts w:ascii="Century Gothic" w:hAnsi="Century Gothic" w:cs="Century Gothic" w:eastAsia="Century Gothic"/>
          <w:b w:val="0"/>
          <w:i w:val="0"/>
          <w:sz w:val="20"/>
        </w:rPr>
        <w:t>Así mismo, el Postulante no debe tener ningún conflicto de intereses: laboral, familiar, financiero u de otro tipo, en la entidad en la que desarrollará el Trabajo Dirigido, debiendo presentar una Declaración Jurada al respecto, conjuntamente un Plan de Trabajo para la aprobación del Trabajo Dirigido.</w:t>
      </w:r>
    </w:p>
    <w:p>
      <w:pPr>
        <w:spacing w:before="0" w:after="200" w:line="240" w:lineRule="auto"/>
        <w:jc w:val="both"/>
      </w:pPr>
      <w:r>
        <w:rPr>
          <w:rFonts w:ascii="Century Gothic" w:hAnsi="Century Gothic" w:cs="Century Gothic" w:eastAsia="Century Gothic"/>
          <w:b/>
          <w:i w:val="0"/>
          <w:sz w:val="20"/>
        </w:rPr>
        <w:t>ARTÍCULO 48.- DESIGNACIÓN DEL TRABAJO DIRIGIDO</w:t>
      </w:r>
    </w:p>
    <w:p>
      <w:pPr>
        <w:spacing w:before="0" w:after="200" w:line="240" w:lineRule="auto"/>
        <w:jc w:val="both"/>
      </w:pPr>
      <w:r>
        <w:rPr>
          <w:rFonts w:ascii="Century Gothic" w:hAnsi="Century Gothic" w:cs="Century Gothic" w:eastAsia="Century Gothic"/>
          <w:b w:val="0"/>
          <w:i w:val="0"/>
          <w:sz w:val="20"/>
        </w:rPr>
        <w:t>En base a los convenios interinstitucionales suscritos o los requerimientos presentados por la Universidad Mayor de San Andrés, el Director de Carrera debe:</w:t>
      </w:r>
    </w:p>
    <w:p>
      <w:pPr>
        <w:numPr>
          <w:ilvl w:val="0"/>
          <w:numId w:val="918"/>
        </w:numPr>
        <w:spacing w:before="0" w:after="160" w:line="240" w:lineRule="auto"/>
        <w:jc w:val="both"/>
      </w:pPr>
      <w:r>
        <w:rPr>
          <w:rFonts w:ascii="Century Gothic" w:hAnsi="Century Gothic" w:cs="Century Gothic" w:eastAsia="Century Gothic"/>
          <w:b w:val="0"/>
          <w:i w:val="0"/>
          <w:sz w:val="20"/>
        </w:rPr>
        <w:t>Publicar la convocatoria de presentación de solicitudes de Trabajo Dirigido, en base al cronograma aprobado por la Carrera de Contaduría pública para el efecto; y</w:t>
      </w:r>
    </w:p>
    <w:p>
      <w:pPr>
        <w:numPr>
          <w:ilvl w:val="0"/>
          <w:numId w:val="918"/>
        </w:numPr>
        <w:spacing w:before="0" w:after="200" w:line="240" w:lineRule="auto"/>
        <w:jc w:val="both"/>
      </w:pPr>
      <w:r>
        <w:rPr>
          <w:rFonts w:ascii="Century Gothic" w:hAnsi="Century Gothic" w:cs="Century Gothic" w:eastAsia="Century Gothic"/>
          <w:b w:val="0"/>
          <w:i w:val="0"/>
          <w:sz w:val="20"/>
        </w:rPr>
        <w:t>En base a las solicitudes recibidas y previa verificación del cumplimiento de los requisitos, designará la institución donde el postulante desarrollará el Trabajo Dirigido y al Tutor Docente (Académico), una vez aprobado el Plan de Trabajo del Postulante.</w:t>
      </w:r>
    </w:p>
    <w:p>
      <w:pPr>
        <w:spacing w:before="0" w:after="200" w:line="240" w:lineRule="auto"/>
        <w:jc w:val="both"/>
      </w:pPr>
      <w:r>
        <w:rPr>
          <w:rFonts w:ascii="Century Gothic" w:hAnsi="Century Gothic" w:cs="Century Gothic" w:eastAsia="Century Gothic"/>
          <w:b w:val="0"/>
          <w:i w:val="0"/>
          <w:sz w:val="20"/>
        </w:rPr>
        <w:t>Para la designación de la institución, El Director efectuará el sorteo aleatorio de las instituciones, con la participación de los Postulantes y la Comisión designada para el efecto, quienes además velarán por la transparencia de dicha actividad.</w:t>
      </w:r>
    </w:p>
    <w:p>
      <w:pPr>
        <w:spacing w:before="0" w:after="200" w:line="240" w:lineRule="auto"/>
        <w:jc w:val="both"/>
      </w:pPr>
      <w:r>
        <w:rPr>
          <w:rFonts w:ascii="Century Gothic" w:hAnsi="Century Gothic" w:cs="Century Gothic" w:eastAsia="Century Gothic"/>
          <w:b/>
          <w:i w:val="0"/>
          <w:sz w:val="20"/>
        </w:rPr>
        <w:t>ARTÍCULO 49.- TUTOR DOCENTE (ACADÉMICO)</w:t>
      </w:r>
    </w:p>
    <w:p>
      <w:pPr>
        <w:spacing w:before="0" w:after="200" w:line="240" w:lineRule="auto"/>
        <w:jc w:val="both"/>
      </w:pPr>
      <w:r>
        <w:rPr>
          <w:rFonts w:ascii="Century Gothic" w:hAnsi="Century Gothic" w:cs="Century Gothic" w:eastAsia="Century Gothic"/>
          <w:b w:val="0"/>
          <w:i w:val="0"/>
          <w:sz w:val="20"/>
        </w:rPr>
        <w:t>Para ser Tutor Docente (Académico) de Trabajo Dirigido, se requiere ser Docente (Titular y/o Interino) de la Carrera de Contaduría Pública y poseer grado académico mínimo de Licenciatura o Superior, otorgado por el Sistema de la Universidad Pública Boliviana.</w:t>
      </w:r>
    </w:p>
    <w:p>
      <w:pPr>
        <w:spacing w:before="0" w:after="200" w:line="240" w:lineRule="auto"/>
        <w:jc w:val="both"/>
      </w:pPr>
      <w:r>
        <w:rPr>
          <w:rFonts w:ascii="Century Gothic" w:hAnsi="Century Gothic" w:cs="Century Gothic" w:eastAsia="Century Gothic"/>
          <w:b w:val="0"/>
          <w:i w:val="0"/>
          <w:sz w:val="20"/>
        </w:rPr>
        <w:t>Las tutorías a cargo de Docentes Interinos deberán sujetarse al calendario académico aprobado por el Honorable Consejo Universitario.</w:t>
      </w:r>
    </w:p>
    <w:p>
      <w:pPr>
        <w:spacing w:before="0" w:after="200" w:line="240" w:lineRule="auto"/>
        <w:jc w:val="both"/>
      </w:pPr>
      <w:r>
        <w:rPr>
          <w:rFonts w:ascii="Century Gothic" w:hAnsi="Century Gothic" w:cs="Century Gothic" w:eastAsia="Century Gothic"/>
          <w:b w:val="0"/>
          <w:i w:val="0"/>
          <w:sz w:val="20"/>
        </w:rPr>
        <w:t>Las obligaciones del Tutor Docente (Académico), consisten en:</w:t>
      </w:r>
    </w:p>
    <w:p>
      <w:pPr>
        <w:numPr>
          <w:ilvl w:val="0"/>
          <w:numId w:val="919"/>
        </w:numPr>
        <w:spacing w:before="0" w:after="160" w:line="240" w:lineRule="auto"/>
        <w:jc w:val="both"/>
      </w:pPr>
      <w:r>
        <w:rPr>
          <w:rFonts w:ascii="Century Gothic" w:hAnsi="Century Gothic" w:cs="Century Gothic" w:eastAsia="Century Gothic"/>
          <w:b w:val="0"/>
          <w:i w:val="0"/>
          <w:sz w:val="20"/>
        </w:rPr>
        <w:t>Orientar al Postulante en los aspectos teóricos, técnicos y prácticos relacionados con el Trabajo Dirigido;</w:t>
      </w:r>
    </w:p>
    <w:p>
      <w:pPr>
        <w:numPr>
          <w:ilvl w:val="0"/>
          <w:numId w:val="919"/>
        </w:numPr>
        <w:spacing w:before="0" w:after="160" w:line="240" w:lineRule="auto"/>
        <w:jc w:val="both"/>
      </w:pPr>
      <w:r>
        <w:rPr>
          <w:rFonts w:ascii="Century Gothic" w:hAnsi="Century Gothic" w:cs="Century Gothic" w:eastAsia="Century Gothic"/>
          <w:b w:val="0"/>
          <w:i w:val="0"/>
          <w:sz w:val="20"/>
        </w:rPr>
        <w:t>Efectuar un seguimiento periódico para validar el avance del Trabajo Dirigido desarrollado por el Postulante, y realizar la supervisión continua, durante el desarrollo del Trabajo Dirigido, mantenimiento contacto con el Tutor Profesional y el Postulante; y</w:t>
      </w:r>
    </w:p>
    <w:p>
      <w:pPr>
        <w:numPr>
          <w:ilvl w:val="0"/>
          <w:numId w:val="919"/>
        </w:numPr>
        <w:spacing w:before="0" w:after="200" w:line="240" w:lineRule="auto"/>
        <w:jc w:val="both"/>
      </w:pPr>
      <w:r>
        <w:rPr>
          <w:rFonts w:ascii="Century Gothic" w:hAnsi="Century Gothic" w:cs="Century Gothic" w:eastAsia="Century Gothic"/>
          <w:b w:val="0"/>
          <w:i w:val="0"/>
          <w:sz w:val="20"/>
        </w:rPr>
        <w:t>Preparar los informes trimestrales y final, en un plazo no mayor a diez (10) días hábiles de haber recibido el informe preparado por el Postulante, validando los aspectos contenidos en los informes preparados por el Tutor Profesional. En el informe final, debe además incorporar la evaluación cuantitativa del Trabajo Dirigido.</w:t>
      </w:r>
    </w:p>
    <w:p>
      <w:pPr>
        <w:spacing w:before="0" w:after="200" w:line="240" w:lineRule="auto"/>
        <w:jc w:val="both"/>
      </w:pPr>
      <w:r>
        <w:rPr>
          <w:rFonts w:ascii="Century Gothic" w:hAnsi="Century Gothic" w:cs="Century Gothic" w:eastAsia="Century Gothic"/>
          <w:b/>
          <w:i w:val="0"/>
          <w:sz w:val="20"/>
        </w:rPr>
        <w:t>ARTÍCULO 50.- DESIGNACIÓN TUTOR DOCENTE (ACADÉMICO)</w:t>
      </w:r>
    </w:p>
    <w:p>
      <w:pPr>
        <w:spacing w:before="0" w:after="200" w:line="240" w:lineRule="auto"/>
        <w:jc w:val="both"/>
      </w:pPr>
      <w:r>
        <w:rPr>
          <w:rFonts w:ascii="Century Gothic" w:hAnsi="Century Gothic" w:cs="Century Gothic" w:eastAsia="Century Gothic"/>
          <w:b w:val="0"/>
          <w:i w:val="0"/>
          <w:sz w:val="20"/>
        </w:rPr>
        <w:t>Para el Trabajo Dirigido, el Tutor Docente (Académico) será nombrado por el Director de Carrera, después de haber realizado la designación de la entidad donde el Postulante desarrollará su Trabajo Dirigido, considerando además la naturaleza de las actividades a ser desarrolladas.</w:t>
      </w:r>
    </w:p>
    <w:p>
      <w:pPr>
        <w:spacing w:before="0" w:after="200" w:line="240" w:lineRule="auto"/>
        <w:jc w:val="both"/>
      </w:pPr>
      <w:r>
        <w:rPr>
          <w:rFonts w:ascii="Century Gothic" w:hAnsi="Century Gothic" w:cs="Century Gothic" w:eastAsia="Century Gothic"/>
          <w:b/>
          <w:i w:val="0"/>
          <w:sz w:val="20"/>
        </w:rPr>
        <w:t>ARTÍCULO 51.- DESIGNACIÓN TUTOR PROFESIONAL</w:t>
      </w:r>
    </w:p>
    <w:p>
      <w:pPr>
        <w:spacing w:before="0" w:after="200" w:line="240" w:lineRule="auto"/>
        <w:jc w:val="both"/>
      </w:pPr>
      <w:r>
        <w:rPr>
          <w:rFonts w:ascii="Century Gothic" w:hAnsi="Century Gothic" w:cs="Century Gothic" w:eastAsia="Century Gothic"/>
          <w:b w:val="0"/>
          <w:i w:val="0"/>
          <w:sz w:val="20"/>
        </w:rPr>
        <w:t>Es un profesional en Contaduría Pública, designado por la entidad pública o privada de Convenio o perteneciente a alguna dependencia de la Universidad Mayor de San Andrés, debe acreditar grado académico universitario igual o superior al que aspira el postulante y los conocimientos necesarios para realizar una tutela efectiva, siendo sus obligaciones:</w:t>
      </w:r>
    </w:p>
    <w:p>
      <w:pPr>
        <w:numPr>
          <w:ilvl w:val="0"/>
          <w:numId w:val="920"/>
        </w:numPr>
        <w:spacing w:before="0" w:after="160" w:line="240" w:lineRule="auto"/>
        <w:jc w:val="both"/>
      </w:pPr>
      <w:r>
        <w:rPr>
          <w:rFonts w:ascii="Century Gothic" w:hAnsi="Century Gothic" w:cs="Century Gothic" w:eastAsia="Century Gothic"/>
          <w:b w:val="0"/>
          <w:i w:val="0"/>
          <w:sz w:val="20"/>
        </w:rPr>
        <w:t>Guiar y evaluar el cumplimiento del Trabajo Dirigido, de acuerdo con el Plan de Trabajo aprobado;</w:t>
      </w:r>
    </w:p>
    <w:p>
      <w:pPr>
        <w:numPr>
          <w:ilvl w:val="0"/>
          <w:numId w:val="920"/>
        </w:numPr>
        <w:spacing w:before="0" w:after="160" w:line="240" w:lineRule="auto"/>
        <w:jc w:val="both"/>
      </w:pPr>
      <w:r>
        <w:rPr>
          <w:rFonts w:ascii="Century Gothic" w:hAnsi="Century Gothic" w:cs="Century Gothic" w:eastAsia="Century Gothic"/>
          <w:b w:val="0"/>
          <w:i w:val="0"/>
          <w:sz w:val="20"/>
        </w:rPr>
        <w:t>Garantizar el espacio físico apropiado y facilitar los medios necesarios para el desarrollo del Trabajo Dirigido;</w:t>
      </w:r>
    </w:p>
    <w:p>
      <w:pPr>
        <w:numPr>
          <w:ilvl w:val="0"/>
          <w:numId w:val="920"/>
        </w:numPr>
        <w:spacing w:before="0" w:after="160" w:line="240" w:lineRule="auto"/>
        <w:jc w:val="both"/>
      </w:pPr>
      <w:r>
        <w:rPr>
          <w:rFonts w:ascii="Century Gothic" w:hAnsi="Century Gothic" w:cs="Century Gothic" w:eastAsia="Century Gothic"/>
          <w:b w:val="0"/>
          <w:i w:val="0"/>
          <w:sz w:val="20"/>
        </w:rPr>
        <w:t>Organizar las actividades a desarrollar por el postulante y establecer los horarios de trabajo en su entidad, garantizado el cumplimiento de por lo menos 1.280 horas de trabajo efectivo;</w:t>
      </w:r>
    </w:p>
    <w:p>
      <w:pPr>
        <w:numPr>
          <w:ilvl w:val="0"/>
          <w:numId w:val="920"/>
        </w:numPr>
        <w:spacing w:before="0" w:after="160" w:line="240" w:lineRule="auto"/>
        <w:jc w:val="both"/>
      </w:pPr>
      <w:r>
        <w:rPr>
          <w:rFonts w:ascii="Century Gothic" w:hAnsi="Century Gothic" w:cs="Century Gothic" w:eastAsia="Century Gothic"/>
          <w:b w:val="0"/>
          <w:i w:val="0"/>
          <w:sz w:val="20"/>
        </w:rPr>
        <w:t>Supervisar las actividades pre-profesionales del postulante, garantizado que reciba la formación práctica pertinente; y</w:t>
      </w:r>
    </w:p>
    <w:p>
      <w:pPr>
        <w:numPr>
          <w:ilvl w:val="0"/>
          <w:numId w:val="920"/>
        </w:numPr>
        <w:spacing w:before="0" w:after="200" w:line="240" w:lineRule="auto"/>
        <w:jc w:val="both"/>
      </w:pPr>
      <w:r>
        <w:rPr>
          <w:rFonts w:ascii="Century Gothic" w:hAnsi="Century Gothic" w:cs="Century Gothic" w:eastAsia="Century Gothic"/>
          <w:b w:val="0"/>
          <w:i w:val="0"/>
          <w:sz w:val="20"/>
        </w:rPr>
        <w:t>Preparar los informes trimestrales y final, en un plazo no mayor a diez (10) días hábiles de terminado el periodo, evaluando el desarrollo del Trabajo Dirigido realizado; el mismo que debe contener como mínimo: el tiempo de trabajo, las tareas desarrolladas durante el periodo, la calidad del desempeño y competencias alcanzadas de acuerdo con el Plan de Trabajo. En el informe final, debe además incorporar la evaluación cualitativa del Trabajo Dirigido.</w:t>
      </w:r>
    </w:p>
    <w:p>
      <w:pPr>
        <w:spacing w:before="0" w:after="200" w:line="240" w:lineRule="auto"/>
        <w:jc w:val="both"/>
      </w:pPr>
      <w:r>
        <w:rPr>
          <w:rFonts w:ascii="Century Gothic" w:hAnsi="Century Gothic" w:cs="Century Gothic" w:eastAsia="Century Gothic"/>
          <w:b/>
          <w:i w:val="0"/>
          <w:sz w:val="20"/>
        </w:rPr>
        <w:t>ARTÍCULO 52.- ALCANCE DEL TRABAJO DIRIGIDO</w:t>
      </w:r>
    </w:p>
    <w:p>
      <w:pPr>
        <w:spacing w:before="0" w:after="200" w:line="240" w:lineRule="auto"/>
        <w:jc w:val="both"/>
      </w:pPr>
      <w:r>
        <w:rPr>
          <w:rFonts w:ascii="Century Gothic" w:hAnsi="Century Gothic" w:cs="Century Gothic" w:eastAsia="Century Gothic"/>
          <w:b w:val="0"/>
          <w:i w:val="0"/>
          <w:sz w:val="20"/>
        </w:rPr>
        <w:t>Están bajo el alcance del Trabajo Dirigido, actividades consignadas en las siguientes áreas:</w:t>
      </w:r>
    </w:p>
    <w:p>
      <w:pPr>
        <w:numPr>
          <w:ilvl w:val="0"/>
          <w:numId w:val="921"/>
        </w:numPr>
        <w:spacing w:before="0" w:after="160" w:line="240" w:lineRule="auto"/>
        <w:jc w:val="both"/>
      </w:pPr>
      <w:r>
        <w:rPr>
          <w:rFonts w:ascii="Century Gothic" w:hAnsi="Century Gothic" w:cs="Century Gothic" w:eastAsia="Century Gothic"/>
          <w:b w:val="0"/>
          <w:i w:val="0"/>
          <w:sz w:val="20"/>
        </w:rPr>
        <w:t>De Aseguramiento (incluida la Auditoria y la Revisión), y Servicios Relacionados</w:t>
      </w:r>
    </w:p>
    <w:p>
      <w:pPr>
        <w:numPr>
          <w:ilvl w:val="0"/>
          <w:numId w:val="921"/>
        </w:numPr>
        <w:spacing w:before="0" w:after="160" w:line="240" w:lineRule="auto"/>
        <w:jc w:val="both"/>
      </w:pPr>
      <w:r>
        <w:rPr>
          <w:rFonts w:ascii="Century Gothic" w:hAnsi="Century Gothic" w:cs="Century Gothic" w:eastAsia="Century Gothic"/>
          <w:b w:val="0"/>
          <w:i w:val="0"/>
          <w:sz w:val="20"/>
        </w:rPr>
        <w:t>De Información Financiera y no Financiera</w:t>
      </w:r>
    </w:p>
    <w:p>
      <w:pPr>
        <w:numPr>
          <w:ilvl w:val="0"/>
          <w:numId w:val="921"/>
        </w:numPr>
        <w:spacing w:before="0" w:after="160" w:line="240" w:lineRule="auto"/>
        <w:jc w:val="both"/>
      </w:pPr>
      <w:r>
        <w:rPr>
          <w:rFonts w:ascii="Century Gothic" w:hAnsi="Century Gothic" w:cs="Century Gothic" w:eastAsia="Century Gothic"/>
          <w:b w:val="0"/>
          <w:i w:val="0"/>
          <w:sz w:val="20"/>
        </w:rPr>
        <w:t>Control Interno, Gestión de Riesgo y Gobernanza</w:t>
      </w:r>
    </w:p>
    <w:p>
      <w:pPr>
        <w:numPr>
          <w:ilvl w:val="0"/>
          <w:numId w:val="921"/>
        </w:numPr>
        <w:spacing w:before="0" w:after="160" w:line="240" w:lineRule="auto"/>
        <w:jc w:val="both"/>
      </w:pPr>
      <w:r>
        <w:rPr>
          <w:rFonts w:ascii="Century Gothic" w:hAnsi="Century Gothic" w:cs="Century Gothic" w:eastAsia="Century Gothic"/>
          <w:b w:val="0"/>
          <w:i w:val="0"/>
          <w:sz w:val="20"/>
        </w:rPr>
        <w:t>Área Económica y Financiera</w:t>
      </w:r>
    </w:p>
    <w:p>
      <w:pPr>
        <w:numPr>
          <w:ilvl w:val="0"/>
          <w:numId w:val="921"/>
        </w:numPr>
        <w:spacing w:before="0" w:after="160" w:line="240" w:lineRule="auto"/>
        <w:jc w:val="both"/>
      </w:pPr>
      <w:r>
        <w:rPr>
          <w:rFonts w:ascii="Century Gothic" w:hAnsi="Century Gothic" w:cs="Century Gothic" w:eastAsia="Century Gothic"/>
          <w:b w:val="0"/>
          <w:i w:val="0"/>
          <w:sz w:val="20"/>
        </w:rPr>
        <w:t>Área Fiscal y Tributaria</w:t>
      </w:r>
    </w:p>
    <w:p>
      <w:pPr>
        <w:numPr>
          <w:ilvl w:val="0"/>
          <w:numId w:val="921"/>
        </w:numPr>
        <w:spacing w:before="0" w:after="200" w:line="240" w:lineRule="auto"/>
        <w:jc w:val="both"/>
      </w:pPr>
      <w:r>
        <w:rPr>
          <w:rFonts w:ascii="Century Gothic" w:hAnsi="Century Gothic" w:cs="Century Gothic" w:eastAsia="Century Gothic"/>
          <w:b w:val="0"/>
          <w:i w:val="0"/>
          <w:sz w:val="20"/>
        </w:rPr>
        <w:t>Área Empresarial y Gerencial</w:t>
      </w:r>
    </w:p>
    <w:p>
      <w:pPr>
        <w:spacing w:before="0" w:after="200" w:line="240" w:lineRule="auto"/>
        <w:jc w:val="both"/>
      </w:pPr>
      <w:r>
        <w:rPr>
          <w:rFonts w:ascii="Century Gothic" w:hAnsi="Century Gothic" w:cs="Century Gothic" w:eastAsia="Century Gothic"/>
          <w:b/>
          <w:i w:val="0"/>
          <w:sz w:val="20"/>
        </w:rPr>
        <w:t>ARTÍCULO 53.- DURACIÓN DEL TRABAJO DIRIGIDO</w:t>
      </w:r>
    </w:p>
    <w:p>
      <w:pPr>
        <w:spacing w:before="0" w:after="200" w:line="240" w:lineRule="auto"/>
        <w:jc w:val="both"/>
      </w:pPr>
      <w:r>
        <w:rPr>
          <w:rFonts w:ascii="Century Gothic" w:hAnsi="Century Gothic" w:cs="Century Gothic" w:eastAsia="Century Gothic"/>
          <w:b w:val="0"/>
          <w:i w:val="0"/>
          <w:sz w:val="20"/>
        </w:rPr>
        <w:t>El trabajo dirigido tendrá una duración de ocho (8) meses, periodo durante el cual el Postulante desarrollará las actividades establecidas con carácter exclusivo, debiendo concluir su trabajo dirigido en el tiempo mencionado.</w:t>
      </w:r>
    </w:p>
    <w:p>
      <w:pPr>
        <w:spacing w:before="0" w:after="200" w:line="240" w:lineRule="auto"/>
        <w:jc w:val="both"/>
      </w:pPr>
      <w:r>
        <w:rPr>
          <w:rFonts w:ascii="Century Gothic" w:hAnsi="Century Gothic" w:cs="Century Gothic" w:eastAsia="Century Gothic"/>
          <w:b/>
          <w:i w:val="0"/>
          <w:sz w:val="20"/>
        </w:rPr>
        <w:t>ARTÍCULO 54.- COORDINACIÓN Y SEGUIMIENTO DEL TRABAJO DIRIGIDO</w:t>
      </w:r>
    </w:p>
    <w:p>
      <w:pPr>
        <w:spacing w:before="0" w:after="200" w:line="240" w:lineRule="auto"/>
        <w:jc w:val="both"/>
      </w:pPr>
      <w:r>
        <w:rPr>
          <w:rFonts w:ascii="Century Gothic" w:hAnsi="Century Gothic" w:cs="Century Gothic" w:eastAsia="Century Gothic"/>
          <w:b w:val="0"/>
          <w:i w:val="0"/>
          <w:sz w:val="20"/>
        </w:rPr>
        <w:t>El Tutor Docente (Académico) deberá efectuar el seguimiento del trabajo dirigido desarrollado por el o los Postulantes, en coordinación con el Tutor Profesional, debiendo emitir cada uno de ellos sus informes por separado, en virtud de lo establecido en el presente Reglamento.</w:t>
      </w:r>
    </w:p>
    <w:p>
      <w:pPr>
        <w:spacing w:before="0" w:after="200" w:line="240" w:lineRule="auto"/>
        <w:jc w:val="both"/>
      </w:pPr>
      <w:r>
        <w:rPr>
          <w:rFonts w:ascii="Century Gothic" w:hAnsi="Century Gothic" w:cs="Century Gothic" w:eastAsia="Century Gothic"/>
          <w:b/>
          <w:i w:val="0"/>
          <w:sz w:val="20"/>
        </w:rPr>
        <w:t>ARTÍCULO 55.- DESARROLLO DEL TRABAJO DIRIGIDO</w:t>
      </w:r>
    </w:p>
    <w:p>
      <w:pPr>
        <w:spacing w:before="0" w:after="200" w:line="240" w:lineRule="auto"/>
        <w:jc w:val="both"/>
      </w:pPr>
      <w:r>
        <w:rPr>
          <w:rFonts w:ascii="Century Gothic" w:hAnsi="Century Gothic" w:cs="Century Gothic" w:eastAsia="Century Gothic"/>
          <w:b w:val="0"/>
          <w:i w:val="0"/>
          <w:sz w:val="20"/>
        </w:rPr>
        <w:t>Durante el periodo establecido para el desarrollo del trabajo dirigido, el postulante debe presentar a la Dirección de Carrera los siguientes documentos:</w:t>
      </w:r>
    </w:p>
    <w:p>
      <w:pPr>
        <w:numPr>
          <w:ilvl w:val="0"/>
          <w:numId w:val="922"/>
        </w:numPr>
        <w:spacing w:before="0" w:after="160" w:line="240" w:lineRule="auto"/>
        <w:jc w:val="both"/>
      </w:pPr>
      <w:r>
        <w:rPr>
          <w:rFonts w:ascii="Century Gothic" w:hAnsi="Century Gothic" w:cs="Century Gothic" w:eastAsia="Century Gothic"/>
          <w:b w:val="0"/>
          <w:i w:val="0"/>
          <w:sz w:val="20"/>
        </w:rPr>
        <w:t>Plan de trabajo debidamente aprobado por las instancias correspondientes.</w:t>
      </w:r>
    </w:p>
    <w:p>
      <w:pPr>
        <w:numPr>
          <w:ilvl w:val="0"/>
          <w:numId w:val="922"/>
        </w:numPr>
        <w:spacing w:before="0" w:after="200" w:line="240" w:lineRule="auto"/>
        <w:jc w:val="both"/>
      </w:pPr>
      <w:r>
        <w:rPr>
          <w:rFonts w:ascii="Century Gothic" w:hAnsi="Century Gothic" w:cs="Century Gothic" w:eastAsia="Century Gothic"/>
          <w:b w:val="0"/>
          <w:i w:val="0"/>
          <w:sz w:val="20"/>
        </w:rPr>
        <w:t>Primer Informe de Trabajo Dirigido: A los tres meses de iniciado el proceso, el cual además debe incluir el informe preparado por el Tutor Profesional mencionando el cumplimiento o incumplimiento al Plan de Trabajo establecido.</w:t>
      </w:r>
    </w:p>
    <w:p>
      <w:pPr>
        <w:spacing w:before="0" w:after="200" w:line="240" w:lineRule="auto"/>
        <w:jc w:val="both"/>
      </w:pPr>
      <w:r>
        <w:rPr>
          <w:rFonts w:ascii="Century Gothic" w:hAnsi="Century Gothic" w:cs="Century Gothic" w:eastAsia="Century Gothic"/>
          <w:b w:val="0"/>
          <w:i w:val="0"/>
          <w:sz w:val="20"/>
        </w:rPr>
        <w:t>Dicho informe debe contar además con el visto bueno del Tutor Docente (Académico), mediante un informe presentado por separado.</w:t>
      </w:r>
    </w:p>
    <w:p>
      <w:pPr>
        <w:numPr>
          <w:ilvl w:val="0"/>
          <w:numId w:val="923"/>
        </w:numPr>
        <w:spacing w:before="0" w:after="200" w:line="240" w:lineRule="auto"/>
        <w:jc w:val="both"/>
      </w:pPr>
      <w:r>
        <w:rPr>
          <w:rFonts w:ascii="Century Gothic" w:hAnsi="Century Gothic" w:cs="Century Gothic" w:eastAsia="Century Gothic"/>
          <w:b w:val="0"/>
          <w:i w:val="0"/>
          <w:sz w:val="20"/>
        </w:rPr>
        <w:t>Segundo Informe de Trabajo Dirigido: A los seis meses de iniciado el proceso, el cual además debe incluir el informe preparado por el Tutor Profesional mencionando el cumplimiento o incumplimiento al Plan de Trabajo establecido.</w:t>
      </w:r>
    </w:p>
    <w:p>
      <w:pPr>
        <w:spacing w:before="0" w:after="200" w:line="240" w:lineRule="auto"/>
        <w:jc w:val="both"/>
      </w:pPr>
      <w:r>
        <w:rPr>
          <w:rFonts w:ascii="Century Gothic" w:hAnsi="Century Gothic" w:cs="Century Gothic" w:eastAsia="Century Gothic"/>
          <w:b w:val="0"/>
          <w:i w:val="0"/>
          <w:sz w:val="20"/>
        </w:rPr>
        <w:t>Dicho informe debe contar además con el visto bueno del Tutor Docente (Académico), mediante un informe presentado por separado.</w:t>
      </w:r>
    </w:p>
    <w:p>
      <w:pPr>
        <w:numPr>
          <w:ilvl w:val="0"/>
          <w:numId w:val="924"/>
        </w:numPr>
        <w:spacing w:before="0" w:after="200" w:line="240" w:lineRule="auto"/>
        <w:jc w:val="both"/>
      </w:pPr>
      <w:r>
        <w:rPr>
          <w:rFonts w:ascii="Century Gothic" w:hAnsi="Century Gothic" w:cs="Century Gothic" w:eastAsia="Century Gothic"/>
          <w:b w:val="0"/>
          <w:i w:val="0"/>
          <w:sz w:val="20"/>
        </w:rPr>
        <w:t>Informe Final de Trabajo Dirigido: A los ocho meses de iniciado el proceso, el cual además debe incluir el informe final preparado por el Tutor Profesional, mencionado el cumplimiento o incumplimiento al Plan de Trabajo establecido; además de la asignación de la “calificación cualitativa” pertinente.</w:t>
      </w:r>
    </w:p>
    <w:p>
      <w:pPr>
        <w:spacing w:before="0" w:after="200" w:line="240" w:lineRule="auto"/>
        <w:jc w:val="both"/>
      </w:pPr>
      <w:r>
        <w:rPr>
          <w:rFonts w:ascii="Century Gothic" w:hAnsi="Century Gothic" w:cs="Century Gothic" w:eastAsia="Century Gothic"/>
          <w:b w:val="0"/>
          <w:i w:val="0"/>
          <w:sz w:val="20"/>
        </w:rPr>
        <w:t xml:space="preserve">Adicionalmente, el Postulante debe presentar un </w:t>
      </w:r>
      <w:r>
        <w:rPr>
          <w:rFonts w:ascii="Century Gothic" w:hAnsi="Century Gothic" w:cs="Century Gothic" w:eastAsia="Century Gothic"/>
          <w:b/>
          <w:i w:val="0"/>
          <w:sz w:val="20"/>
        </w:rPr>
        <w:t>Documento Memoria del Trabajo Dirigido</w:t>
      </w:r>
      <w:r>
        <w:rPr>
          <w:rFonts w:ascii="Century Gothic" w:hAnsi="Century Gothic" w:cs="Century Gothic" w:eastAsia="Century Gothic"/>
          <w:b w:val="0"/>
          <w:i w:val="0"/>
          <w:sz w:val="20"/>
        </w:rPr>
        <w:t xml:space="preserve"> desarrollado, el mismo que consiste en la descripción de una de las actividades desarrolladas durante el periodo, que posteriormente será sujeta a la presentación pública, como parte de los resultados del Trabajo Dirigido, el cual debe presentarse con la siguiente estructura:</w:t>
      </w:r>
    </w:p>
    <w:p>
      <w:pPr>
        <w:numPr>
          <w:ilvl w:val="0"/>
          <w:numId w:val="925"/>
        </w:numPr>
        <w:spacing w:before="0" w:after="160" w:line="240" w:lineRule="auto"/>
        <w:jc w:val="both"/>
      </w:pPr>
      <w:r>
        <w:rPr>
          <w:rFonts w:ascii="Century Gothic" w:hAnsi="Century Gothic" w:cs="Century Gothic" w:eastAsia="Century Gothic"/>
          <w:b w:val="0"/>
          <w:i w:val="0"/>
          <w:sz w:val="20"/>
        </w:rPr>
        <w:t>Portada (Carátula)</w:t>
      </w:r>
    </w:p>
    <w:p>
      <w:pPr>
        <w:numPr>
          <w:ilvl w:val="0"/>
          <w:numId w:val="925"/>
        </w:numPr>
        <w:spacing w:before="0" w:after="160" w:line="240" w:lineRule="auto"/>
        <w:jc w:val="both"/>
      </w:pPr>
      <w:r>
        <w:rPr>
          <w:rFonts w:ascii="Century Gothic" w:hAnsi="Century Gothic" w:cs="Century Gothic" w:eastAsia="Century Gothic"/>
          <w:b w:val="0"/>
          <w:i w:val="0"/>
          <w:sz w:val="20"/>
        </w:rPr>
        <w:t>Índice de Contenido</w:t>
      </w:r>
    </w:p>
    <w:p>
      <w:pPr>
        <w:numPr>
          <w:ilvl w:val="0"/>
          <w:numId w:val="925"/>
        </w:numPr>
        <w:spacing w:before="0" w:after="160" w:line="240" w:lineRule="auto"/>
        <w:jc w:val="both"/>
      </w:pPr>
      <w:r>
        <w:rPr>
          <w:rFonts w:ascii="Century Gothic" w:hAnsi="Century Gothic" w:cs="Century Gothic" w:eastAsia="Century Gothic"/>
          <w:b w:val="0"/>
          <w:i w:val="0"/>
          <w:sz w:val="20"/>
        </w:rPr>
        <w:t>Resumen Ejecutivo</w:t>
      </w:r>
    </w:p>
    <w:p>
      <w:pPr>
        <w:numPr>
          <w:ilvl w:val="0"/>
          <w:numId w:val="925"/>
        </w:numPr>
        <w:spacing w:before="0" w:after="160" w:line="240" w:lineRule="auto"/>
        <w:jc w:val="both"/>
      </w:pPr>
      <w:r>
        <w:rPr>
          <w:rFonts w:ascii="Century Gothic" w:hAnsi="Century Gothic" w:cs="Century Gothic" w:eastAsia="Century Gothic"/>
          <w:b w:val="0"/>
          <w:i w:val="0"/>
          <w:sz w:val="20"/>
        </w:rPr>
        <w:t>Primera Parte:</w:t>
      </w:r>
    </w:p>
    <w:p>
      <w:pPr>
        <w:numPr>
          <w:ilvl w:val="0"/>
          <w:numId w:val="925"/>
        </w:numPr>
        <w:spacing w:before="0" w:after="160" w:line="240" w:lineRule="auto"/>
        <w:jc w:val="both"/>
      </w:pPr>
      <w:r>
        <w:rPr>
          <w:rFonts w:ascii="Century Gothic" w:hAnsi="Century Gothic" w:cs="Century Gothic" w:eastAsia="Century Gothic"/>
          <w:b w:val="0"/>
          <w:i w:val="0"/>
          <w:sz w:val="20"/>
        </w:rPr>
        <w:t>Introducción</w:t>
      </w:r>
    </w:p>
    <w:p>
      <w:pPr>
        <w:numPr>
          <w:ilvl w:val="0"/>
          <w:numId w:val="925"/>
        </w:numPr>
        <w:spacing w:before="0" w:after="160" w:line="240" w:lineRule="auto"/>
        <w:jc w:val="both"/>
      </w:pPr>
      <w:r>
        <w:rPr>
          <w:rFonts w:ascii="Century Gothic" w:hAnsi="Century Gothic" w:cs="Century Gothic" w:eastAsia="Century Gothic"/>
          <w:b w:val="0"/>
          <w:i w:val="0"/>
          <w:sz w:val="20"/>
        </w:rPr>
        <w:t>Identificación del problema o la necesidad (área de trabajo)</w:t>
      </w:r>
    </w:p>
    <w:p>
      <w:pPr>
        <w:numPr>
          <w:ilvl w:val="0"/>
          <w:numId w:val="925"/>
        </w:numPr>
        <w:spacing w:before="0" w:after="160" w:line="240" w:lineRule="auto"/>
        <w:jc w:val="both"/>
      </w:pPr>
      <w:r>
        <w:rPr>
          <w:rFonts w:ascii="Century Gothic" w:hAnsi="Century Gothic" w:cs="Century Gothic" w:eastAsia="Century Gothic"/>
          <w:b w:val="0"/>
          <w:i w:val="0"/>
          <w:sz w:val="20"/>
        </w:rPr>
        <w:t>Objetivos</w:t>
      </w:r>
    </w:p>
    <w:p>
      <w:pPr>
        <w:numPr>
          <w:ilvl w:val="0"/>
          <w:numId w:val="925"/>
        </w:numPr>
        <w:spacing w:before="0" w:after="160" w:line="240" w:lineRule="auto"/>
        <w:jc w:val="both"/>
      </w:pPr>
      <w:r>
        <w:rPr>
          <w:rFonts w:ascii="Century Gothic" w:hAnsi="Century Gothic" w:cs="Century Gothic" w:eastAsia="Century Gothic"/>
          <w:b w:val="0"/>
          <w:i w:val="0"/>
          <w:sz w:val="20"/>
        </w:rPr>
        <w:t>Justificación</w:t>
      </w:r>
    </w:p>
    <w:p>
      <w:pPr>
        <w:numPr>
          <w:ilvl w:val="0"/>
          <w:numId w:val="925"/>
        </w:numPr>
        <w:spacing w:before="0" w:after="160" w:line="240" w:lineRule="auto"/>
        <w:jc w:val="both"/>
      </w:pPr>
      <w:r>
        <w:rPr>
          <w:rFonts w:ascii="Century Gothic" w:hAnsi="Century Gothic" w:cs="Century Gothic" w:eastAsia="Century Gothic"/>
          <w:b w:val="0"/>
          <w:i w:val="0"/>
          <w:sz w:val="20"/>
        </w:rPr>
        <w:t>Segunda Parte:</w:t>
      </w:r>
    </w:p>
    <w:p>
      <w:pPr>
        <w:numPr>
          <w:ilvl w:val="0"/>
          <w:numId w:val="925"/>
        </w:numPr>
        <w:spacing w:before="0" w:after="160" w:line="240" w:lineRule="auto"/>
        <w:jc w:val="both"/>
      </w:pPr>
      <w:r>
        <w:rPr>
          <w:rFonts w:ascii="Century Gothic" w:hAnsi="Century Gothic" w:cs="Century Gothic" w:eastAsia="Century Gothic"/>
          <w:b w:val="0"/>
          <w:i w:val="0"/>
          <w:sz w:val="20"/>
        </w:rPr>
        <w:t>Marco Teórico</w:t>
      </w:r>
    </w:p>
    <w:p>
      <w:pPr>
        <w:numPr>
          <w:ilvl w:val="0"/>
          <w:numId w:val="925"/>
        </w:numPr>
        <w:spacing w:before="0" w:after="160" w:line="240" w:lineRule="auto"/>
        <w:jc w:val="both"/>
      </w:pPr>
      <w:r>
        <w:rPr>
          <w:rFonts w:ascii="Century Gothic" w:hAnsi="Century Gothic" w:cs="Century Gothic" w:eastAsia="Century Gothic"/>
          <w:b w:val="0"/>
          <w:i w:val="0"/>
          <w:sz w:val="20"/>
        </w:rPr>
        <w:t>Tercera Parte:</w:t>
      </w:r>
    </w:p>
    <w:p>
      <w:pPr>
        <w:numPr>
          <w:ilvl w:val="0"/>
          <w:numId w:val="925"/>
        </w:numPr>
        <w:spacing w:before="0" w:after="160" w:line="240" w:lineRule="auto"/>
        <w:jc w:val="both"/>
      </w:pPr>
      <w:r>
        <w:rPr>
          <w:rFonts w:ascii="Century Gothic" w:hAnsi="Century Gothic" w:cs="Century Gothic" w:eastAsia="Century Gothic"/>
          <w:b w:val="0"/>
          <w:i w:val="0"/>
          <w:sz w:val="20"/>
        </w:rPr>
        <w:t>Antecedentes de la Entidad</w:t>
      </w:r>
    </w:p>
    <w:p>
      <w:pPr>
        <w:numPr>
          <w:ilvl w:val="0"/>
          <w:numId w:val="925"/>
        </w:numPr>
        <w:spacing w:before="0" w:after="160" w:line="240" w:lineRule="auto"/>
        <w:jc w:val="both"/>
      </w:pPr>
      <w:r>
        <w:rPr>
          <w:rFonts w:ascii="Century Gothic" w:hAnsi="Century Gothic" w:cs="Century Gothic" w:eastAsia="Century Gothic"/>
          <w:b w:val="0"/>
          <w:i w:val="0"/>
          <w:sz w:val="20"/>
        </w:rPr>
        <w:t>Resultados del Trabajo Desarrollado</w:t>
      </w:r>
    </w:p>
    <w:p>
      <w:pPr>
        <w:numPr>
          <w:ilvl w:val="0"/>
          <w:numId w:val="925"/>
        </w:numPr>
        <w:spacing w:before="0" w:after="160" w:line="240" w:lineRule="auto"/>
        <w:jc w:val="both"/>
      </w:pPr>
      <w:r>
        <w:rPr>
          <w:rFonts w:ascii="Century Gothic" w:hAnsi="Century Gothic" w:cs="Century Gothic" w:eastAsia="Century Gothic"/>
          <w:b w:val="0"/>
          <w:i w:val="0"/>
          <w:sz w:val="20"/>
        </w:rPr>
        <w:t>Conclusiones y Recomendaciones</w:t>
      </w:r>
    </w:p>
    <w:p>
      <w:pPr>
        <w:numPr>
          <w:ilvl w:val="0"/>
          <w:numId w:val="925"/>
        </w:numPr>
        <w:spacing w:before="0" w:after="160" w:line="240" w:lineRule="auto"/>
        <w:jc w:val="both"/>
      </w:pPr>
      <w:r>
        <w:rPr>
          <w:rFonts w:ascii="Century Gothic" w:hAnsi="Century Gothic" w:cs="Century Gothic" w:eastAsia="Century Gothic"/>
          <w:b w:val="0"/>
          <w:i w:val="0"/>
          <w:sz w:val="20"/>
        </w:rPr>
        <w:t>Bibliografía</w:t>
      </w:r>
    </w:p>
    <w:p>
      <w:pPr>
        <w:numPr>
          <w:ilvl w:val="0"/>
          <w:numId w:val="925"/>
        </w:numPr>
        <w:spacing w:before="0" w:after="200" w:line="240" w:lineRule="auto"/>
        <w:jc w:val="both"/>
      </w:pPr>
      <w:r>
        <w:rPr>
          <w:rFonts w:ascii="Century Gothic" w:hAnsi="Century Gothic" w:cs="Century Gothic" w:eastAsia="Century Gothic"/>
          <w:b w:val="0"/>
          <w:i w:val="0"/>
          <w:sz w:val="20"/>
        </w:rPr>
        <w:t>Anexos</w:t>
      </w:r>
    </w:p>
    <w:p>
      <w:pPr>
        <w:spacing w:before="0" w:after="200" w:line="240" w:lineRule="auto"/>
        <w:jc w:val="both"/>
      </w:pPr>
      <w:r>
        <w:rPr>
          <w:rFonts w:ascii="Century Gothic" w:hAnsi="Century Gothic" w:cs="Century Gothic" w:eastAsia="Century Gothic"/>
          <w:b w:val="0"/>
          <w:i w:val="0"/>
          <w:sz w:val="20"/>
        </w:rPr>
        <w:t>Dicho informe debe contar con el visto bueno del Tutor Docente (Académico), mediante un informe presentado por separado, el mismo que además debe incluir la asignación de la “calificación cuantitativa” pertinente.</w:t>
      </w:r>
    </w:p>
    <w:p>
      <w:pPr>
        <w:spacing w:before="0" w:after="200" w:line="240" w:lineRule="auto"/>
        <w:jc w:val="both"/>
      </w:pPr>
      <w:r>
        <w:rPr>
          <w:rFonts w:ascii="Century Gothic" w:hAnsi="Century Gothic" w:cs="Century Gothic" w:eastAsia="Century Gothic"/>
          <w:b w:val="0"/>
          <w:i w:val="0"/>
          <w:sz w:val="20"/>
        </w:rPr>
        <w:t>En virtud de lo mencionado, la evaluación principal estará a cargo del Tutor Profesional, debido al vínculo directo con el trabajo del postulante, en base al cumplimiento de los objetivos del Plan de trabajo.</w:t>
      </w:r>
    </w:p>
    <w:p>
      <w:pPr>
        <w:spacing w:before="0" w:after="200" w:line="240" w:lineRule="auto"/>
        <w:jc w:val="both"/>
      </w:pPr>
      <w:r>
        <w:rPr>
          <w:rFonts w:ascii="Century Gothic" w:hAnsi="Century Gothic" w:cs="Century Gothic" w:eastAsia="Century Gothic"/>
          <w:b w:val="0"/>
          <w:i w:val="0"/>
          <w:sz w:val="20"/>
        </w:rPr>
        <w:t>La calificación correspondiente a los tres informes presentados corresponde al 85% de la nota total del 100%, por lo que el restante 15% debe ser calificado en la Presentación Pública.</w:t>
      </w:r>
    </w:p>
    <w:p>
      <w:pPr>
        <w:spacing w:before="0" w:after="200" w:line="240" w:lineRule="auto"/>
        <w:jc w:val="both"/>
      </w:pPr>
      <w:r>
        <w:rPr>
          <w:rFonts w:ascii="Century Gothic" w:hAnsi="Century Gothic" w:cs="Century Gothic" w:eastAsia="Century Gothic"/>
          <w:b/>
          <w:i w:val="0"/>
          <w:sz w:val="20"/>
        </w:rPr>
        <w:t>ARTÍCULO 56.- APROBACIÓN DEL TRABAJO DIRIGIDO</w:t>
      </w:r>
    </w:p>
    <w:p>
      <w:pPr>
        <w:spacing w:before="0" w:after="200" w:line="240" w:lineRule="auto"/>
        <w:jc w:val="both"/>
      </w:pPr>
      <w:r>
        <w:rPr>
          <w:rFonts w:ascii="Century Gothic" w:hAnsi="Century Gothic" w:cs="Century Gothic" w:eastAsia="Century Gothic"/>
          <w:b w:val="0"/>
          <w:i w:val="0"/>
          <w:sz w:val="20"/>
        </w:rPr>
        <w:t>Con los informes favorables del Tutor Profesional y el Tutor Docente (Académico), el Director de Carrera mediante Resolución de Dirección, en un plazo no mayor a siete (7) días calendario, aprobará el contenido del Trabajo Dirigido para efectuar la impresión final y debidamente empastada en el número de ejemplares citado en el Artículo siguiente del presente Reglamento, restando la fijación del día y la hora para la presentación pública.</w:t>
      </w:r>
    </w:p>
    <w:p>
      <w:pPr>
        <w:spacing w:before="0" w:after="200" w:line="240" w:lineRule="auto"/>
        <w:jc w:val="both"/>
      </w:pPr>
      <w:r>
        <w:rPr>
          <w:rFonts w:ascii="Century Gothic" w:hAnsi="Century Gothic" w:cs="Century Gothic" w:eastAsia="Century Gothic"/>
          <w:b/>
          <w:i w:val="0"/>
          <w:sz w:val="20"/>
        </w:rPr>
        <w:t>ARTÍCULO 57.- REQUISITOS PARA LA PRESENTACIÓN PÚBLICA</w:t>
      </w:r>
    </w:p>
    <w:p>
      <w:pPr>
        <w:spacing w:before="0" w:after="200" w:line="240" w:lineRule="auto"/>
        <w:jc w:val="both"/>
      </w:pPr>
      <w:r>
        <w:rPr>
          <w:rFonts w:ascii="Century Gothic" w:hAnsi="Century Gothic" w:cs="Century Gothic" w:eastAsia="Century Gothic"/>
          <w:b w:val="0"/>
          <w:i w:val="0"/>
          <w:sz w:val="20"/>
        </w:rPr>
        <w:t>Concluido el proceso de desarrollo y aprobación del trabajo dirigido, en el marco de las modalidades mencionadas y cumplidos los requisitos exigidos por la Universidad Mayor de “San Andrés” y por el presente Reglamento, el postulante, con visto bueno del Tutor Docente (Académico) solicitará mediante carta dirigida al Director de Carrera, se fije día y hora para la presentación pública del trabajo dirigido, debiendo adjuntar siete (7) ejemplares del trabajo final distribuidos como sigue:</w:t>
      </w:r>
    </w:p>
    <w:p>
      <w:pPr>
        <w:numPr>
          <w:ilvl w:val="0"/>
          <w:numId w:val="926"/>
        </w:numPr>
        <w:spacing w:before="0" w:after="160" w:line="240" w:lineRule="auto"/>
        <w:jc w:val="both"/>
      </w:pPr>
      <w:r>
        <w:rPr>
          <w:rFonts w:ascii="Century Gothic" w:hAnsi="Century Gothic" w:cs="Century Gothic" w:eastAsia="Century Gothic"/>
          <w:b w:val="0"/>
          <w:i w:val="0"/>
          <w:sz w:val="20"/>
        </w:rPr>
        <w:t>Tres ejemplares para los tres Tribunales Examinadores.</w:t>
      </w:r>
    </w:p>
    <w:p>
      <w:pPr>
        <w:numPr>
          <w:ilvl w:val="0"/>
          <w:numId w:val="926"/>
        </w:numPr>
        <w:spacing w:before="0" w:after="160" w:line="240" w:lineRule="auto"/>
        <w:jc w:val="both"/>
      </w:pPr>
      <w:r>
        <w:rPr>
          <w:rFonts w:ascii="Century Gothic" w:hAnsi="Century Gothic" w:cs="Century Gothic" w:eastAsia="Century Gothic"/>
          <w:b w:val="0"/>
          <w:i w:val="0"/>
          <w:sz w:val="20"/>
        </w:rPr>
        <w:t>Un ejemplar para el Postulante.</w:t>
      </w:r>
    </w:p>
    <w:p>
      <w:pPr>
        <w:numPr>
          <w:ilvl w:val="0"/>
          <w:numId w:val="926"/>
        </w:numPr>
        <w:spacing w:before="0" w:after="160" w:line="240" w:lineRule="auto"/>
        <w:jc w:val="both"/>
      </w:pPr>
      <w:r>
        <w:rPr>
          <w:rFonts w:ascii="Century Gothic" w:hAnsi="Century Gothic" w:cs="Century Gothic" w:eastAsia="Century Gothic"/>
          <w:b w:val="0"/>
          <w:i w:val="0"/>
          <w:sz w:val="20"/>
        </w:rPr>
        <w:t>Un ejemplar para el Tutor Académico.</w:t>
      </w:r>
    </w:p>
    <w:p>
      <w:pPr>
        <w:numPr>
          <w:ilvl w:val="0"/>
          <w:numId w:val="926"/>
        </w:numPr>
        <w:spacing w:before="0" w:after="160" w:line="240" w:lineRule="auto"/>
        <w:jc w:val="both"/>
      </w:pPr>
      <w:r>
        <w:rPr>
          <w:rFonts w:ascii="Century Gothic" w:hAnsi="Century Gothic" w:cs="Century Gothic" w:eastAsia="Century Gothic"/>
          <w:b w:val="0"/>
          <w:i w:val="0"/>
          <w:sz w:val="20"/>
        </w:rPr>
        <w:t>Un ejemplar para la Biblioteca Central de la Universidad Mayor de “San Andrés”</w:t>
      </w:r>
    </w:p>
    <w:p>
      <w:pPr>
        <w:numPr>
          <w:ilvl w:val="0"/>
          <w:numId w:val="926"/>
        </w:numPr>
        <w:spacing w:before="0" w:after="200" w:line="240" w:lineRule="auto"/>
        <w:jc w:val="both"/>
      </w:pPr>
      <w:r>
        <w:rPr>
          <w:rFonts w:ascii="Century Gothic" w:hAnsi="Century Gothic" w:cs="Century Gothic" w:eastAsia="Century Gothic"/>
          <w:b w:val="0"/>
          <w:i w:val="0"/>
          <w:sz w:val="20"/>
        </w:rPr>
        <w:t>Un ejemplar para la Biblioteca de la Carrera de Contaduría Pública</w:t>
      </w:r>
    </w:p>
    <w:p>
      <w:pPr>
        <w:spacing w:before="0" w:after="200" w:line="240" w:lineRule="auto"/>
        <w:jc w:val="both"/>
      </w:pPr>
      <w:r>
        <w:rPr>
          <w:rFonts w:ascii="Century Gothic" w:hAnsi="Century Gothic" w:cs="Century Gothic" w:eastAsia="Century Gothic"/>
          <w:b w:val="0"/>
          <w:i w:val="0"/>
          <w:sz w:val="20"/>
        </w:rPr>
        <w:t>El Director de Carrera fijará el día y hora para la presentación pública del Trabajo Dirigido, de acuerdo al Calendario Académico aprobado por la Carrera de Contaduría Pública, comunicando sobre dicho acto, al Tribunal Examinador con un plazo no menor a siete (7) días calendario.</w:t>
      </w:r>
    </w:p>
    <w:p>
      <w:pPr>
        <w:spacing w:before="0" w:after="200" w:line="240" w:lineRule="auto"/>
        <w:jc w:val="both"/>
      </w:pPr>
      <w:r>
        <w:rPr>
          <w:rFonts w:ascii="Century Gothic" w:hAnsi="Century Gothic" w:cs="Century Gothic" w:eastAsia="Century Gothic"/>
          <w:b/>
          <w:i w:val="0"/>
          <w:sz w:val="20"/>
        </w:rPr>
        <w:t>ARTÍCULO 58.- TRIBUNAL EXAMINADOR</w:t>
      </w:r>
    </w:p>
    <w:p>
      <w:pPr>
        <w:spacing w:before="0" w:after="200" w:line="240" w:lineRule="auto"/>
        <w:jc w:val="both"/>
      </w:pPr>
      <w:r>
        <w:rPr>
          <w:rFonts w:ascii="Century Gothic" w:hAnsi="Century Gothic" w:cs="Century Gothic" w:eastAsia="Century Gothic"/>
          <w:b w:val="0"/>
          <w:i w:val="0"/>
          <w:sz w:val="20"/>
        </w:rPr>
        <w:t>El Director de Carrera, con base a la aprobación del trabajo dirigido designará a los miembros del Tribunal Revisor como Tribunal Examinador, salvo casos excepcionales.</w:t>
      </w:r>
    </w:p>
    <w:p>
      <w:pPr>
        <w:spacing w:before="0" w:after="200" w:line="240" w:lineRule="auto"/>
        <w:jc w:val="both"/>
      </w:pPr>
      <w:r>
        <w:rPr>
          <w:rFonts w:ascii="Century Gothic" w:hAnsi="Century Gothic" w:cs="Century Gothic" w:eastAsia="Century Gothic"/>
          <w:b w:val="0"/>
          <w:i w:val="0"/>
          <w:sz w:val="20"/>
        </w:rPr>
        <w:t>El Tribunal Examinador para la presentación pública del trabajo dirigido, estará conformado por tres (3) Docentes (Titulares y/o Interinos) de la Carrera de Contaduría Pública, cuya presidencia recaerá en el Docente más antiguo.</w:t>
      </w:r>
    </w:p>
    <w:p>
      <w:pPr>
        <w:spacing w:before="0" w:after="200" w:line="240" w:lineRule="auto"/>
        <w:jc w:val="both"/>
      </w:pPr>
      <w:r>
        <w:rPr>
          <w:rFonts w:ascii="Century Gothic" w:hAnsi="Century Gothic" w:cs="Century Gothic" w:eastAsia="Century Gothic"/>
          <w:b/>
          <w:i w:val="0"/>
          <w:sz w:val="20"/>
        </w:rPr>
        <w:t>ARTÍCULO 59.- PRESENTACIÓN PÚBLICA</w:t>
      </w:r>
    </w:p>
    <w:p>
      <w:pPr>
        <w:spacing w:before="0" w:after="200" w:line="240" w:lineRule="auto"/>
        <w:jc w:val="both"/>
      </w:pPr>
      <w:r>
        <w:rPr>
          <w:rFonts w:ascii="Century Gothic" w:hAnsi="Century Gothic" w:cs="Century Gothic" w:eastAsia="Century Gothic"/>
          <w:b w:val="0"/>
          <w:i w:val="0"/>
          <w:sz w:val="20"/>
        </w:rPr>
        <w:t>Concluido el proceso de preparación y aprobación del trabajo de dirigido y una vez presentados los mismos, el Postulante realizará la presentación pública formal ante el “Tribunal Examinador” designado.</w:t>
      </w:r>
    </w:p>
    <w:p>
      <w:pPr>
        <w:spacing w:before="0" w:after="200" w:line="240" w:lineRule="auto"/>
        <w:jc w:val="both"/>
      </w:pPr>
      <w:r>
        <w:rPr>
          <w:rFonts w:ascii="Century Gothic" w:hAnsi="Century Gothic" w:cs="Century Gothic" w:eastAsia="Century Gothic"/>
          <w:b/>
          <w:i w:val="0"/>
          <w:sz w:val="20"/>
        </w:rPr>
        <w:t>ARTÍCULO 60.- DESARROLLO DE LA PRESENTACIÓN PÚBLICA DEL TRABAJO DE GRADO</w:t>
      </w:r>
    </w:p>
    <w:p>
      <w:pPr>
        <w:spacing w:before="0" w:after="200" w:line="240" w:lineRule="auto"/>
        <w:jc w:val="both"/>
      </w:pPr>
      <w:r>
        <w:rPr>
          <w:rFonts w:ascii="Century Gothic" w:hAnsi="Century Gothic" w:cs="Century Gothic" w:eastAsia="Century Gothic"/>
          <w:b w:val="0"/>
          <w:i w:val="0"/>
          <w:sz w:val="20"/>
        </w:rPr>
        <w:t>La presentación pública del trabajo de grado se desarrollará en acto público, conforme el siguiente procedimiento:</w:t>
      </w:r>
    </w:p>
    <w:p>
      <w:pPr>
        <w:numPr>
          <w:ilvl w:val="0"/>
          <w:numId w:val="927"/>
        </w:numPr>
        <w:spacing w:before="0" w:after="160" w:line="240" w:lineRule="auto"/>
        <w:jc w:val="both"/>
      </w:pPr>
      <w:r>
        <w:rPr>
          <w:rFonts w:ascii="Century Gothic" w:hAnsi="Century Gothic" w:cs="Century Gothic" w:eastAsia="Century Gothic"/>
          <w:b w:val="0"/>
          <w:i w:val="0"/>
          <w:sz w:val="20"/>
        </w:rPr>
        <w:t>El Postulante se presentará el día y hora señalado, con una hora de anticipación, para la presentación pública del trabajo de grado.</w:t>
      </w:r>
    </w:p>
    <w:p>
      <w:pPr>
        <w:numPr>
          <w:ilvl w:val="0"/>
          <w:numId w:val="927"/>
        </w:numPr>
        <w:spacing w:before="0" w:after="160" w:line="240" w:lineRule="auto"/>
        <w:jc w:val="both"/>
      </w:pPr>
      <w:r>
        <w:rPr>
          <w:rFonts w:ascii="Century Gothic" w:hAnsi="Century Gothic" w:cs="Century Gothic" w:eastAsia="Century Gothic"/>
          <w:b w:val="0"/>
          <w:i w:val="0"/>
          <w:sz w:val="20"/>
        </w:rPr>
        <w:t>Se instalará el Tribunal Examinador, con la presencia de tres (3) Docentes designados oportunamente, bajo la presidencia del Docente más antiguo para dar inicio al acto académico.</w:t>
      </w:r>
    </w:p>
    <w:p>
      <w:pPr>
        <w:numPr>
          <w:ilvl w:val="0"/>
          <w:numId w:val="927"/>
        </w:numPr>
        <w:spacing w:before="0" w:after="160" w:line="240" w:lineRule="auto"/>
        <w:jc w:val="both"/>
      </w:pPr>
      <w:r>
        <w:rPr>
          <w:rFonts w:ascii="Century Gothic" w:hAnsi="Century Gothic" w:cs="Century Gothic" w:eastAsia="Century Gothic"/>
          <w:b w:val="0"/>
          <w:i w:val="0"/>
          <w:sz w:val="20"/>
        </w:rPr>
        <w:t>En ausencia de algún miembro del Tribunal Examinador, se instalará con dos (2) Tribunales Examinadores.</w:t>
      </w:r>
    </w:p>
    <w:p>
      <w:pPr>
        <w:numPr>
          <w:ilvl w:val="0"/>
          <w:numId w:val="927"/>
        </w:numPr>
        <w:spacing w:before="0" w:after="160" w:line="240" w:lineRule="auto"/>
        <w:jc w:val="both"/>
      </w:pPr>
      <w:r>
        <w:rPr>
          <w:rFonts w:ascii="Century Gothic" w:hAnsi="Century Gothic" w:cs="Century Gothic" w:eastAsia="Century Gothic"/>
          <w:b w:val="0"/>
          <w:i w:val="0"/>
          <w:sz w:val="20"/>
        </w:rPr>
        <w:t>En ausencia del Presidente del Tribunal, asumirá el Docente más antiguo.</w:t>
      </w:r>
    </w:p>
    <w:p>
      <w:pPr>
        <w:numPr>
          <w:ilvl w:val="0"/>
          <w:numId w:val="927"/>
        </w:numPr>
        <w:spacing w:before="0" w:after="160" w:line="240" w:lineRule="auto"/>
        <w:jc w:val="both"/>
      </w:pPr>
      <w:r>
        <w:rPr>
          <w:rFonts w:ascii="Century Gothic" w:hAnsi="Century Gothic" w:cs="Century Gothic" w:eastAsia="Century Gothic"/>
          <w:b w:val="0"/>
          <w:i w:val="0"/>
          <w:sz w:val="20"/>
        </w:rPr>
        <w:t>El Tribunal Examinador concederá al Postulante el tiempo de veinte (20) a treinta (30) minutos para efectuar exposición oral de su trabajo de grado. En la presentación pública, podrá hacer uso de apoyos audiovisuales que permitan facilitar su exposición.</w:t>
      </w:r>
    </w:p>
    <w:p>
      <w:pPr>
        <w:numPr>
          <w:ilvl w:val="0"/>
          <w:numId w:val="927"/>
        </w:numPr>
        <w:spacing w:before="0" w:after="160" w:line="240" w:lineRule="auto"/>
        <w:jc w:val="both"/>
      </w:pPr>
      <w:r>
        <w:rPr>
          <w:rFonts w:ascii="Century Gothic" w:hAnsi="Century Gothic" w:cs="Century Gothic" w:eastAsia="Century Gothic"/>
          <w:b w:val="0"/>
          <w:i w:val="0"/>
          <w:sz w:val="20"/>
        </w:rPr>
        <w:t>Concluida la exposición, el Presidente del Tribunal dará inicio a la ronda de preguntas por parte de los miembros del Tribunal Examinador.</w:t>
      </w:r>
    </w:p>
    <w:p>
      <w:pPr>
        <w:numPr>
          <w:ilvl w:val="0"/>
          <w:numId w:val="927"/>
        </w:numPr>
        <w:spacing w:before="0" w:after="160" w:line="240" w:lineRule="auto"/>
        <w:jc w:val="both"/>
      </w:pPr>
      <w:r>
        <w:rPr>
          <w:rFonts w:ascii="Century Gothic" w:hAnsi="Century Gothic" w:cs="Century Gothic" w:eastAsia="Century Gothic"/>
          <w:b w:val="0"/>
          <w:i w:val="0"/>
          <w:sz w:val="20"/>
        </w:rPr>
        <w:t>Concluida la ronda de preguntas, el Presidente del Tribunal declarará cuarto intermedio, y en sesión reservada, los miembros del Tribunal procederán a evaluar el contenido del trabajo, la exposición y las respuestas del Postulante de acuerdo al método de evaluación establecido en el presente reglamento.</w:t>
      </w:r>
    </w:p>
    <w:p>
      <w:pPr>
        <w:numPr>
          <w:ilvl w:val="0"/>
          <w:numId w:val="927"/>
        </w:numPr>
        <w:spacing w:before="0" w:after="160" w:line="240" w:lineRule="auto"/>
        <w:jc w:val="both"/>
      </w:pPr>
      <w:r>
        <w:rPr>
          <w:rFonts w:ascii="Century Gothic" w:hAnsi="Century Gothic" w:cs="Century Gothic" w:eastAsia="Century Gothic"/>
          <w:b w:val="0"/>
          <w:i w:val="0"/>
          <w:sz w:val="20"/>
        </w:rPr>
        <w:t>El Presidente del Tribunal consignará la calificación literal y numeral obtenida por el Postulante, la cual estará refrendada con las firmas de los miembros del Tribunal.</w:t>
      </w:r>
    </w:p>
    <w:p>
      <w:pPr>
        <w:numPr>
          <w:ilvl w:val="0"/>
          <w:numId w:val="927"/>
        </w:numPr>
        <w:spacing w:before="0" w:after="200" w:line="240" w:lineRule="auto"/>
        <w:jc w:val="both"/>
      </w:pPr>
      <w:r>
        <w:rPr>
          <w:rFonts w:ascii="Century Gothic" w:hAnsi="Century Gothic" w:cs="Century Gothic" w:eastAsia="Century Gothic"/>
          <w:b w:val="0"/>
          <w:i w:val="0"/>
          <w:sz w:val="20"/>
        </w:rPr>
        <w:t>El Presidente del Tribunal, reiniciará el acto académico, dando lectura al Acta de Sustentación de Grado y procederá a clausurar entregando un ejemplar del trabajo al Postulante, con la nota correspondiente y firmas del Tribunal.</w:t>
      </w:r>
    </w:p>
    <w:p>
      <w:pPr>
        <w:spacing w:before="0" w:after="200" w:line="240" w:lineRule="auto"/>
        <w:jc w:val="both"/>
      </w:pPr>
      <w:r>
        <w:rPr>
          <w:rFonts w:ascii="Century Gothic" w:hAnsi="Century Gothic" w:cs="Century Gothic" w:eastAsia="Century Gothic"/>
          <w:b/>
          <w:i w:val="0"/>
          <w:sz w:val="20"/>
        </w:rPr>
        <w:t>ARTÍCULO 61.- PROCESO DE EVALUACIÓN</w:t>
      </w:r>
    </w:p>
    <w:p>
      <w:pPr>
        <w:spacing w:before="0" w:after="200" w:line="240" w:lineRule="auto"/>
        <w:jc w:val="both"/>
      </w:pPr>
      <w:r>
        <w:rPr>
          <w:rFonts w:ascii="Century Gothic" w:hAnsi="Century Gothic" w:cs="Century Gothic" w:eastAsia="Century Gothic"/>
          <w:b w:val="0"/>
          <w:i w:val="0"/>
          <w:sz w:val="20"/>
        </w:rPr>
        <w:t>Concluida la presentación pública, el Tribunal Examinador sesionará a puerta cerrada y determinará la calificación final, cuantitativa y cualitativa obtenida por el Postulante, evaluando en forma conjunta los siguientes aspectos:</w:t>
      </w:r>
    </w:p>
    <w:p>
      <w:pPr>
        <w:numPr>
          <w:ilvl w:val="0"/>
          <w:numId w:val="928"/>
        </w:numPr>
        <w:spacing w:before="0" w:after="160" w:line="240" w:lineRule="auto"/>
        <w:jc w:val="both"/>
      </w:pPr>
      <w:r>
        <w:rPr>
          <w:rFonts w:ascii="Century Gothic" w:hAnsi="Century Gothic" w:cs="Century Gothic" w:eastAsia="Century Gothic"/>
          <w:b/>
          <w:i w:val="0"/>
          <w:sz w:val="20"/>
        </w:rPr>
        <w:t>Con relación al trabajo:</w:t>
      </w:r>
    </w:p>
    <w:p>
      <w:pPr>
        <w:numPr>
          <w:ilvl w:val="0"/>
          <w:numId w:val="928"/>
        </w:numPr>
        <w:spacing w:before="0" w:after="160" w:line="240" w:lineRule="auto"/>
        <w:jc w:val="both"/>
      </w:pPr>
      <w:r>
        <w:rPr>
          <w:rFonts w:ascii="Century Gothic" w:hAnsi="Century Gothic" w:cs="Century Gothic" w:eastAsia="Century Gothic"/>
          <w:b w:val="0"/>
          <w:i w:val="0"/>
          <w:sz w:val="20"/>
        </w:rPr>
        <w:t>Presentación formal</w:t>
      </w:r>
    </w:p>
    <w:p>
      <w:pPr>
        <w:numPr>
          <w:ilvl w:val="0"/>
          <w:numId w:val="928"/>
        </w:numPr>
        <w:spacing w:before="0" w:after="160" w:line="240" w:lineRule="auto"/>
        <w:jc w:val="both"/>
      </w:pPr>
      <w:r>
        <w:rPr>
          <w:rFonts w:ascii="Century Gothic" w:hAnsi="Century Gothic" w:cs="Century Gothic" w:eastAsia="Century Gothic"/>
          <w:b w:val="0"/>
          <w:i w:val="0"/>
          <w:sz w:val="20"/>
        </w:rPr>
        <w:t>Relevancia y contenido</w:t>
      </w:r>
    </w:p>
    <w:p>
      <w:pPr>
        <w:numPr>
          <w:ilvl w:val="0"/>
          <w:numId w:val="928"/>
        </w:numPr>
        <w:spacing w:before="0" w:after="160" w:line="240" w:lineRule="auto"/>
        <w:jc w:val="both"/>
      </w:pPr>
      <w:r>
        <w:rPr>
          <w:rFonts w:ascii="Century Gothic" w:hAnsi="Century Gothic" w:cs="Century Gothic" w:eastAsia="Century Gothic"/>
          <w:b w:val="0"/>
          <w:i w:val="0"/>
          <w:sz w:val="20"/>
        </w:rPr>
        <w:t>Fuentes de información</w:t>
      </w:r>
    </w:p>
    <w:p>
      <w:pPr>
        <w:numPr>
          <w:ilvl w:val="0"/>
          <w:numId w:val="928"/>
        </w:numPr>
        <w:spacing w:before="0" w:after="160" w:line="240" w:lineRule="auto"/>
        <w:jc w:val="both"/>
      </w:pPr>
      <w:r>
        <w:rPr>
          <w:rFonts w:ascii="Century Gothic" w:hAnsi="Century Gothic" w:cs="Century Gothic" w:eastAsia="Century Gothic"/>
          <w:b w:val="0"/>
          <w:i w:val="0"/>
          <w:sz w:val="20"/>
        </w:rPr>
        <w:t>Composición y redacción</w:t>
      </w:r>
    </w:p>
    <w:p>
      <w:pPr>
        <w:numPr>
          <w:ilvl w:val="0"/>
          <w:numId w:val="928"/>
        </w:numPr>
        <w:spacing w:before="0" w:after="160" w:line="240" w:lineRule="auto"/>
        <w:jc w:val="both"/>
      </w:pPr>
      <w:r>
        <w:rPr>
          <w:rFonts w:ascii="Century Gothic" w:hAnsi="Century Gothic" w:cs="Century Gothic" w:eastAsia="Century Gothic"/>
          <w:b w:val="0"/>
          <w:i w:val="0"/>
          <w:sz w:val="20"/>
        </w:rPr>
        <w:t>Justificación, desarrollo metodológico y presentación de resultados</w:t>
      </w:r>
    </w:p>
    <w:p>
      <w:pPr>
        <w:numPr>
          <w:ilvl w:val="0"/>
          <w:numId w:val="928"/>
        </w:numPr>
        <w:spacing w:before="0" w:after="160" w:line="240" w:lineRule="auto"/>
        <w:jc w:val="both"/>
      </w:pPr>
      <w:r>
        <w:rPr>
          <w:rFonts w:ascii="Century Gothic" w:hAnsi="Century Gothic" w:cs="Century Gothic" w:eastAsia="Century Gothic"/>
          <w:b/>
          <w:i w:val="0"/>
          <w:sz w:val="20"/>
        </w:rPr>
        <w:t>Con relación a la sustentación:</w:t>
      </w:r>
    </w:p>
    <w:p>
      <w:pPr>
        <w:numPr>
          <w:ilvl w:val="0"/>
          <w:numId w:val="928"/>
        </w:numPr>
        <w:spacing w:before="0" w:after="160" w:line="240" w:lineRule="auto"/>
        <w:jc w:val="both"/>
      </w:pPr>
      <w:r>
        <w:rPr>
          <w:rFonts w:ascii="Century Gothic" w:hAnsi="Century Gothic" w:cs="Century Gothic" w:eastAsia="Century Gothic"/>
          <w:b w:val="0"/>
          <w:i w:val="0"/>
          <w:sz w:val="20"/>
        </w:rPr>
        <w:t>Comunicación y empleo del lenguaje</w:t>
      </w:r>
    </w:p>
    <w:p>
      <w:pPr>
        <w:numPr>
          <w:ilvl w:val="0"/>
          <w:numId w:val="928"/>
        </w:numPr>
        <w:spacing w:before="0" w:after="160" w:line="240" w:lineRule="auto"/>
        <w:jc w:val="both"/>
      </w:pPr>
      <w:r>
        <w:rPr>
          <w:rFonts w:ascii="Century Gothic" w:hAnsi="Century Gothic" w:cs="Century Gothic" w:eastAsia="Century Gothic"/>
          <w:b w:val="0"/>
          <w:i w:val="0"/>
          <w:sz w:val="20"/>
        </w:rPr>
        <w:t>Claridad de las ideas expuestas</w:t>
      </w:r>
    </w:p>
    <w:p>
      <w:pPr>
        <w:numPr>
          <w:ilvl w:val="0"/>
          <w:numId w:val="928"/>
        </w:numPr>
        <w:spacing w:before="0" w:after="160" w:line="240" w:lineRule="auto"/>
        <w:jc w:val="both"/>
      </w:pPr>
      <w:r>
        <w:rPr>
          <w:rFonts w:ascii="Century Gothic" w:hAnsi="Century Gothic" w:cs="Century Gothic" w:eastAsia="Century Gothic"/>
          <w:b w:val="0"/>
          <w:i w:val="0"/>
          <w:sz w:val="20"/>
        </w:rPr>
        <w:t>Dominio del tema</w:t>
      </w:r>
    </w:p>
    <w:p>
      <w:pPr>
        <w:numPr>
          <w:ilvl w:val="0"/>
          <w:numId w:val="928"/>
        </w:numPr>
        <w:spacing w:before="0" w:after="160" w:line="240" w:lineRule="auto"/>
        <w:jc w:val="both"/>
      </w:pPr>
      <w:r>
        <w:rPr>
          <w:rFonts w:ascii="Century Gothic" w:hAnsi="Century Gothic" w:cs="Century Gothic" w:eastAsia="Century Gothic"/>
          <w:b w:val="0"/>
          <w:i w:val="0"/>
          <w:sz w:val="20"/>
        </w:rPr>
        <w:t>Utilización de recursos en la exposición</w:t>
      </w:r>
    </w:p>
    <w:p>
      <w:pPr>
        <w:numPr>
          <w:ilvl w:val="0"/>
          <w:numId w:val="928"/>
        </w:numPr>
        <w:spacing w:before="0" w:after="160" w:line="240" w:lineRule="auto"/>
        <w:jc w:val="both"/>
      </w:pPr>
      <w:r>
        <w:rPr>
          <w:rFonts w:ascii="Century Gothic" w:hAnsi="Century Gothic" w:cs="Century Gothic" w:eastAsia="Century Gothic"/>
          <w:b w:val="0"/>
          <w:i w:val="0"/>
          <w:sz w:val="20"/>
        </w:rPr>
        <w:t>Desarrollo de conclusiones</w:t>
      </w:r>
    </w:p>
    <w:p>
      <w:pPr>
        <w:numPr>
          <w:ilvl w:val="0"/>
          <w:numId w:val="928"/>
        </w:numPr>
        <w:spacing w:before="0" w:after="200" w:line="240" w:lineRule="auto"/>
        <w:jc w:val="both"/>
      </w:pPr>
      <w:r>
        <w:rPr>
          <w:rFonts w:ascii="Century Gothic" w:hAnsi="Century Gothic" w:cs="Century Gothic" w:eastAsia="Century Gothic"/>
          <w:b/>
          <w:i w:val="0"/>
          <w:sz w:val="20"/>
        </w:rPr>
        <w:t>Ponderación del Trabajo Dirigido</w:t>
      </w:r>
    </w:p>
    <w:p>
      <w:pPr>
        <w:spacing w:before="0" w:after="200" w:line="240" w:lineRule="auto"/>
        <w:jc w:val="both"/>
      </w:pPr>
      <w:r>
        <w:rPr>
          <w:rFonts w:ascii="Century Gothic" w:hAnsi="Century Gothic" w:cs="Century Gothic" w:eastAsia="Century Gothic"/>
          <w:b w:val="0"/>
          <w:i w:val="0"/>
          <w:sz w:val="20"/>
        </w:rPr>
        <w:t>Evaluación de los tres informes: Ochenta y cinco (85) puntos</w:t>
      </w:r>
    </w:p>
    <w:p>
      <w:pPr>
        <w:spacing w:before="0" w:after="200" w:line="240" w:lineRule="auto"/>
        <w:jc w:val="both"/>
      </w:pPr>
      <w:r>
        <w:rPr>
          <w:rFonts w:ascii="Century Gothic" w:hAnsi="Century Gothic" w:cs="Century Gothic" w:eastAsia="Century Gothic"/>
          <w:b w:val="0"/>
          <w:i w:val="0"/>
          <w:sz w:val="20"/>
        </w:rPr>
        <w:t>Presentación pública de los resultados: Quince (15) puntos.</w:t>
      </w:r>
    </w:p>
    <w:p>
      <w:pPr>
        <w:numPr>
          <w:ilvl w:val="0"/>
          <w:numId w:val="929"/>
        </w:numPr>
        <w:spacing w:before="0" w:after="200" w:line="240" w:lineRule="auto"/>
        <w:jc w:val="both"/>
      </w:pPr>
      <w:r>
        <w:rPr>
          <w:rFonts w:ascii="Century Gothic" w:hAnsi="Century Gothic" w:cs="Century Gothic" w:eastAsia="Century Gothic"/>
          <w:b/>
          <w:i w:val="0"/>
          <w:sz w:val="20"/>
        </w:rPr>
        <w:t>Escala cuantitativa y cualitativa:</w:t>
      </w:r>
    </w:p>
    <w:p>
      <w:pPr>
        <w:spacing w:before="0" w:after="200" w:line="240" w:lineRule="auto"/>
        <w:jc w:val="both"/>
      </w:pPr>
      <w:r>
        <w:rPr>
          <w:rFonts w:ascii="Century Gothic" w:hAnsi="Century Gothic" w:cs="Century Gothic" w:eastAsia="Century Gothic"/>
          <w:b w:val="0"/>
          <w:i w:val="0"/>
          <w:sz w:val="20"/>
        </w:rPr>
        <w:t>La escala de calificaciones, cualitativa y cuantitativa es la siguiente:</w:t>
      </w:r>
    </w:p>
    <w:tbl>
      <w:tblPr>
        <w:tblW w:type="auto" w:w="0"/>
        <w:jc w:val="center"/>
        <w:tblLayout w:type="fixed"/>
        <w:tblLook w:firstColumn="1" w:firstRow="1" w:lastColumn="0" w:lastRow="0" w:noHBand="0" w:noVBand="1" w:val="04A0"/>
      </w:tblPr>
      <w:tblGrid>
        <w:gridCol w:w="5314"/>
        <w:gridCol w:w="3757"/>
      </w:tblGrid>
      <w:tr>
        <w:trPr>
          <w:tblHeader/>
        </w:trPr>
        <w:tc>
          <w:tcPr>
            <w:tcW w:type="dxa" w:w="53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3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Reprobado</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 50</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Bueno</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 70</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Sobresaliente</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 89</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Excelente – Excelencia</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 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Dicha escala corresponde a lo establecido en el Artículo 18 del Reglamento Específico de modalidad de Graduación por Trabajo Dirigido, aprobado mediante Resolución de Honorable Consejo universitario No. 330/2022 de 18 de agosto de 2022.</w:t>
      </w:r>
    </w:p>
    <w:p>
      <w:pPr>
        <w:spacing w:before="0" w:after="200" w:line="240" w:lineRule="auto"/>
        <w:jc w:val="both"/>
      </w:pPr>
      <w:r>
        <w:rPr>
          <w:rFonts w:ascii="Century Gothic" w:hAnsi="Century Gothic" w:cs="Century Gothic" w:eastAsia="Century Gothic"/>
          <w:b w:val="0"/>
          <w:i w:val="0"/>
          <w:sz w:val="20"/>
        </w:rPr>
        <w:t>La calificación final, en forma separada, reflejará el criterio de los miembros del Tribunal Examinador en relación al trabajo, sustentación y respuestas, a través de la media aritmética ponderada de los miembros.</w:t>
      </w:r>
    </w:p>
    <w:p>
      <w:pPr>
        <w:spacing w:before="0" w:after="200" w:line="240" w:lineRule="auto"/>
        <w:jc w:val="both"/>
      </w:pPr>
      <w:r>
        <w:rPr>
          <w:rFonts w:ascii="Century Gothic" w:hAnsi="Century Gothic" w:cs="Century Gothic" w:eastAsia="Century Gothic"/>
          <w:b w:val="0"/>
          <w:i w:val="0"/>
          <w:sz w:val="20"/>
        </w:rPr>
        <w:t>La calificación obtenida por el Postulante se transcribirá en el Acta de Sustentación de Grado en forma numeral y literal y en números enteros.</w:t>
      </w:r>
    </w:p>
    <w:p>
      <w:pPr>
        <w:spacing w:before="0" w:after="200" w:line="240" w:lineRule="auto"/>
        <w:jc w:val="both"/>
      </w:pPr>
      <w:r>
        <w:rPr>
          <w:rFonts w:ascii="Century Gothic" w:hAnsi="Century Gothic" w:cs="Century Gothic" w:eastAsia="Century Gothic"/>
          <w:b/>
          <w:i w:val="0"/>
          <w:sz w:val="20"/>
        </w:rPr>
        <w:t>ARTÍCULO 62.- INASISTENCIA DE MIEMBROS DEL TRIBUNAL</w:t>
      </w:r>
    </w:p>
    <w:p>
      <w:pPr>
        <w:spacing w:before="0" w:after="200" w:line="240" w:lineRule="auto"/>
        <w:jc w:val="both"/>
      </w:pPr>
      <w:r>
        <w:rPr>
          <w:rFonts w:ascii="Century Gothic" w:hAnsi="Century Gothic" w:cs="Century Gothic" w:eastAsia="Century Gothic"/>
          <w:b w:val="0"/>
          <w:i w:val="0"/>
          <w:sz w:val="20"/>
        </w:rPr>
        <w:t>Es obligación de todo Docente Titular e Interino, designado como Tribunal Examinador, cumplir con sus funciones. De no existir quórum necesario (mínimo dos Tribunales), se suspenderá la sustentación hasta siete (7) días calendario impostergablemente.</w:t>
      </w:r>
    </w:p>
    <w:p>
      <w:pPr>
        <w:spacing w:before="0" w:after="200" w:line="240" w:lineRule="auto"/>
        <w:jc w:val="both"/>
      </w:pPr>
      <w:r>
        <w:rPr>
          <w:rFonts w:ascii="Century Gothic" w:hAnsi="Century Gothic" w:cs="Century Gothic" w:eastAsia="Century Gothic"/>
          <w:b w:val="0"/>
          <w:i w:val="0"/>
          <w:sz w:val="20"/>
        </w:rPr>
        <w:t>Él o los Docentes Tribunales que no asistan serán objeto de amonestación formal por parte del Director de Carrera, salvo en casos debidamente justificables, de ser reiterativa su ausencia se informará al Honorable Consejo de la Carrera para su consideración y sanción conforme al Reglamento Universitario en vigencia.</w:t>
      </w:r>
    </w:p>
    <w:p>
      <w:pPr>
        <w:spacing w:before="0" w:after="200" w:line="240" w:lineRule="auto"/>
        <w:jc w:val="both"/>
      </w:pPr>
      <w:r>
        <w:rPr>
          <w:rFonts w:ascii="Century Gothic" w:hAnsi="Century Gothic" w:cs="Century Gothic" w:eastAsia="Century Gothic"/>
          <w:b/>
          <w:i w:val="0"/>
          <w:sz w:val="20"/>
        </w:rPr>
        <w:t>ARTÍCULO 63.- INASISTENCIA DE LOS POSTULANTES</w:t>
      </w:r>
    </w:p>
    <w:p>
      <w:pPr>
        <w:spacing w:before="0" w:after="200" w:line="240" w:lineRule="auto"/>
        <w:jc w:val="both"/>
      </w:pPr>
      <w:r>
        <w:rPr>
          <w:rFonts w:ascii="Century Gothic" w:hAnsi="Century Gothic" w:cs="Century Gothic" w:eastAsia="Century Gothic"/>
          <w:b w:val="0"/>
          <w:i w:val="0"/>
          <w:sz w:val="20"/>
        </w:rPr>
        <w:t>Es obligación de todo Postulante presentarse al Acto Académico de Sustentación, con una hora de antelación. De no asistir, se suspenderá la sustentación hasta sesenta (60) días calendario y será objeto de amonestación formal por parte del Director de la Carrera, salvo en casos debidamente justificables. De ser reiterativa su ausencia, a la segunda convocatoria, se instalará el Tribunal Examinador y se procederá a la calificación, de acuerdo con el presente Reglamento incorporándose en el acta la nota de reprobación.</w:t>
      </w:r>
    </w:p>
    <w:p>
      <w:pPr>
        <w:spacing w:before="0" w:after="200" w:line="240" w:lineRule="auto"/>
        <w:jc w:val="both"/>
      </w:pPr>
      <w:r>
        <w:rPr>
          <w:rFonts w:ascii="Century Gothic" w:hAnsi="Century Gothic" w:cs="Century Gothic" w:eastAsia="Century Gothic"/>
          <w:b/>
          <w:i w:val="0"/>
          <w:sz w:val="20"/>
        </w:rPr>
        <w:t>ARTÍCULO 64.- EXCUSA DE MIEMBROS DEL TRIBUNAL</w:t>
      </w:r>
    </w:p>
    <w:p>
      <w:pPr>
        <w:spacing w:before="0" w:after="200" w:line="240" w:lineRule="auto"/>
        <w:jc w:val="both"/>
      </w:pPr>
      <w:r>
        <w:rPr>
          <w:rFonts w:ascii="Century Gothic" w:hAnsi="Century Gothic" w:cs="Century Gothic" w:eastAsia="Century Gothic"/>
          <w:b w:val="0"/>
          <w:i w:val="0"/>
          <w:sz w:val="20"/>
        </w:rPr>
        <w:t>El Docente Titular e Interino designado en calidad de Tribunal podrá excusarse, por única vez, y por razones de parentesco y/o conflicto de intereses.</w:t>
      </w:r>
    </w:p>
    <w:p>
      <w:pPr>
        <w:spacing w:before="0" w:after="200" w:line="240" w:lineRule="auto"/>
        <w:jc w:val="both"/>
      </w:pPr>
      <w:r>
        <w:rPr>
          <w:rFonts w:ascii="Century Gothic" w:hAnsi="Century Gothic" w:cs="Century Gothic" w:eastAsia="Century Gothic"/>
          <w:b/>
          <w:i w:val="0"/>
          <w:sz w:val="20"/>
        </w:rPr>
        <w:t>CAPITULO V: MODALIDAD EXAMEN DE GRADO</w:t>
      </w:r>
    </w:p>
    <w:p>
      <w:pPr>
        <w:spacing w:before="0" w:after="200" w:line="240" w:lineRule="auto"/>
        <w:jc w:val="both"/>
      </w:pPr>
      <w:r>
        <w:rPr>
          <w:rFonts w:ascii="Century Gothic" w:hAnsi="Century Gothic" w:cs="Century Gothic" w:eastAsia="Century Gothic"/>
          <w:b/>
          <w:i w:val="0"/>
          <w:sz w:val="20"/>
        </w:rPr>
        <w:t>ARTÍCULO 65.- CONCEPTO</w:t>
      </w:r>
    </w:p>
    <w:p>
      <w:pPr>
        <w:spacing w:before="0" w:after="200" w:line="240" w:lineRule="auto"/>
        <w:jc w:val="both"/>
      </w:pPr>
      <w:r>
        <w:rPr>
          <w:rFonts w:ascii="Century Gothic" w:hAnsi="Century Gothic" w:cs="Century Gothic" w:eastAsia="Century Gothic"/>
          <w:b w:val="0"/>
          <w:i w:val="0"/>
          <w:sz w:val="20"/>
        </w:rPr>
        <w:t>El Examen de Grado es una modalidad de graduación, y tiene por objeto evaluar el proceso de formación profesional, valorando conocimientos teóricos y prácticos, adquiridos por el Postulante durante su formación académica a través de pruebas exploratorias (exámenes orales y/o escritos) ante un Tribunal Examinador.</w:t>
      </w:r>
    </w:p>
    <w:p>
      <w:pPr>
        <w:spacing w:before="0" w:after="200" w:line="240" w:lineRule="auto"/>
        <w:jc w:val="both"/>
      </w:pPr>
      <w:r>
        <w:rPr>
          <w:rFonts w:ascii="Century Gothic" w:hAnsi="Century Gothic" w:cs="Century Gothic" w:eastAsia="Century Gothic"/>
          <w:b w:val="0"/>
          <w:i w:val="0"/>
          <w:sz w:val="20"/>
        </w:rPr>
        <w:t>La modalidad de graduación por Examen de Grado, se cumplirá con evaluaciones teórico – práctico.</w:t>
      </w:r>
    </w:p>
    <w:p>
      <w:pPr>
        <w:spacing w:before="0" w:after="200" w:line="240" w:lineRule="auto"/>
        <w:jc w:val="both"/>
      </w:pPr>
      <w:r>
        <w:rPr>
          <w:rFonts w:ascii="Century Gothic" w:hAnsi="Century Gothic" w:cs="Century Gothic" w:eastAsia="Century Gothic"/>
          <w:b/>
          <w:i w:val="0"/>
          <w:sz w:val="20"/>
        </w:rPr>
        <w:t>ARTÍCULO 66.- FRECUENCIA</w:t>
      </w:r>
    </w:p>
    <w:p>
      <w:pPr>
        <w:spacing w:before="0" w:after="200" w:line="240" w:lineRule="auto"/>
        <w:jc w:val="both"/>
      </w:pPr>
      <w:r>
        <w:rPr>
          <w:rFonts w:ascii="Century Gothic" w:hAnsi="Century Gothic" w:cs="Century Gothic" w:eastAsia="Century Gothic"/>
          <w:b w:val="0"/>
          <w:i w:val="0"/>
          <w:sz w:val="20"/>
        </w:rPr>
        <w:t>Los Exámenes de Grado, de acuerdo al Calendario Académico Anual se efectuarán como mínimo en cuatro (4) fechas distintas en cada gestión académica. Estas fechas serán publicadas oportunamente en instalaciones de la Carrera, respetando el cronograma aprobado en el calendario académico al inicio de cada gestión.</w:t>
      </w:r>
    </w:p>
    <w:p>
      <w:pPr>
        <w:spacing w:before="0" w:after="200" w:line="240" w:lineRule="auto"/>
        <w:jc w:val="both"/>
      </w:pPr>
      <w:r>
        <w:rPr>
          <w:rFonts w:ascii="Century Gothic" w:hAnsi="Century Gothic" w:cs="Century Gothic" w:eastAsia="Century Gothic"/>
          <w:b/>
          <w:i w:val="0"/>
          <w:sz w:val="20"/>
        </w:rPr>
        <w:t>ARTÍCULO 67.- INSCRIPCIÓN</w:t>
      </w:r>
    </w:p>
    <w:p>
      <w:pPr>
        <w:spacing w:before="0" w:after="200" w:line="240" w:lineRule="auto"/>
        <w:jc w:val="both"/>
      </w:pPr>
      <w:r>
        <w:rPr>
          <w:rFonts w:ascii="Century Gothic" w:hAnsi="Century Gothic" w:cs="Century Gothic" w:eastAsia="Century Gothic"/>
          <w:b w:val="0"/>
          <w:i w:val="0"/>
          <w:sz w:val="20"/>
        </w:rPr>
        <w:t>Con el objeto de habilitarse a los Exámenes de Grado, el Postulante solicitará su inscripción en la Unidad de Gestión, veinte (20) días calendario antes de la fecha programada, en función a la reglamentación vigente.</w:t>
      </w:r>
    </w:p>
    <w:p>
      <w:pPr>
        <w:spacing w:before="0" w:after="200" w:line="240" w:lineRule="auto"/>
        <w:jc w:val="both"/>
      </w:pPr>
      <w:r>
        <w:rPr>
          <w:rFonts w:ascii="Century Gothic" w:hAnsi="Century Gothic" w:cs="Century Gothic" w:eastAsia="Century Gothic"/>
          <w:b/>
          <w:i w:val="0"/>
          <w:sz w:val="20"/>
        </w:rPr>
        <w:t>ARTÍCULO 68.- ÁREAS EXÁMENES DE GRADO</w:t>
      </w:r>
    </w:p>
    <w:p>
      <w:pPr>
        <w:spacing w:before="0" w:after="200" w:line="240" w:lineRule="auto"/>
        <w:jc w:val="both"/>
      </w:pPr>
      <w:r>
        <w:rPr>
          <w:rFonts w:ascii="Century Gothic" w:hAnsi="Century Gothic" w:cs="Century Gothic" w:eastAsia="Century Gothic"/>
          <w:b w:val="0"/>
          <w:i w:val="0"/>
          <w:sz w:val="20"/>
        </w:rPr>
        <w:t>Las asignaturas sujetas a Exámenes de Grado, comprenden los siguientes ciclos:</w:t>
      </w:r>
    </w:p>
    <w:p>
      <w:pPr>
        <w:numPr>
          <w:ilvl w:val="0"/>
          <w:numId w:val="930"/>
        </w:numPr>
        <w:spacing w:before="0" w:after="160" w:line="240" w:lineRule="auto"/>
        <w:jc w:val="both"/>
      </w:pPr>
      <w:r>
        <w:rPr>
          <w:rFonts w:ascii="Century Gothic" w:hAnsi="Century Gothic" w:cs="Century Gothic" w:eastAsia="Century Gothic"/>
          <w:b w:val="0"/>
          <w:i w:val="0"/>
          <w:sz w:val="20"/>
        </w:rPr>
        <w:t>Ciclo Básico de Información Financiera.</w:t>
      </w:r>
    </w:p>
    <w:p>
      <w:pPr>
        <w:numPr>
          <w:ilvl w:val="0"/>
          <w:numId w:val="930"/>
        </w:numPr>
        <w:spacing w:before="0" w:after="160" w:line="240" w:lineRule="auto"/>
        <w:jc w:val="both"/>
      </w:pPr>
      <w:r>
        <w:rPr>
          <w:rFonts w:ascii="Century Gothic" w:hAnsi="Century Gothic" w:cs="Century Gothic" w:eastAsia="Century Gothic"/>
          <w:b w:val="0"/>
          <w:i w:val="0"/>
          <w:sz w:val="20"/>
        </w:rPr>
        <w:t>Ciclo Especializado de Información Financiera.</w:t>
      </w:r>
    </w:p>
    <w:p>
      <w:pPr>
        <w:numPr>
          <w:ilvl w:val="0"/>
          <w:numId w:val="930"/>
        </w:numPr>
        <w:spacing w:before="0" w:after="200" w:line="240" w:lineRule="auto"/>
        <w:jc w:val="both"/>
      </w:pPr>
      <w:r>
        <w:rPr>
          <w:rFonts w:ascii="Century Gothic" w:hAnsi="Century Gothic" w:cs="Century Gothic" w:eastAsia="Century Gothic"/>
          <w:b w:val="0"/>
          <w:i w:val="0"/>
          <w:sz w:val="20"/>
        </w:rPr>
        <w:t>Ciclo de Servicios de Aseguramiento y no Aseguramiento.</w:t>
      </w:r>
    </w:p>
    <w:p>
      <w:pPr>
        <w:spacing w:before="0" w:after="200" w:line="240" w:lineRule="auto"/>
        <w:jc w:val="both"/>
      </w:pPr>
      <w:r>
        <w:rPr>
          <w:rFonts w:ascii="Century Gothic" w:hAnsi="Century Gothic" w:cs="Century Gothic" w:eastAsia="Century Gothic"/>
          <w:b w:val="0"/>
          <w:i w:val="0"/>
          <w:sz w:val="20"/>
        </w:rPr>
        <w:t>Los exámenes estarán sujetos a los programas y contenidos de las asignaturas que componen las áreas mencionadas.</w:t>
      </w:r>
    </w:p>
    <w:p>
      <w:pPr>
        <w:spacing w:before="0" w:after="200" w:line="240" w:lineRule="auto"/>
        <w:jc w:val="both"/>
      </w:pPr>
      <w:r>
        <w:rPr>
          <w:rFonts w:ascii="Century Gothic" w:hAnsi="Century Gothic" w:cs="Century Gothic" w:eastAsia="Century Gothic"/>
          <w:b/>
          <w:i w:val="0"/>
          <w:sz w:val="20"/>
        </w:rPr>
        <w:t>ARTÍCULO 69.- CICLO BÁSICO DE INFORMACIÓN FINANCIERA</w:t>
      </w:r>
    </w:p>
    <w:p>
      <w:pPr>
        <w:spacing w:before="0" w:after="200" w:line="240" w:lineRule="auto"/>
        <w:jc w:val="both"/>
      </w:pPr>
      <w:r>
        <w:rPr>
          <w:rFonts w:ascii="Century Gothic" w:hAnsi="Century Gothic" w:cs="Century Gothic" w:eastAsia="Century Gothic"/>
          <w:b w:val="0"/>
          <w:i w:val="0"/>
          <w:sz w:val="20"/>
        </w:rPr>
        <w:t>Integran el Ciclo Básico de Información Financiera, las siguientes asignaturas:</w:t>
      </w:r>
    </w:p>
    <w:p>
      <w:pPr>
        <w:numPr>
          <w:ilvl w:val="0"/>
          <w:numId w:val="931"/>
        </w:numPr>
        <w:spacing w:before="0" w:after="160" w:line="240" w:lineRule="auto"/>
        <w:jc w:val="both"/>
      </w:pPr>
      <w:r>
        <w:rPr>
          <w:rFonts w:ascii="Century Gothic" w:hAnsi="Century Gothic" w:cs="Century Gothic" w:eastAsia="Century Gothic"/>
          <w:b w:val="0"/>
          <w:i w:val="0"/>
          <w:sz w:val="20"/>
        </w:rPr>
        <w:t>Contabilidad Básica</w:t>
      </w:r>
    </w:p>
    <w:p>
      <w:pPr>
        <w:numPr>
          <w:ilvl w:val="0"/>
          <w:numId w:val="931"/>
        </w:numPr>
        <w:spacing w:before="0" w:after="160" w:line="240" w:lineRule="auto"/>
        <w:jc w:val="both"/>
      </w:pPr>
      <w:r>
        <w:rPr>
          <w:rFonts w:ascii="Century Gothic" w:hAnsi="Century Gothic" w:cs="Century Gothic" w:eastAsia="Century Gothic"/>
          <w:b w:val="0"/>
          <w:i w:val="0"/>
          <w:sz w:val="20"/>
        </w:rPr>
        <w:t>Contabilidad Intermedia</w:t>
      </w:r>
    </w:p>
    <w:p>
      <w:pPr>
        <w:numPr>
          <w:ilvl w:val="0"/>
          <w:numId w:val="931"/>
        </w:numPr>
        <w:spacing w:before="0" w:after="160" w:line="240" w:lineRule="auto"/>
        <w:jc w:val="both"/>
      </w:pPr>
      <w:r>
        <w:rPr>
          <w:rFonts w:ascii="Century Gothic" w:hAnsi="Century Gothic" w:cs="Century Gothic" w:eastAsia="Century Gothic"/>
          <w:b w:val="0"/>
          <w:i w:val="0"/>
          <w:sz w:val="20"/>
        </w:rPr>
        <w:t>Contabilidad de Sociedades</w:t>
      </w:r>
    </w:p>
    <w:p>
      <w:pPr>
        <w:numPr>
          <w:ilvl w:val="0"/>
          <w:numId w:val="931"/>
        </w:numPr>
        <w:spacing w:before="0" w:after="160" w:line="240" w:lineRule="auto"/>
        <w:jc w:val="both"/>
      </w:pPr>
      <w:r>
        <w:rPr>
          <w:rFonts w:ascii="Century Gothic" w:hAnsi="Century Gothic" w:cs="Century Gothic" w:eastAsia="Century Gothic"/>
          <w:b w:val="0"/>
          <w:i w:val="0"/>
          <w:sz w:val="20"/>
        </w:rPr>
        <w:t>Contabilidad de Tributos</w:t>
      </w:r>
    </w:p>
    <w:p>
      <w:pPr>
        <w:numPr>
          <w:ilvl w:val="0"/>
          <w:numId w:val="931"/>
        </w:numPr>
        <w:spacing w:before="0" w:after="160" w:line="240" w:lineRule="auto"/>
        <w:jc w:val="both"/>
      </w:pPr>
      <w:r>
        <w:rPr>
          <w:rFonts w:ascii="Century Gothic" w:hAnsi="Century Gothic" w:cs="Century Gothic" w:eastAsia="Century Gothic"/>
          <w:b w:val="0"/>
          <w:i w:val="0"/>
          <w:sz w:val="20"/>
        </w:rPr>
        <w:t>Contabilidad Internacional</w:t>
      </w:r>
    </w:p>
    <w:p>
      <w:pPr>
        <w:numPr>
          <w:ilvl w:val="0"/>
          <w:numId w:val="931"/>
        </w:numPr>
        <w:spacing w:before="0" w:after="200" w:line="240" w:lineRule="auto"/>
        <w:jc w:val="both"/>
      </w:pPr>
      <w:r>
        <w:rPr>
          <w:rFonts w:ascii="Century Gothic" w:hAnsi="Century Gothic" w:cs="Century Gothic" w:eastAsia="Century Gothic"/>
          <w:b w:val="0"/>
          <w:i w:val="0"/>
          <w:sz w:val="20"/>
        </w:rPr>
        <w:t>Contabilidad de Costos y Gestión</w:t>
      </w:r>
    </w:p>
    <w:p>
      <w:pPr>
        <w:spacing w:before="0" w:after="200" w:line="240" w:lineRule="auto"/>
        <w:jc w:val="both"/>
      </w:pPr>
      <w:r>
        <w:rPr>
          <w:rFonts w:ascii="Century Gothic" w:hAnsi="Century Gothic" w:cs="Century Gothic" w:eastAsia="Century Gothic"/>
          <w:b/>
          <w:i w:val="0"/>
          <w:sz w:val="20"/>
        </w:rPr>
        <w:t>ARTÍCULO 70.- CICLO ESPECIALIZADO DE INFORMACIÓN FINANCIERA</w:t>
      </w:r>
    </w:p>
    <w:p>
      <w:pPr>
        <w:spacing w:before="0" w:after="200" w:line="240" w:lineRule="auto"/>
        <w:jc w:val="both"/>
      </w:pPr>
      <w:r>
        <w:rPr>
          <w:rFonts w:ascii="Century Gothic" w:hAnsi="Century Gothic" w:cs="Century Gothic" w:eastAsia="Century Gothic"/>
          <w:b w:val="0"/>
          <w:i w:val="0"/>
          <w:sz w:val="20"/>
        </w:rPr>
        <w:t>Integran el Ciclo Especializado de información Financiera, las siguientes asignaturas:</w:t>
      </w:r>
    </w:p>
    <w:p>
      <w:pPr>
        <w:numPr>
          <w:ilvl w:val="0"/>
          <w:numId w:val="932"/>
        </w:numPr>
        <w:spacing w:before="0" w:after="160" w:line="240" w:lineRule="auto"/>
        <w:jc w:val="both"/>
      </w:pPr>
      <w:r>
        <w:rPr>
          <w:rFonts w:ascii="Century Gothic" w:hAnsi="Century Gothic" w:cs="Century Gothic" w:eastAsia="Century Gothic"/>
          <w:b w:val="0"/>
          <w:i w:val="0"/>
          <w:sz w:val="20"/>
        </w:rPr>
        <w:t>Contabilidad de Bancos y Entidades Financieras</w:t>
      </w:r>
    </w:p>
    <w:p>
      <w:pPr>
        <w:numPr>
          <w:ilvl w:val="0"/>
          <w:numId w:val="932"/>
        </w:numPr>
        <w:spacing w:before="0" w:after="160" w:line="240" w:lineRule="auto"/>
        <w:jc w:val="both"/>
      </w:pPr>
      <w:r>
        <w:rPr>
          <w:rFonts w:ascii="Century Gothic" w:hAnsi="Century Gothic" w:cs="Century Gothic" w:eastAsia="Century Gothic"/>
          <w:b w:val="0"/>
          <w:i w:val="0"/>
          <w:sz w:val="20"/>
        </w:rPr>
        <w:t>Contabilidad de Seguros: Privado y Social</w:t>
      </w:r>
    </w:p>
    <w:p>
      <w:pPr>
        <w:numPr>
          <w:ilvl w:val="0"/>
          <w:numId w:val="932"/>
        </w:numPr>
        <w:spacing w:before="0" w:after="160" w:line="240" w:lineRule="auto"/>
        <w:jc w:val="both"/>
      </w:pPr>
      <w:r>
        <w:rPr>
          <w:rFonts w:ascii="Century Gothic" w:hAnsi="Century Gothic" w:cs="Century Gothic" w:eastAsia="Century Gothic"/>
          <w:b w:val="0"/>
          <w:i w:val="0"/>
          <w:sz w:val="20"/>
        </w:rPr>
        <w:t>Contabilidad Minera y Petrolera</w:t>
      </w:r>
    </w:p>
    <w:p>
      <w:pPr>
        <w:numPr>
          <w:ilvl w:val="0"/>
          <w:numId w:val="932"/>
        </w:numPr>
        <w:spacing w:before="0" w:after="160" w:line="240" w:lineRule="auto"/>
        <w:jc w:val="both"/>
      </w:pPr>
      <w:r>
        <w:rPr>
          <w:rFonts w:ascii="Century Gothic" w:hAnsi="Century Gothic" w:cs="Century Gothic" w:eastAsia="Century Gothic"/>
          <w:b w:val="0"/>
          <w:i w:val="0"/>
          <w:sz w:val="20"/>
        </w:rPr>
        <w:t>Contabilidad Agrícola y Ganadera</w:t>
      </w:r>
    </w:p>
    <w:p>
      <w:pPr>
        <w:numPr>
          <w:ilvl w:val="0"/>
          <w:numId w:val="932"/>
        </w:numPr>
        <w:spacing w:before="0" w:after="160" w:line="240" w:lineRule="auto"/>
        <w:jc w:val="both"/>
      </w:pPr>
      <w:r>
        <w:rPr>
          <w:rFonts w:ascii="Century Gothic" w:hAnsi="Century Gothic" w:cs="Century Gothic" w:eastAsia="Century Gothic"/>
          <w:b w:val="0"/>
          <w:i w:val="0"/>
          <w:sz w:val="20"/>
        </w:rPr>
        <w:t>Presupuestos y Contabilidad Gubernamental</w:t>
      </w:r>
    </w:p>
    <w:p>
      <w:pPr>
        <w:numPr>
          <w:ilvl w:val="0"/>
          <w:numId w:val="932"/>
        </w:numPr>
        <w:spacing w:before="0" w:after="200" w:line="240" w:lineRule="auto"/>
        <w:jc w:val="both"/>
      </w:pPr>
      <w:r>
        <w:rPr>
          <w:rFonts w:ascii="Century Gothic" w:hAnsi="Century Gothic" w:cs="Century Gothic" w:eastAsia="Century Gothic"/>
          <w:b w:val="0"/>
          <w:i w:val="0"/>
          <w:sz w:val="20"/>
        </w:rPr>
        <w:t>Finanzas Corporativas</w:t>
      </w:r>
    </w:p>
    <w:p>
      <w:pPr>
        <w:spacing w:before="0" w:after="200" w:line="240" w:lineRule="auto"/>
        <w:jc w:val="both"/>
      </w:pPr>
      <w:r>
        <w:rPr>
          <w:rFonts w:ascii="Century Gothic" w:hAnsi="Century Gothic" w:cs="Century Gothic" w:eastAsia="Century Gothic"/>
          <w:b/>
          <w:i w:val="0"/>
          <w:sz w:val="20"/>
        </w:rPr>
        <w:t>ARTÍCULO 71.- CICLO DE SERVICIOS DE ASEGURAMIENTO Y NO ASEGURAMIENTO</w:t>
      </w:r>
    </w:p>
    <w:p>
      <w:pPr>
        <w:spacing w:before="0" w:after="200" w:line="240" w:lineRule="auto"/>
        <w:jc w:val="both"/>
      </w:pPr>
      <w:r>
        <w:rPr>
          <w:rFonts w:ascii="Century Gothic" w:hAnsi="Century Gothic" w:cs="Century Gothic" w:eastAsia="Century Gothic"/>
          <w:b w:val="0"/>
          <w:i w:val="0"/>
          <w:sz w:val="20"/>
        </w:rPr>
        <w:t>Integran el Ciclo de Servicios de Aseguramiento y no Aseguramiento, las siguientes asignaturas:</w:t>
      </w:r>
    </w:p>
    <w:p>
      <w:pPr>
        <w:numPr>
          <w:ilvl w:val="0"/>
          <w:numId w:val="933"/>
        </w:numPr>
        <w:spacing w:before="0" w:after="160" w:line="240" w:lineRule="auto"/>
        <w:jc w:val="both"/>
      </w:pPr>
      <w:r>
        <w:rPr>
          <w:rFonts w:ascii="Century Gothic" w:hAnsi="Century Gothic" w:cs="Century Gothic" w:eastAsia="Century Gothic"/>
          <w:b w:val="0"/>
          <w:i w:val="0"/>
          <w:sz w:val="20"/>
        </w:rPr>
        <w:t>Auditoria Financiera</w:t>
      </w:r>
    </w:p>
    <w:p>
      <w:pPr>
        <w:numPr>
          <w:ilvl w:val="0"/>
          <w:numId w:val="933"/>
        </w:numPr>
        <w:spacing w:before="0" w:after="160" w:line="240" w:lineRule="auto"/>
        <w:jc w:val="both"/>
      </w:pPr>
      <w:r>
        <w:rPr>
          <w:rFonts w:ascii="Century Gothic" w:hAnsi="Century Gothic" w:cs="Century Gothic" w:eastAsia="Century Gothic"/>
          <w:b w:val="0"/>
          <w:i w:val="0"/>
          <w:sz w:val="20"/>
        </w:rPr>
        <w:t>Auditoría Interna, Control Interno y Gestión de Riesgos</w:t>
      </w:r>
    </w:p>
    <w:p>
      <w:pPr>
        <w:numPr>
          <w:ilvl w:val="0"/>
          <w:numId w:val="933"/>
        </w:numPr>
        <w:spacing w:before="0" w:after="160" w:line="240" w:lineRule="auto"/>
        <w:jc w:val="both"/>
      </w:pPr>
      <w:r>
        <w:rPr>
          <w:rFonts w:ascii="Century Gothic" w:hAnsi="Century Gothic" w:cs="Century Gothic" w:eastAsia="Century Gothic"/>
          <w:b w:val="0"/>
          <w:i w:val="0"/>
          <w:sz w:val="20"/>
        </w:rPr>
        <w:t>Auditoria Operativa</w:t>
      </w:r>
    </w:p>
    <w:p>
      <w:pPr>
        <w:numPr>
          <w:ilvl w:val="0"/>
          <w:numId w:val="933"/>
        </w:numPr>
        <w:spacing w:before="0" w:after="160" w:line="240" w:lineRule="auto"/>
        <w:jc w:val="both"/>
      </w:pPr>
      <w:r>
        <w:rPr>
          <w:rFonts w:ascii="Century Gothic" w:hAnsi="Century Gothic" w:cs="Century Gothic" w:eastAsia="Century Gothic"/>
          <w:b w:val="0"/>
          <w:i w:val="0"/>
          <w:sz w:val="20"/>
        </w:rPr>
        <w:t>Auditoria Gubernamental</w:t>
      </w:r>
    </w:p>
    <w:p>
      <w:pPr>
        <w:numPr>
          <w:ilvl w:val="0"/>
          <w:numId w:val="933"/>
        </w:numPr>
        <w:spacing w:before="0" w:after="160" w:line="240" w:lineRule="auto"/>
        <w:jc w:val="both"/>
      </w:pPr>
      <w:r>
        <w:rPr>
          <w:rFonts w:ascii="Century Gothic" w:hAnsi="Century Gothic" w:cs="Century Gothic" w:eastAsia="Century Gothic"/>
          <w:b w:val="0"/>
          <w:i w:val="0"/>
          <w:sz w:val="20"/>
        </w:rPr>
        <w:t>Auditoria Tributaria</w:t>
      </w:r>
    </w:p>
    <w:p>
      <w:pPr>
        <w:numPr>
          <w:ilvl w:val="0"/>
          <w:numId w:val="933"/>
        </w:numPr>
        <w:spacing w:before="0" w:after="160" w:line="240" w:lineRule="auto"/>
        <w:jc w:val="both"/>
      </w:pPr>
      <w:r>
        <w:rPr>
          <w:rFonts w:ascii="Century Gothic" w:hAnsi="Century Gothic" w:cs="Century Gothic" w:eastAsia="Century Gothic"/>
          <w:b w:val="0"/>
          <w:i w:val="0"/>
          <w:sz w:val="20"/>
        </w:rPr>
        <w:t>Auditoria de Proyectos Público y Privado</w:t>
      </w:r>
    </w:p>
    <w:p>
      <w:pPr>
        <w:numPr>
          <w:ilvl w:val="0"/>
          <w:numId w:val="933"/>
        </w:numPr>
        <w:spacing w:before="0" w:after="200" w:line="240" w:lineRule="auto"/>
        <w:jc w:val="both"/>
      </w:pPr>
      <w:r>
        <w:rPr>
          <w:rFonts w:ascii="Century Gothic" w:hAnsi="Century Gothic" w:cs="Century Gothic" w:eastAsia="Century Gothic"/>
          <w:b w:val="0"/>
          <w:i w:val="0"/>
          <w:sz w:val="20"/>
        </w:rPr>
        <w:t>Auditoría de Entidades Financieras</w:t>
      </w:r>
    </w:p>
    <w:p>
      <w:pPr>
        <w:spacing w:before="0" w:after="200" w:line="240" w:lineRule="auto"/>
        <w:jc w:val="both"/>
      </w:pPr>
      <w:r>
        <w:rPr>
          <w:rFonts w:ascii="Century Gothic" w:hAnsi="Century Gothic" w:cs="Century Gothic" w:eastAsia="Century Gothic"/>
          <w:b/>
          <w:i w:val="0"/>
          <w:sz w:val="20"/>
        </w:rPr>
        <w:t>ARTÍCULO 72.- TRIBUNAL EXAMINADOR</w:t>
      </w:r>
    </w:p>
    <w:p>
      <w:pPr>
        <w:spacing w:before="0" w:after="200" w:line="240" w:lineRule="auto"/>
        <w:jc w:val="both"/>
      </w:pPr>
      <w:r>
        <w:rPr>
          <w:rFonts w:ascii="Century Gothic" w:hAnsi="Century Gothic" w:cs="Century Gothic" w:eastAsia="Century Gothic"/>
          <w:b w:val="0"/>
          <w:i w:val="0"/>
          <w:sz w:val="20"/>
        </w:rPr>
        <w:t>El Director de la Carrera conformará un Tribunal Examinador para los Exámenes de Grado, el cual estará conformado por Docentes Titulares y/o Interinos de la Carrera en las asignaturas descritas en Artículos 69, 70 y 71 anteriores. Debido a la cantidad de Tribunales Examinadores, se nombrará una comisión para cada área, que rotará en cada examen, integrada por:</w:t>
      </w:r>
    </w:p>
    <w:p>
      <w:pPr>
        <w:numPr>
          <w:ilvl w:val="0"/>
          <w:numId w:val="934"/>
        </w:numPr>
        <w:spacing w:before="0" w:after="160" w:line="240" w:lineRule="auto"/>
        <w:jc w:val="both"/>
      </w:pPr>
      <w:r>
        <w:rPr>
          <w:rFonts w:ascii="Century Gothic" w:hAnsi="Century Gothic" w:cs="Century Gothic" w:eastAsia="Century Gothic"/>
          <w:b w:val="0"/>
          <w:i w:val="0"/>
          <w:sz w:val="20"/>
        </w:rPr>
        <w:t>Presidente del Tribunal</w:t>
      </w:r>
    </w:p>
    <w:p>
      <w:pPr>
        <w:numPr>
          <w:ilvl w:val="0"/>
          <w:numId w:val="934"/>
        </w:numPr>
        <w:spacing w:before="0" w:after="160" w:line="240" w:lineRule="auto"/>
        <w:jc w:val="both"/>
      </w:pPr>
      <w:r>
        <w:rPr>
          <w:rFonts w:ascii="Century Gothic" w:hAnsi="Century Gothic" w:cs="Century Gothic" w:eastAsia="Century Gothic"/>
          <w:b w:val="0"/>
          <w:i w:val="0"/>
          <w:sz w:val="20"/>
        </w:rPr>
        <w:t>Secretario de Actas</w:t>
      </w:r>
    </w:p>
    <w:p>
      <w:pPr>
        <w:numPr>
          <w:ilvl w:val="0"/>
          <w:numId w:val="934"/>
        </w:numPr>
        <w:spacing w:before="0" w:after="200" w:line="240" w:lineRule="auto"/>
        <w:jc w:val="both"/>
      </w:pPr>
      <w:r>
        <w:rPr>
          <w:rFonts w:ascii="Century Gothic" w:hAnsi="Century Gothic" w:cs="Century Gothic" w:eastAsia="Century Gothic"/>
          <w:b w:val="0"/>
          <w:i w:val="0"/>
          <w:sz w:val="20"/>
        </w:rPr>
        <w:t>Vocales (Docentes del Área, no designados en las anteriores carteras)</w:t>
      </w:r>
    </w:p>
    <w:p>
      <w:pPr>
        <w:spacing w:before="0" w:after="200" w:line="240" w:lineRule="auto"/>
        <w:jc w:val="both"/>
      </w:pPr>
      <w:r>
        <w:rPr>
          <w:rFonts w:ascii="Century Gothic" w:hAnsi="Century Gothic" w:cs="Century Gothic" w:eastAsia="Century Gothic"/>
          <w:b w:val="0"/>
          <w:i w:val="0"/>
          <w:sz w:val="20"/>
        </w:rPr>
        <w:t>Adicionalmente, el Director de la Carrera, nombrará a dos (2) Docentes Titulares y/o Interinos de la Carrera para que realicen el sorteo de asignaturas (bolos), una hora antes de empezar el examen.</w:t>
      </w:r>
    </w:p>
    <w:p>
      <w:pPr>
        <w:spacing w:before="0" w:after="200" w:line="240" w:lineRule="auto"/>
        <w:jc w:val="both"/>
      </w:pPr>
      <w:r>
        <w:rPr>
          <w:rFonts w:ascii="Century Gothic" w:hAnsi="Century Gothic" w:cs="Century Gothic" w:eastAsia="Century Gothic"/>
          <w:b w:val="0"/>
          <w:i w:val="0"/>
          <w:sz w:val="20"/>
        </w:rPr>
        <w:t>La comisión citada es responsable, bajo la supervisión del Director de la Carrera, por el impecable desarrollo de los Exámenes de Grado.</w:t>
      </w:r>
    </w:p>
    <w:p>
      <w:pPr>
        <w:spacing w:before="0" w:after="200" w:line="240" w:lineRule="auto"/>
        <w:jc w:val="both"/>
      </w:pPr>
      <w:r>
        <w:rPr>
          <w:rFonts w:ascii="Century Gothic" w:hAnsi="Century Gothic" w:cs="Century Gothic" w:eastAsia="Century Gothic"/>
          <w:b/>
          <w:i w:val="0"/>
          <w:sz w:val="20"/>
        </w:rPr>
        <w:t>ARTÍCULO 73.- METODOLOGÍA</w:t>
      </w:r>
    </w:p>
    <w:p>
      <w:pPr>
        <w:spacing w:before="0" w:after="200" w:line="240" w:lineRule="auto"/>
        <w:jc w:val="both"/>
      </w:pPr>
      <w:r>
        <w:rPr>
          <w:rFonts w:ascii="Century Gothic" w:hAnsi="Century Gothic" w:cs="Century Gothic" w:eastAsia="Century Gothic"/>
          <w:b w:val="0"/>
          <w:i w:val="0"/>
          <w:sz w:val="20"/>
        </w:rPr>
        <w:t>Los Exámenes de Grado para los ciclos y asignaturas descritas en Artículos 42, 43 y 44 se efectuarán:</w:t>
      </w:r>
    </w:p>
    <w:p>
      <w:pPr>
        <w:numPr>
          <w:ilvl w:val="0"/>
          <w:numId w:val="935"/>
        </w:numPr>
        <w:spacing w:before="0" w:after="160" w:line="240" w:lineRule="auto"/>
        <w:jc w:val="both"/>
      </w:pPr>
      <w:r>
        <w:rPr>
          <w:rFonts w:ascii="Century Gothic" w:hAnsi="Century Gothic" w:cs="Century Gothic" w:eastAsia="Century Gothic"/>
          <w:b w:val="0"/>
          <w:i w:val="0"/>
          <w:sz w:val="20"/>
        </w:rPr>
        <w:t>Durante 3 (tres) semanas continuas, los cuales serán programados con un intervalo mínimo de una semana.</w:t>
      </w:r>
    </w:p>
    <w:p>
      <w:pPr>
        <w:numPr>
          <w:ilvl w:val="0"/>
          <w:numId w:val="935"/>
        </w:numPr>
        <w:spacing w:before="0" w:after="160" w:line="240" w:lineRule="auto"/>
        <w:jc w:val="both"/>
      </w:pPr>
      <w:r>
        <w:rPr>
          <w:rFonts w:ascii="Century Gothic" w:hAnsi="Century Gothic" w:cs="Century Gothic" w:eastAsia="Century Gothic"/>
          <w:b w:val="0"/>
          <w:i w:val="0"/>
          <w:sz w:val="20"/>
        </w:rPr>
        <w:t>Primera Semana: Ciclo Básico de Información Financiera, Segunda Semana: Ciclo Especializado de Información Financiera y Tercera Semana: Ciclo de Servicios de Aseguramiento y no Aseguramiento.</w:t>
      </w:r>
    </w:p>
    <w:p>
      <w:pPr>
        <w:numPr>
          <w:ilvl w:val="0"/>
          <w:numId w:val="935"/>
        </w:numPr>
        <w:spacing w:before="0" w:after="160" w:line="240" w:lineRule="auto"/>
        <w:jc w:val="both"/>
      </w:pPr>
      <w:r>
        <w:rPr>
          <w:rFonts w:ascii="Century Gothic" w:hAnsi="Century Gothic" w:cs="Century Gothic" w:eastAsia="Century Gothic"/>
          <w:b w:val="0"/>
          <w:i w:val="0"/>
          <w:sz w:val="20"/>
        </w:rPr>
        <w:t>En los diferentes ciclos de exámenes de grado, se efectuará el sorteo de asignaturas (bolos) una hora antes del examen, a cargo de la Comisión designada para el efecto, quienes además velarán por la transparencia de dicha actividad.</w:t>
      </w:r>
    </w:p>
    <w:p>
      <w:pPr>
        <w:numPr>
          <w:ilvl w:val="0"/>
          <w:numId w:val="935"/>
        </w:numPr>
        <w:spacing w:before="0" w:after="200" w:line="240" w:lineRule="auto"/>
        <w:jc w:val="both"/>
      </w:pPr>
      <w:r>
        <w:rPr>
          <w:rFonts w:ascii="Century Gothic" w:hAnsi="Century Gothic" w:cs="Century Gothic" w:eastAsia="Century Gothic"/>
          <w:b w:val="0"/>
          <w:i w:val="0"/>
          <w:sz w:val="20"/>
        </w:rPr>
        <w:t>Los Postulantes podrán levantar dos (2) bolos, de los cuales sólo podrá elegir uno (1) con la finalidad de ser evaluado.</w:t>
      </w:r>
    </w:p>
    <w:p>
      <w:pPr>
        <w:spacing w:before="0" w:after="200" w:line="240" w:lineRule="auto"/>
        <w:jc w:val="both"/>
      </w:pPr>
      <w:r>
        <w:rPr>
          <w:rFonts w:ascii="Century Gothic" w:hAnsi="Century Gothic" w:cs="Century Gothic" w:eastAsia="Century Gothic"/>
          <w:b/>
          <w:i w:val="0"/>
          <w:sz w:val="20"/>
        </w:rPr>
        <w:t>ARTÍCULO 74.- DESARROLLO EXÁMENES DE GRADO</w:t>
      </w:r>
    </w:p>
    <w:p>
      <w:pPr>
        <w:spacing w:before="0" w:after="200" w:line="240" w:lineRule="auto"/>
        <w:jc w:val="both"/>
      </w:pPr>
      <w:r>
        <w:rPr>
          <w:rFonts w:ascii="Century Gothic" w:hAnsi="Century Gothic" w:cs="Century Gothic" w:eastAsia="Century Gothic"/>
          <w:b w:val="0"/>
          <w:i w:val="0"/>
          <w:sz w:val="20"/>
        </w:rPr>
        <w:t>Los Exámenes de Grado se desarrollarán conforme el siguiente procedimiento:</w:t>
      </w:r>
    </w:p>
    <w:p>
      <w:pPr>
        <w:numPr>
          <w:ilvl w:val="0"/>
          <w:numId w:val="936"/>
        </w:numPr>
        <w:spacing w:before="0" w:after="160" w:line="240" w:lineRule="auto"/>
        <w:jc w:val="both"/>
      </w:pPr>
      <w:r>
        <w:rPr>
          <w:rFonts w:ascii="Century Gothic" w:hAnsi="Century Gothic" w:cs="Century Gothic" w:eastAsia="Century Gothic"/>
          <w:b w:val="0"/>
          <w:i w:val="0"/>
          <w:sz w:val="20"/>
        </w:rPr>
        <w:t>Los Postulantes se presentarán el día señalado, una hora antes de la evaluación.</w:t>
      </w:r>
    </w:p>
    <w:p>
      <w:pPr>
        <w:numPr>
          <w:ilvl w:val="0"/>
          <w:numId w:val="936"/>
        </w:numPr>
        <w:spacing w:before="0" w:after="160" w:line="240" w:lineRule="auto"/>
        <w:jc w:val="both"/>
      </w:pPr>
      <w:r>
        <w:rPr>
          <w:rFonts w:ascii="Century Gothic" w:hAnsi="Century Gothic" w:cs="Century Gothic" w:eastAsia="Century Gothic"/>
          <w:b w:val="0"/>
          <w:i w:val="0"/>
          <w:sz w:val="20"/>
        </w:rPr>
        <w:t>Se instala el Tribunal Examinador, con la presencia de todos los Docentes designados oportunamente, para dar inicio al acto académico.</w:t>
      </w:r>
    </w:p>
    <w:p>
      <w:pPr>
        <w:numPr>
          <w:ilvl w:val="0"/>
          <w:numId w:val="936"/>
        </w:numPr>
        <w:spacing w:before="0" w:after="160" w:line="240" w:lineRule="auto"/>
        <w:jc w:val="both"/>
      </w:pPr>
      <w:r>
        <w:rPr>
          <w:rFonts w:ascii="Century Gothic" w:hAnsi="Century Gothic" w:cs="Century Gothic" w:eastAsia="Century Gothic"/>
          <w:b w:val="0"/>
          <w:i w:val="0"/>
          <w:sz w:val="20"/>
        </w:rPr>
        <w:t>En ausencia del Presidente del Tribunal, asume el Secretario de Actas y Vocal asume la Secretaría de Actas.</w:t>
      </w:r>
    </w:p>
    <w:p>
      <w:pPr>
        <w:numPr>
          <w:ilvl w:val="0"/>
          <w:numId w:val="936"/>
        </w:numPr>
        <w:spacing w:before="0" w:after="160" w:line="240" w:lineRule="auto"/>
        <w:jc w:val="both"/>
      </w:pPr>
      <w:r>
        <w:rPr>
          <w:rFonts w:ascii="Century Gothic" w:hAnsi="Century Gothic" w:cs="Century Gothic" w:eastAsia="Century Gothic"/>
          <w:b w:val="0"/>
          <w:i w:val="0"/>
          <w:sz w:val="20"/>
        </w:rPr>
        <w:t>El Tribunal Examinador concederá a los Postulantes el tiempo de noventa (90) minutos para efectuar el desarrollo de las pruebas.</w:t>
      </w:r>
    </w:p>
    <w:p>
      <w:pPr>
        <w:numPr>
          <w:ilvl w:val="0"/>
          <w:numId w:val="936"/>
        </w:numPr>
        <w:spacing w:before="0" w:after="160" w:line="240" w:lineRule="auto"/>
        <w:jc w:val="both"/>
      </w:pPr>
      <w:r>
        <w:rPr>
          <w:rFonts w:ascii="Century Gothic" w:hAnsi="Century Gothic" w:cs="Century Gothic" w:eastAsia="Century Gothic"/>
          <w:b w:val="0"/>
          <w:i w:val="0"/>
          <w:sz w:val="20"/>
        </w:rPr>
        <w:t>Los miembros del Tribunal Examinador no deben abandonar el aula donde se recibe el Examen de Grado, hasta que concluya dicho acto académico.</w:t>
      </w:r>
    </w:p>
    <w:p>
      <w:pPr>
        <w:numPr>
          <w:ilvl w:val="0"/>
          <w:numId w:val="936"/>
        </w:numPr>
        <w:spacing w:before="0" w:after="160" w:line="240" w:lineRule="auto"/>
        <w:jc w:val="both"/>
      </w:pPr>
      <w:r>
        <w:rPr>
          <w:rFonts w:ascii="Century Gothic" w:hAnsi="Century Gothic" w:cs="Century Gothic" w:eastAsia="Century Gothic"/>
          <w:b w:val="0"/>
          <w:i w:val="0"/>
          <w:sz w:val="20"/>
        </w:rPr>
        <w:t>Concluido el tiempo de noventa (90) minutos, se procederá a recoger los exámenes y el Presidente del Tribunal declarará cuarto intermedio, y en sesión reservada los miembros del Tribunal procederán a evaluar los exámenes.</w:t>
      </w:r>
    </w:p>
    <w:p>
      <w:pPr>
        <w:numPr>
          <w:ilvl w:val="0"/>
          <w:numId w:val="936"/>
        </w:numPr>
        <w:spacing w:before="0" w:after="160" w:line="240" w:lineRule="auto"/>
        <w:jc w:val="both"/>
      </w:pPr>
      <w:r>
        <w:rPr>
          <w:rFonts w:ascii="Century Gothic" w:hAnsi="Century Gothic" w:cs="Century Gothic" w:eastAsia="Century Gothic"/>
          <w:b w:val="0"/>
          <w:i w:val="0"/>
          <w:sz w:val="20"/>
        </w:rPr>
        <w:t>Los exámenes necesariamente deben incluir la nota de por lo menos tres (3) miembros del Tribunal Examinador.</w:t>
      </w:r>
    </w:p>
    <w:p>
      <w:pPr>
        <w:numPr>
          <w:ilvl w:val="0"/>
          <w:numId w:val="936"/>
        </w:numPr>
        <w:spacing w:before="0" w:after="160" w:line="240" w:lineRule="auto"/>
        <w:jc w:val="both"/>
      </w:pPr>
      <w:r>
        <w:rPr>
          <w:rFonts w:ascii="Century Gothic" w:hAnsi="Century Gothic" w:cs="Century Gothic" w:eastAsia="Century Gothic"/>
          <w:b w:val="0"/>
          <w:i w:val="0"/>
          <w:sz w:val="20"/>
        </w:rPr>
        <w:t>El Secretario de Actas, preparará el Acta de Examen de Grado, consignando la calificación obtenida por los Postulantes, la cual estará refrendada con las firmas de todos los miembros del Tribunal Examinador.</w:t>
      </w:r>
    </w:p>
    <w:p>
      <w:pPr>
        <w:numPr>
          <w:ilvl w:val="0"/>
          <w:numId w:val="936"/>
        </w:numPr>
        <w:spacing w:before="0" w:after="200" w:line="240" w:lineRule="auto"/>
        <w:jc w:val="both"/>
      </w:pPr>
      <w:r>
        <w:rPr>
          <w:rFonts w:ascii="Century Gothic" w:hAnsi="Century Gothic" w:cs="Century Gothic" w:eastAsia="Century Gothic"/>
          <w:b w:val="0"/>
          <w:i w:val="0"/>
          <w:sz w:val="20"/>
        </w:rPr>
        <w:t>El Presidente del Tribunal, reiniciará el acto académico, pidiendo lectura del Acta de Examen de Grado al Secretario de Actas y luego proceder a su clausura.</w:t>
      </w:r>
    </w:p>
    <w:p>
      <w:pPr>
        <w:spacing w:before="0" w:after="200" w:line="240" w:lineRule="auto"/>
        <w:jc w:val="both"/>
      </w:pPr>
      <w:r>
        <w:rPr>
          <w:rFonts w:ascii="Century Gothic" w:hAnsi="Century Gothic" w:cs="Century Gothic" w:eastAsia="Century Gothic"/>
          <w:b/>
          <w:i w:val="0"/>
          <w:sz w:val="20"/>
        </w:rPr>
        <w:t>ARTÍCULO 75.- PROCESO DE EVALUACIÓN EXÁMENES DE GRADO</w:t>
      </w:r>
    </w:p>
    <w:p>
      <w:pPr>
        <w:spacing w:before="0" w:after="200" w:line="240" w:lineRule="auto"/>
        <w:jc w:val="both"/>
      </w:pPr>
      <w:r>
        <w:rPr>
          <w:rFonts w:ascii="Century Gothic" w:hAnsi="Century Gothic" w:cs="Century Gothic" w:eastAsia="Century Gothic"/>
          <w:b w:val="0"/>
          <w:i w:val="0"/>
          <w:sz w:val="20"/>
        </w:rPr>
        <w:t>Durante el cuarto intermedio, el Tribunal Examinador sesionará a puerta cerrada y determinará la calificación final, cuantitativa y cualitativa obtenida por los Postulantes, de acuerdo a la siguiente Escala cuantitativa y cualitativa:</w:t>
      </w:r>
    </w:p>
    <w:tbl>
      <w:tblPr>
        <w:tblW w:type="auto" w:w="0"/>
        <w:jc w:val="center"/>
        <w:tblLayout w:type="fixed"/>
        <w:tblLook w:firstColumn="1" w:firstRow="1" w:lastColumn="0" w:lastRow="0" w:noHBand="0" w:noVBand="1" w:val="04A0"/>
      </w:tblPr>
      <w:tblGrid>
        <w:gridCol w:w="5314"/>
        <w:gridCol w:w="3757"/>
      </w:tblGrid>
      <w:tr>
        <w:trPr>
          <w:tblHeader/>
        </w:trPr>
        <w:tc>
          <w:tcPr>
            <w:tcW w:type="dxa" w:w="53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3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Reprobado</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 50</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Bueno</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 70</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Sobresaliente</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 89</w:t>
            </w:r>
          </w:p>
        </w:tc>
      </w:tr>
      <w:tr>
        <w:tc>
          <w:tcPr>
            <w:tcW w:type="dxa" w:w="53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Excelencia</w:t>
            </w:r>
          </w:p>
        </w:tc>
        <w:tc>
          <w:tcPr>
            <w:tcW w:type="dxa" w:w="3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 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Si en el transcurso de las convocatorias en las que el postulante se presente, reprueba tres veces un mismo Ciclo, queda inhabilitado para la modalidad de Examen de Grado, debiendo optar por otra Modalidad de Graduación.</w:t>
      </w:r>
    </w:p>
    <w:p>
      <w:pPr>
        <w:spacing w:before="0" w:after="200" w:line="240" w:lineRule="auto"/>
        <w:jc w:val="both"/>
      </w:pPr>
      <w:r>
        <w:rPr>
          <w:rFonts w:ascii="Century Gothic" w:hAnsi="Century Gothic" w:cs="Century Gothic" w:eastAsia="Century Gothic"/>
          <w:b/>
          <w:i w:val="0"/>
          <w:sz w:val="20"/>
        </w:rPr>
        <w:t>ARTÍCULO 76.- INASISTENCIA DE MIEMBROS DE TRIBUNALES</w:t>
      </w:r>
    </w:p>
    <w:p>
      <w:pPr>
        <w:spacing w:before="0" w:after="200" w:line="240" w:lineRule="auto"/>
        <w:jc w:val="both"/>
      </w:pPr>
      <w:r>
        <w:rPr>
          <w:rFonts w:ascii="Century Gothic" w:hAnsi="Century Gothic" w:cs="Century Gothic" w:eastAsia="Century Gothic"/>
          <w:b w:val="0"/>
          <w:i w:val="0"/>
          <w:sz w:val="20"/>
        </w:rPr>
        <w:t>Debido a ser una obligación de todo Docente y en particular del designado como Tribunal Examinador, cumplir con sus funciones. En caso de no existir quórum necesario (mínimo cuatro tribunales), se suspenderá el Examen de Grado hasta veintiún (21) días calendario impostergablemente.</w:t>
      </w:r>
    </w:p>
    <w:p>
      <w:pPr>
        <w:spacing w:before="0" w:after="200" w:line="240" w:lineRule="auto"/>
        <w:jc w:val="both"/>
      </w:pPr>
      <w:r>
        <w:rPr>
          <w:rFonts w:ascii="Century Gothic" w:hAnsi="Century Gothic" w:cs="Century Gothic" w:eastAsia="Century Gothic"/>
          <w:b w:val="0"/>
          <w:i w:val="0"/>
          <w:sz w:val="20"/>
        </w:rPr>
        <w:t>Los Docentes que no asistan serán objeto de amonestación formal por parte del Director de Carrera, de ser reiterativa su ausencia se informará al Honorable Consejo de la Carrera para su consideración y sanción conforme al reglamento universitario en vigencia.</w:t>
      </w:r>
    </w:p>
    <w:p>
      <w:pPr>
        <w:spacing w:before="0" w:after="200" w:line="240" w:lineRule="auto"/>
        <w:jc w:val="both"/>
      </w:pPr>
      <w:r>
        <w:rPr>
          <w:rFonts w:ascii="Century Gothic" w:hAnsi="Century Gothic" w:cs="Century Gothic" w:eastAsia="Century Gothic"/>
          <w:b/>
          <w:i w:val="0"/>
          <w:sz w:val="20"/>
        </w:rPr>
        <w:t>ARTÍCULO 77.- INASISTENCIA DE POSTULANTES</w:t>
      </w:r>
    </w:p>
    <w:p>
      <w:pPr>
        <w:spacing w:before="0" w:after="200" w:line="240" w:lineRule="auto"/>
        <w:jc w:val="both"/>
      </w:pPr>
      <w:r>
        <w:rPr>
          <w:rFonts w:ascii="Century Gothic" w:hAnsi="Century Gothic" w:cs="Century Gothic" w:eastAsia="Century Gothic"/>
          <w:b w:val="0"/>
          <w:i w:val="0"/>
          <w:sz w:val="20"/>
        </w:rPr>
        <w:t>Debido a ser una obligación de todo Postulante presentarse al Acto Académico de Exámenes de Grado, deben estar presentes con una hora de antelación. En caso de no presentarse, se incorporará en acta con la frase “No se presentó”.</w:t>
      </w:r>
    </w:p>
    <w:p>
      <w:pPr>
        <w:spacing w:before="0" w:after="200" w:line="240" w:lineRule="auto"/>
        <w:jc w:val="both"/>
      </w:pPr>
      <w:r>
        <w:rPr>
          <w:rFonts w:ascii="Century Gothic" w:hAnsi="Century Gothic" w:cs="Century Gothic" w:eastAsia="Century Gothic"/>
          <w:b/>
          <w:i w:val="0"/>
          <w:sz w:val="20"/>
        </w:rPr>
        <w:t>ARTÍCULO 78.- EXCUSA DE TRIBUNALES</w:t>
      </w:r>
    </w:p>
    <w:p>
      <w:pPr>
        <w:spacing w:before="0" w:after="200" w:line="240" w:lineRule="auto"/>
        <w:jc w:val="both"/>
      </w:pPr>
      <w:r>
        <w:rPr>
          <w:rFonts w:ascii="Century Gothic" w:hAnsi="Century Gothic" w:cs="Century Gothic" w:eastAsia="Century Gothic"/>
          <w:b w:val="0"/>
          <w:i w:val="0"/>
          <w:sz w:val="20"/>
        </w:rPr>
        <w:t>El o los Docentes designados en calidad de Tribunales podrán excusarse, por única vez y por razones de parentesco y/o conflicto de intereses.</w:t>
      </w:r>
    </w:p>
    <w:p>
      <w:pPr>
        <w:spacing w:before="0" w:after="200" w:line="240" w:lineRule="auto"/>
        <w:jc w:val="both"/>
      </w:pPr>
      <w:r>
        <w:rPr>
          <w:rFonts w:ascii="Century Gothic" w:hAnsi="Century Gothic" w:cs="Century Gothic" w:eastAsia="Century Gothic"/>
          <w:b/>
          <w:i w:val="0"/>
          <w:sz w:val="20"/>
        </w:rPr>
        <w:t>ARTÍCULO 79.- VIGENCIA Y MODIFICACIÓN</w:t>
      </w:r>
    </w:p>
    <w:p>
      <w:pPr>
        <w:spacing w:before="0" w:after="200" w:line="240" w:lineRule="auto"/>
        <w:jc w:val="both"/>
      </w:pPr>
      <w:r>
        <w:rPr>
          <w:rFonts w:ascii="Century Gothic" w:hAnsi="Century Gothic" w:cs="Century Gothic" w:eastAsia="Century Gothic"/>
          <w:b w:val="0"/>
          <w:i w:val="0"/>
          <w:sz w:val="20"/>
        </w:rPr>
        <w:t>El presente “Reglamento de Modalidades de Graduación” entrará en vigencia a partir de su aprobación por las instancias correspondientes de la Universidad. Su modificación, parcial o total se sujetará a las necesidades de actualización pertinentes.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13.2</w:t>
        <w:tab/>
      </w:r>
      <w:r>
        <w:rPr>
          <w:rFonts w:ascii="Century Gothic" w:hAnsi="Century Gothic" w:cs="Century Gothic" w:eastAsia="Century Gothic"/>
          <w:b/>
          <w:i w:val="0"/>
          <w:sz w:val="24"/>
        </w:rPr>
        <w:t>Reglamentación del centro de investigación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13.2.1</w:t>
        <w:tab/>
      </w:r>
      <w:r>
        <w:rPr>
          <w:rFonts w:ascii="Century Gothic" w:hAnsi="Century Gothic" w:cs="Century Gothic" w:eastAsia="Century Gothic"/>
          <w:b/>
          <w:i w:val="0"/>
          <w:sz w:val="22"/>
        </w:rPr>
        <w:t>INSTITUTO DE INVESTIGACIÓN, INTERACCIÓN SOCIAL Y POSTGRADO</w:t>
      </w:r>
    </w:p>
    <w:p>
      <w:pPr>
        <w:spacing w:before="0" w:after="200" w:line="240" w:lineRule="auto"/>
        <w:jc w:val="both"/>
      </w:pPr>
      <w:r>
        <w:rPr>
          <w:rFonts w:ascii="Century Gothic" w:hAnsi="Century Gothic" w:cs="Century Gothic" w:eastAsia="Century Gothic"/>
          <w:b w:val="0"/>
          <w:i w:val="0"/>
          <w:sz w:val="20"/>
        </w:rPr>
        <w:t>La Carrera de Contaduría Auditoria ahora Contaduría Pública mediante la Resolución de Consejo de Carrera No 018/2003, aprobó el proyecto de creación del Instituto de Investigaciones de Ciencias Contables, Económicas y Financieras.  Proyecto que fue homologado por la Resolución del Honorable Consejo Facultativo No 373/2004.</w:t>
      </w:r>
    </w:p>
    <w:p>
      <w:pPr>
        <w:spacing w:before="0" w:after="200" w:line="240" w:lineRule="auto"/>
        <w:jc w:val="both"/>
      </w:pPr>
      <w:r>
        <w:rPr>
          <w:rFonts w:ascii="Century Gothic" w:hAnsi="Century Gothic" w:cs="Century Gothic" w:eastAsia="Century Gothic"/>
          <w:b w:val="0"/>
          <w:i w:val="0"/>
          <w:sz w:val="20"/>
        </w:rPr>
        <w:t>Proyecto del Instituto, que ha sido consolidado con la emisión de la Resolución del Honorable Consejo Universitario No 457/2004 de fecha 6 de octubre de 2004 que aprueba la creación del “INSTITUTO DE INVESTIGACIONES DE CIENCIAS CONTABLES, FINANCIERAS Y AUDITORIA”.</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0"/>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0">
      <w:startOverride w:val="1"/>
    </w:lvlOverride>
  </w:num>
  <w:num w:numId="911">
    <w:abstractNumId w:val="900"/>
    <w:lvlOverride w:ilvl="0">
      <w:startOverride w:val="1"/>
    </w:lvlOverride>
  </w:num>
  <w:num w:numId="912">
    <w:abstractNumId w:val="900"/>
    <w:lvlOverride w:ilvl="0">
      <w:startOverride w:val="1"/>
    </w:lvlOverride>
  </w:num>
  <w:num w:numId="913">
    <w:abstractNumId w:val="900"/>
    <w:lvlOverride w:ilvl="0">
      <w:startOverride w:val="1"/>
    </w:lvlOverride>
  </w:num>
  <w:num w:numId="914">
    <w:abstractNumId w:val="900"/>
    <w:lvlOverride w:ilvl="0">
      <w:startOverride w:val="1"/>
    </w:lvlOverride>
  </w:num>
  <w:num w:numId="915">
    <w:abstractNumId w:val="900"/>
    <w:lvlOverride w:ilvl="0">
      <w:startOverride w:val="1"/>
    </w:lvlOverride>
  </w:num>
  <w:num w:numId="916">
    <w:abstractNumId w:val="900"/>
    <w:lvlOverride w:ilvl="0">
      <w:startOverride w:val="1"/>
    </w:lvlOverride>
  </w:num>
  <w:num w:numId="917">
    <w:abstractNumId w:val="900"/>
    <w:lvlOverride w:ilvl="0">
      <w:startOverride w:val="1"/>
    </w:lvlOverride>
  </w:num>
  <w:num w:numId="918">
    <w:abstractNumId w:val="900"/>
    <w:lvlOverride w:ilvl="0">
      <w:startOverride w:val="1"/>
    </w:lvlOverride>
  </w:num>
  <w:num w:numId="919">
    <w:abstractNumId w:val="900"/>
    <w:lvlOverride w:ilvl="0">
      <w:startOverride w:val="1"/>
    </w:lvlOverride>
  </w:num>
  <w:num w:numId="920">
    <w:abstractNumId w:val="900"/>
    <w:lvlOverride w:ilvl="0">
      <w:startOverride w:val="1"/>
    </w:lvlOverride>
  </w:num>
  <w:num w:numId="921">
    <w:abstractNumId w:val="900"/>
    <w:lvlOverride w:ilvl="0">
      <w:startOverride w:val="1"/>
    </w:lvlOverride>
  </w:num>
  <w:num w:numId="922">
    <w:abstractNumId w:val="900"/>
    <w:lvlOverride w:ilvl="0">
      <w:startOverride w:val="1"/>
    </w:lvlOverride>
  </w:num>
  <w:num w:numId="923">
    <w:abstractNumId w:val="900"/>
    <w:lvlOverride w:ilvl="0">
      <w:startOverride w:val="1"/>
    </w:lvlOverride>
  </w:num>
  <w:num w:numId="924">
    <w:abstractNumId w:val="900"/>
    <w:lvlOverride w:ilvl="0">
      <w:startOverride w:val="1"/>
    </w:lvlOverride>
  </w:num>
  <w:num w:numId="925">
    <w:abstractNumId w:val="900"/>
    <w:lvlOverride w:ilvl="0">
      <w:startOverride w:val="1"/>
    </w:lvlOverride>
  </w:num>
  <w:num w:numId="926">
    <w:abstractNumId w:val="900"/>
    <w:lvlOverride w:ilvl="0">
      <w:startOverride w:val="1"/>
    </w:lvlOverride>
  </w:num>
  <w:num w:numId="927">
    <w:abstractNumId w:val="900"/>
    <w:lvlOverride w:ilvl="0">
      <w:startOverride w:val="1"/>
    </w:lvlOverride>
  </w:num>
  <w:num w:numId="928">
    <w:abstractNumId w:val="900"/>
    <w:lvlOverride w:ilvl="0">
      <w:startOverride w:val="1"/>
    </w:lvlOverride>
  </w:num>
  <w:num w:numId="929">
    <w:abstractNumId w:val="900"/>
    <w:lvlOverride w:ilvl="0">
      <w:startOverride w:val="1"/>
    </w:lvlOverride>
  </w:num>
  <w:num w:numId="930">
    <w:abstractNumId w:val="900"/>
    <w:lvlOverride w:ilvl="0">
      <w:startOverride w:val="1"/>
    </w:lvlOverride>
  </w:num>
  <w:num w:numId="931">
    <w:abstractNumId w:val="900"/>
    <w:lvlOverride w:ilvl="0">
      <w:startOverride w:val="1"/>
    </w:lvlOverride>
  </w:num>
  <w:num w:numId="932">
    <w:abstractNumId w:val="900"/>
    <w:lvlOverride w:ilvl="0">
      <w:startOverride w:val="1"/>
    </w:lvlOverride>
  </w:num>
  <w:num w:numId="933">
    <w:abstractNumId w:val="900"/>
    <w:lvlOverride w:ilvl="0">
      <w:startOverride w:val="1"/>
    </w:lvlOverride>
  </w:num>
  <w:num w:numId="934">
    <w:abstractNumId w:val="900"/>
    <w:lvlOverride w:ilvl="0">
      <w:startOverride w:val="1"/>
    </w:lvlOverride>
  </w:num>
  <w:num w:numId="935">
    <w:abstractNumId w:val="900"/>
    <w:lvlOverride w:ilvl="0">
      <w:startOverride w:val="1"/>
    </w:lvlOverride>
  </w:num>
  <w:num w:numId="936">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