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Contenido extra</w:t>
      </w:r>
    </w:p>
    <w:p>
      <w:pPr>
        <w:spacing w:before="0" w:after="240" w:line="240" w:lineRule="auto"/>
        <w:jc w:val="center"/>
      </w:pPr>
      <w:r>
        <w:rPr>
          <w:rFonts w:ascii="Century Gothic" w:hAnsi="Century Gothic" w:cs="Century Gothic" w:eastAsia="Century Gothic"/>
          <w:b w:val="0"/>
          <w:i/>
          <w:sz w:val="20"/>
        </w:rPr>
        <w:t>Documento de origen: 13 RESOLUCIÓN DE MODALIDADES DE TITULACIÓN.docx (informe de observaciones, sugerencias y mejoras)</w:t>
      </w:r>
    </w:p>
    <w:p>
      <w:pPr>
        <w:spacing w:before="0" w:after="200" w:line="240" w:lineRule="auto"/>
        <w:jc w:val="both"/>
      </w:pPr>
      <w:r>
        <w:rPr>
          <w:rFonts w:ascii="Century Gothic" w:hAnsi="Century Gothic" w:cs="Century Gothic" w:eastAsia="Century Gothic"/>
          <w:b/>
          <w:i w:val="0"/>
          <w:sz w:val="20"/>
        </w:rPr>
        <w:t>INFORME</w:t>
      </w:r>
    </w:p>
    <w:p>
      <w:pPr>
        <w:spacing w:before="0" w:after="200" w:line="240" w:lineRule="auto"/>
        <w:jc w:val="both"/>
      </w:pPr>
      <w:r>
        <w:rPr>
          <w:rFonts w:ascii="Century Gothic" w:hAnsi="Century Gothic" w:cs="Century Gothic" w:eastAsia="Century Gothic"/>
          <w:b/>
          <w:i w:val="0"/>
          <w:sz w:val="20"/>
        </w:rPr>
        <w:t>A:</w:t>
      </w:r>
      <w:r>
        <w:rPr>
          <w:rFonts w:ascii="Century Gothic" w:hAnsi="Century Gothic" w:cs="Century Gothic" w:eastAsia="Century Gothic"/>
          <w:b w:val="0"/>
          <w:i w:val="0"/>
          <w:sz w:val="20"/>
        </w:rPr>
        <w:t xml:space="preserve"> Mg. Sc. N. Rene Mejía Flores</w:t>
      </w:r>
    </w:p>
    <w:p>
      <w:pPr>
        <w:spacing w:before="0" w:after="200" w:line="240" w:lineRule="auto"/>
        <w:jc w:val="both"/>
      </w:pPr>
      <w:r>
        <w:rPr>
          <w:rFonts w:ascii="Century Gothic" w:hAnsi="Century Gothic" w:cs="Century Gothic" w:eastAsia="Century Gothic"/>
          <w:b/>
          <w:i w:val="0"/>
          <w:sz w:val="20"/>
        </w:rPr>
        <w:t>DIRECTOR CARRERA DE CONTADURÍA PÚBLICA – UMSA</w:t>
      </w:r>
    </w:p>
    <w:p>
      <w:pPr>
        <w:tabs>
          <w:tab w:pos="1701" w:val="left"/>
        </w:tabs>
        <w:spacing w:before="0" w:after="200" w:line="240" w:lineRule="auto"/>
        <w:ind w:left="1701" w:hanging="1701"/>
        <w:jc w:val="left"/>
      </w:pPr>
      <w:r>
        <w:rPr>
          <w:rFonts w:ascii="Century Gothic" w:hAnsi="Century Gothic" w:cs="Century Gothic" w:eastAsia="Century Gothic"/>
          <w:b/>
          <w:i w:val="0"/>
          <w:sz w:val="20"/>
        </w:rPr>
        <w:t>DE:</w:t>
      </w:r>
      <w:r>
        <w:rPr>
          <w:rFonts w:ascii="Century Gothic" w:hAnsi="Century Gothic" w:cs="Century Gothic" w:eastAsia="Century Gothic"/>
          <w:b w:val="0"/>
          <w:i w:val="0"/>
          <w:sz w:val="20"/>
        </w:rPr>
        <w:t xml:space="preserve"> </w:t>
        <w:tab/>
        <w:t>Mg. Sc. Ausberto Choque Mita</w:t>
      </w:r>
    </w:p>
    <w:p>
      <w:pPr>
        <w:spacing w:before="0" w:after="200" w:line="240" w:lineRule="auto"/>
        <w:jc w:val="both"/>
      </w:pPr>
      <w:r>
        <w:rPr>
          <w:rFonts w:ascii="Century Gothic" w:hAnsi="Century Gothic" w:cs="Century Gothic" w:eastAsia="Century Gothic"/>
          <w:b w:val="0"/>
          <w:i w:val="0"/>
          <w:sz w:val="20"/>
        </w:rPr>
        <w:t>M. Sc. Esperanza Mejillones Rodríguez</w:t>
      </w:r>
    </w:p>
    <w:p>
      <w:pPr>
        <w:spacing w:before="0" w:after="200" w:line="240" w:lineRule="auto"/>
        <w:jc w:val="both"/>
      </w:pPr>
      <w:r>
        <w:rPr>
          <w:rFonts w:ascii="Century Gothic" w:hAnsi="Century Gothic" w:cs="Century Gothic" w:eastAsia="Century Gothic"/>
          <w:b w:val="0"/>
          <w:i w:val="0"/>
          <w:sz w:val="20"/>
        </w:rPr>
        <w:t>Univ. Herlan N. Rodriguez Mendoza</w:t>
      </w:r>
    </w:p>
    <w:p>
      <w:pPr>
        <w:spacing w:before="0" w:after="200" w:line="240" w:lineRule="auto"/>
        <w:jc w:val="both"/>
      </w:pPr>
      <w:r>
        <w:rPr>
          <w:rFonts w:ascii="Century Gothic" w:hAnsi="Century Gothic" w:cs="Century Gothic" w:eastAsia="Century Gothic"/>
          <w:b w:val="0"/>
          <w:i w:val="0"/>
          <w:sz w:val="20"/>
        </w:rPr>
        <w:t>Univ. Camila A. Quispe Mollocuaquira</w:t>
      </w:r>
    </w:p>
    <w:p>
      <w:pPr>
        <w:spacing w:before="0" w:after="200" w:line="240" w:lineRule="auto"/>
        <w:jc w:val="both"/>
      </w:pPr>
      <w:r>
        <w:rPr>
          <w:rFonts w:ascii="Century Gothic" w:hAnsi="Century Gothic" w:cs="Century Gothic" w:eastAsia="Century Gothic"/>
          <w:b/>
          <w:i w:val="0"/>
          <w:sz w:val="20"/>
        </w:rPr>
        <w:t>SUBCOMISIÓN – RESOLUCIÓN DE MODALIDADES DE TITULACIÓN</w:t>
      </w:r>
    </w:p>
    <w:p>
      <w:pPr>
        <w:spacing w:before="0" w:after="200" w:line="240" w:lineRule="auto"/>
        <w:jc w:val="both"/>
      </w:pPr>
      <w:r>
        <w:rPr>
          <w:rFonts w:ascii="Century Gothic" w:hAnsi="Century Gothic" w:cs="Century Gothic" w:eastAsia="Century Gothic"/>
          <w:b/>
          <w:i w:val="0"/>
          <w:sz w:val="20"/>
        </w:rPr>
        <w:t>REFERENCIA:</w:t>
      </w:r>
      <w:r>
        <w:rPr>
          <w:rFonts w:ascii="Century Gothic" w:hAnsi="Century Gothic" w:cs="Century Gothic" w:eastAsia="Century Gothic"/>
          <w:b w:val="0"/>
          <w:i w:val="0"/>
          <w:sz w:val="20"/>
        </w:rPr>
        <w:t xml:space="preserve"> INFORME DE OBSERVACIONES, SUGERENCIAS Y MEJORAS AL MARCO NORMATIVO E INSTITUCIONAL – PUNTO 13. RESOLUCIONES MODALIDAD DE TITULACIÓN DE LA CARRERA DE CONTADURÍA PÚBLICA</w:t>
      </w:r>
    </w:p>
    <w:p>
      <w:pPr>
        <w:spacing w:before="0" w:after="200" w:line="240" w:lineRule="auto"/>
        <w:jc w:val="both"/>
      </w:pPr>
      <w:r>
        <w:rPr>
          <w:rFonts w:ascii="Century Gothic" w:hAnsi="Century Gothic" w:cs="Century Gothic" w:eastAsia="Century Gothic"/>
          <w:b/>
          <w:i w:val="0"/>
          <w:sz w:val="20"/>
        </w:rPr>
        <w:t>FECHA:</w:t>
      </w:r>
      <w:r>
        <w:rPr>
          <w:rFonts w:ascii="Century Gothic" w:hAnsi="Century Gothic" w:cs="Century Gothic" w:eastAsia="Century Gothic"/>
          <w:b w:val="0"/>
          <w:i w:val="0"/>
          <w:sz w:val="20"/>
        </w:rPr>
        <w:t xml:space="preserve"> La Paz, 7 DE OCTUBRE DE 2026</w:t>
      </w:r>
    </w:p>
    <w:p>
      <w:pPr>
        <w:spacing w:before="0" w:after="200" w:line="240" w:lineRule="auto"/>
        <w:jc w:val="both"/>
      </w:pPr>
      <w:r>
        <w:rPr>
          <w:rFonts w:ascii="Century Gothic" w:hAnsi="Century Gothic" w:cs="Century Gothic" w:eastAsia="Century Gothic"/>
          <w:b w:val="0"/>
          <w:i w:val="0"/>
          <w:sz w:val="20"/>
        </w:rPr>
        <w:t>En atención a las directrices institucionales orientadas a consolidar el proceso de Innovación y Rediseño Curricular de la Carrera, la Subcomisión de RESOLUCIONES ha procedido a efectuar la revisión, análisis crítico y actualización de la estructura normativa y reglamentaria de la Carrera. Para tal efecto, se emite el presente informe estructurado bajo los antecedentes metodológicos y los requerimientos de optimización actuales.</w:t>
      </w:r>
    </w:p>
    <w:p>
      <w:pPr>
        <w:keepNext/>
        <w:spacing w:before="40" w:after="200" w:line="240" w:lineRule="auto"/>
        <w:jc w:val="left"/>
      </w:pPr>
      <w:r>
        <w:rPr>
          <w:rFonts w:ascii="Century Gothic" w:hAnsi="Century Gothic" w:cs="Century Gothic" w:eastAsia="Century Gothic"/>
          <w:b/>
          <w:i w:val="0"/>
          <w:sz w:val="22"/>
        </w:rPr>
        <w:t>ANTECEDENTES</w:t>
      </w:r>
    </w:p>
    <w:p>
      <w:pPr>
        <w:spacing w:before="0" w:after="200" w:line="240" w:lineRule="auto"/>
        <w:jc w:val="both"/>
      </w:pPr>
      <w:r>
        <w:rPr>
          <w:rFonts w:ascii="Century Gothic" w:hAnsi="Century Gothic" w:cs="Century Gothic" w:eastAsia="Century Gothic"/>
          <w:b w:val="0"/>
          <w:i w:val="0"/>
          <w:sz w:val="20"/>
        </w:rPr>
        <w:t>Con el propósito de coadyuvar en la actualización curricular y garantizar un marco jurídico sólido para la Carrera de Contaduría Pública de la Facultad de Ciencias Económicas y Financieras de la UMSA, la Subcomisión de Resoluciones para las modalidades de titulación se constituyó bajo los principios del Estatuto Orgánico de la Universidad Boliviana y las directrices del Sistema Universitario.</w:t>
      </w:r>
    </w:p>
    <w:p>
      <w:pPr>
        <w:spacing w:before="0" w:after="200" w:line="240" w:lineRule="auto"/>
        <w:jc w:val="both"/>
      </w:pPr>
      <w:r>
        <w:rPr>
          <w:rFonts w:ascii="Century Gothic" w:hAnsi="Century Gothic" w:cs="Century Gothic" w:eastAsia="Century Gothic"/>
          <w:b w:val="0"/>
          <w:i w:val="0"/>
          <w:sz w:val="20"/>
        </w:rPr>
        <w:t xml:space="preserve">Considerando la limitante de tiempo en la presente etapa, </w:t>
      </w:r>
      <w:r>
        <w:rPr>
          <w:rFonts w:ascii="Century Gothic" w:hAnsi="Century Gothic" w:cs="Century Gothic" w:eastAsia="Century Gothic"/>
          <w:b/>
          <w:i w:val="0"/>
          <w:sz w:val="20"/>
        </w:rPr>
        <w:t>no se aplicaron encuestas virtuales</w:t>
      </w:r>
      <w:r>
        <w:rPr>
          <w:rFonts w:ascii="Century Gothic" w:hAnsi="Century Gothic" w:cs="Century Gothic" w:eastAsia="Century Gothic"/>
          <w:b w:val="0"/>
          <w:i w:val="0"/>
          <w:sz w:val="20"/>
        </w:rPr>
        <w:t xml:space="preserve"> a docentes y estudiantes (mecanismo utilizado en gestiones pasadas de autoevaluación); sin embargo, </w:t>
      </w:r>
      <w:r>
        <w:rPr>
          <w:rFonts w:ascii="Century Gothic" w:hAnsi="Century Gothic" w:cs="Century Gothic" w:eastAsia="Century Gothic"/>
          <w:b/>
          <w:i w:val="0"/>
          <w:sz w:val="20"/>
        </w:rPr>
        <w:t>se reconocen y toman como base fundamental los avances, antecedentes diagnósticos y documentos normativos previos elaborados por la Carrera</w:t>
      </w:r>
      <w:r>
        <w:rPr>
          <w:rFonts w:ascii="Century Gothic" w:hAnsi="Century Gothic" w:cs="Century Gothic" w:eastAsia="Century Gothic"/>
          <w:b w:val="0"/>
          <w:i w:val="0"/>
          <w:sz w:val="20"/>
        </w:rPr>
        <w:t xml:space="preserve"> (tales como los informes de diagnóstico institucional y regulaciones de régimen docente, estudiantil y de titulación), los cuales constituyen un cimiento insustituible para el presente rediseño.</w:t>
      </w:r>
    </w:p>
    <w:p>
      <w:pPr>
        <w:keepNext/>
        <w:spacing w:before="40" w:after="200" w:line="240" w:lineRule="auto"/>
        <w:jc w:val="left"/>
      </w:pPr>
      <w:r>
        <w:rPr>
          <w:rFonts w:ascii="Century Gothic" w:hAnsi="Century Gothic" w:cs="Century Gothic" w:eastAsia="Century Gothic"/>
          <w:b/>
          <w:i w:val="0"/>
          <w:sz w:val="22"/>
        </w:rPr>
        <w:t>CONSIDERACIONES GENERALES</w:t>
      </w:r>
    </w:p>
    <w:p>
      <w:pPr>
        <w:spacing w:before="0" w:after="200" w:line="240" w:lineRule="auto"/>
        <w:jc w:val="both"/>
      </w:pPr>
      <w:r>
        <w:rPr>
          <w:rFonts w:ascii="Century Gothic" w:hAnsi="Century Gothic" w:cs="Century Gothic" w:eastAsia="Century Gothic"/>
          <w:b w:val="0"/>
          <w:i w:val="0"/>
          <w:sz w:val="20"/>
        </w:rPr>
        <w:t>La Constitución Política del Estado consagra la autonomía universitaria, garantizando la libertad de cátedra, la investigación y la gestión administrativa. En este sentido, la normativa que rige la actividad académica y de gestión de la Carrera de Contaduría Pública debe responder a los profundos cambios del sistema universitario nacional y a las exigencias de la sociedad contemporánea.</w:t>
      </w:r>
    </w:p>
    <w:p>
      <w:pPr>
        <w:spacing w:before="0" w:after="200" w:line="240" w:lineRule="auto"/>
        <w:jc w:val="both"/>
      </w:pPr>
      <w:r>
        <w:rPr>
          <w:rFonts w:ascii="Century Gothic" w:hAnsi="Century Gothic" w:cs="Century Gothic" w:eastAsia="Century Gothic"/>
          <w:b w:val="0"/>
          <w:i w:val="0"/>
          <w:sz w:val="20"/>
        </w:rPr>
        <w:t>El ordenamiento jurídico interno busca dotar a la unidad académica de instrumentos modernos que estimulen el dinamismo institucional, optimicen la calidad docente, garanticen la movilidad académica y consoliden la formación profesional bajo los estándares del XII Congreso Nacional de Universidades.</w:t>
      </w:r>
    </w:p>
    <w:p>
      <w:pPr>
        <w:keepNext/>
        <w:spacing w:before="40" w:after="200" w:line="240" w:lineRule="auto"/>
        <w:jc w:val="left"/>
      </w:pPr>
      <w:r>
        <w:rPr>
          <w:rFonts w:ascii="Century Gothic" w:hAnsi="Century Gothic" w:cs="Century Gothic" w:eastAsia="Century Gothic"/>
          <w:b/>
          <w:i w:val="0"/>
          <w:sz w:val="22"/>
        </w:rPr>
        <w:t>BASE NORMATIVA Y RESOLUCIONES INSTITUCIONALES</w:t>
      </w:r>
    </w:p>
    <w:p>
      <w:pPr>
        <w:numPr>
          <w:ilvl w:val="0"/>
          <w:numId w:val="901"/>
        </w:numPr>
        <w:spacing w:before="0" w:after="200" w:line="240" w:lineRule="auto"/>
        <w:jc w:val="both"/>
      </w:pPr>
      <w:r>
        <w:rPr>
          <w:rFonts w:ascii="Century Gothic" w:hAnsi="Century Gothic" w:cs="Century Gothic" w:eastAsia="Century Gothic"/>
          <w:b w:val="0"/>
          <w:i w:val="0"/>
          <w:sz w:val="20"/>
        </w:rPr>
        <w:t>Normativa sobre los cursos de temporada/Verano</w:t>
      </w:r>
    </w:p>
    <w:p>
      <w:pPr>
        <w:numPr>
          <w:ilvl w:val="0"/>
          <w:numId w:val="902"/>
        </w:numPr>
        <w:spacing w:before="0" w:after="160" w:line="240" w:lineRule="auto"/>
        <w:jc w:val="both"/>
      </w:pPr>
      <w:r>
        <w:rPr>
          <w:rFonts w:ascii="Century Gothic" w:hAnsi="Century Gothic" w:cs="Century Gothic" w:eastAsia="Century Gothic"/>
          <w:b w:val="0"/>
          <w:i w:val="0"/>
          <w:sz w:val="20"/>
        </w:rPr>
        <w:t>Resolución del Honorable Consejo Universitario (H.C.U.) N° 093/06 (15 de marzo de 2006):</w:t>
      </w:r>
    </w:p>
    <w:p>
      <w:pPr>
        <w:numPr>
          <w:ilvl w:val="1"/>
          <w:numId w:val="902"/>
        </w:numPr>
        <w:spacing w:before="0" w:after="60" w:line="240" w:lineRule="auto"/>
        <w:jc w:val="both"/>
      </w:pPr>
      <w:r>
        <w:rPr>
          <w:rFonts w:ascii="Century Gothic" w:hAnsi="Century Gothic" w:cs="Century Gothic" w:eastAsia="Century Gothic"/>
          <w:b w:val="0"/>
          <w:i w:val="0"/>
          <w:sz w:val="20"/>
        </w:rPr>
        <w:t>Establece en su Artículo 13° que las Carreras tienen la tuición de elegir las materias a ser dictadas en los Cursos de Temporada según las necesidades de cada unidad académica, garantizando que sus contenidos teóricos y prácticos se cubran al 100%.</w:t>
      </w:r>
    </w:p>
    <w:p>
      <w:pPr>
        <w:numPr>
          <w:ilvl w:val="1"/>
          <w:numId w:val="902"/>
        </w:numPr>
        <w:spacing w:before="0" w:after="60" w:line="240" w:lineRule="auto"/>
        <w:jc w:val="both"/>
      </w:pPr>
      <w:r>
        <w:rPr>
          <w:rFonts w:ascii="Century Gothic" w:hAnsi="Century Gothic" w:cs="Century Gothic" w:eastAsia="Century Gothic"/>
          <w:b w:val="0"/>
          <w:i w:val="0"/>
          <w:sz w:val="20"/>
        </w:rPr>
        <w:t>Su Artículo 6° dispone que los cursos se desarrollen de manera intensiva por un lapso mínimo de 60 días calendario (8 semanas) para carreras anualizadas, cumpliendo con la carga horaria del programa analítico.</w:t>
      </w:r>
    </w:p>
    <w:p>
      <w:pPr>
        <w:numPr>
          <w:ilvl w:val="0"/>
          <w:numId w:val="902"/>
        </w:numPr>
        <w:spacing w:before="0" w:after="200" w:line="240" w:lineRule="auto"/>
        <w:jc w:val="both"/>
      </w:pPr>
      <w:r>
        <w:rPr>
          <w:rFonts w:ascii="Century Gothic" w:hAnsi="Century Gothic" w:cs="Century Gothic" w:eastAsia="Century Gothic"/>
          <w:b w:val="0"/>
          <w:i w:val="0"/>
          <w:sz w:val="20"/>
        </w:rPr>
        <w:t>Aplicación curricular: Conforme a las directrices de la Carrera y el Plan de Estudios 2024, los cursos de temporada no aplican para adelantar asignaturas troncales (salvo aquellas con carga horaria igual o menor a 80 horas), reservándose principalmente para áreas contextuales y recuperación de materias troncales reprobadas (siempre que se haya alcanzado una nota ≥ 20 puntos sobre 100).</w:t>
      </w:r>
    </w:p>
    <w:p>
      <w:pPr>
        <w:numPr>
          <w:ilvl w:val="0"/>
          <w:numId w:val="901"/>
        </w:numPr>
        <w:spacing w:before="0" w:after="200" w:line="240" w:lineRule="auto"/>
        <w:jc w:val="both"/>
      </w:pPr>
      <w:r>
        <w:rPr>
          <w:rFonts w:ascii="Century Gothic" w:hAnsi="Century Gothic" w:cs="Century Gothic" w:eastAsia="Century Gothic"/>
          <w:b w:val="0"/>
          <w:i w:val="0"/>
          <w:sz w:val="20"/>
        </w:rPr>
        <w:t>Normativa sobre Mesas de Examen</w:t>
      </w:r>
    </w:p>
    <w:p>
      <w:pPr>
        <w:numPr>
          <w:ilvl w:val="0"/>
          <w:numId w:val="902"/>
        </w:numPr>
        <w:spacing w:before="0" w:after="160" w:line="240" w:lineRule="auto"/>
        <w:jc w:val="both"/>
      </w:pPr>
      <w:r>
        <w:rPr>
          <w:rFonts w:ascii="Century Gothic" w:hAnsi="Century Gothic" w:cs="Century Gothic" w:eastAsia="Century Gothic"/>
          <w:b w:val="0"/>
          <w:i w:val="0"/>
          <w:sz w:val="20"/>
        </w:rPr>
        <w:t>Resolución del Honorable Consejo Universitario N° 352/2021 (21 de julio de 2021):</w:t>
      </w:r>
    </w:p>
    <w:p>
      <w:pPr>
        <w:numPr>
          <w:ilvl w:val="1"/>
          <w:numId w:val="902"/>
        </w:numPr>
        <w:spacing w:before="0" w:after="200" w:line="240" w:lineRule="auto"/>
        <w:jc w:val="both"/>
      </w:pPr>
      <w:r>
        <w:rPr>
          <w:rFonts w:ascii="Century Gothic" w:hAnsi="Century Gothic" w:cs="Century Gothic" w:eastAsia="Century Gothic"/>
          <w:b w:val="0"/>
          <w:i w:val="0"/>
          <w:sz w:val="20"/>
        </w:rPr>
        <w:t>Su Artículo 8° determina que la mesa de examen se aplica exclusivamente a materias teóricas del plan de estudios. El Consejo de Carrera define públicamente las materias habilitadas bajo criterios técnicos (como Administración General, Derecho Comercial, Legislación Tributaria y Aduanera, Métodos y Técnicas de Investigación, entre otras).</w:t>
      </w:r>
    </w:p>
    <w:p>
      <w:pPr>
        <w:numPr>
          <w:ilvl w:val="0"/>
          <w:numId w:val="901"/>
        </w:numPr>
        <w:spacing w:before="0" w:after="200" w:line="240" w:lineRule="auto"/>
        <w:jc w:val="both"/>
      </w:pPr>
      <w:r>
        <w:rPr>
          <w:rFonts w:ascii="Century Gothic" w:hAnsi="Century Gothic" w:cs="Century Gothic" w:eastAsia="Century Gothic"/>
          <w:b w:val="0"/>
          <w:i w:val="0"/>
          <w:sz w:val="20"/>
        </w:rPr>
        <w:t>Reglamento de Modalidades de Graduación</w:t>
      </w:r>
    </w:p>
    <w:p>
      <w:pPr>
        <w:spacing w:before="0" w:after="200" w:line="240" w:lineRule="auto"/>
        <w:jc w:val="both"/>
      </w:pPr>
      <w:r>
        <w:rPr>
          <w:rFonts w:ascii="Century Gothic" w:hAnsi="Century Gothic" w:cs="Century Gothic" w:eastAsia="Century Gothic"/>
          <w:b w:val="0"/>
          <w:i w:val="0"/>
          <w:sz w:val="20"/>
        </w:rPr>
        <w:t>El marco general y específico para la titulación en la Licenciatura en Contaduría Pública y el Título en Provisión Nacional (conforme al Art. 92, Parágrafo III de la Constitución Política del Estado) reconoce las siguientes modalidades:</w:t>
      </w:r>
    </w:p>
    <w:p>
      <w:pPr>
        <w:numPr>
          <w:ilvl w:val="0"/>
          <w:numId w:val="902"/>
        </w:numPr>
        <w:spacing w:before="0" w:after="160" w:line="240" w:lineRule="auto"/>
        <w:jc w:val="both"/>
      </w:pPr>
      <w:r>
        <w:rPr>
          <w:rFonts w:ascii="Century Gothic" w:hAnsi="Century Gothic" w:cs="Century Gothic" w:eastAsia="Century Gothic"/>
          <w:b w:val="0"/>
          <w:i w:val="0"/>
          <w:sz w:val="20"/>
        </w:rPr>
        <w:t>Tesis de Grado</w:t>
      </w:r>
    </w:p>
    <w:p>
      <w:pPr>
        <w:numPr>
          <w:ilvl w:val="0"/>
          <w:numId w:val="902"/>
        </w:numPr>
        <w:spacing w:before="0" w:after="160" w:line="240" w:lineRule="auto"/>
        <w:jc w:val="both"/>
      </w:pPr>
      <w:r>
        <w:rPr>
          <w:rFonts w:ascii="Century Gothic" w:hAnsi="Century Gothic" w:cs="Century Gothic" w:eastAsia="Century Gothic"/>
          <w:b w:val="0"/>
          <w:i w:val="0"/>
          <w:sz w:val="20"/>
        </w:rPr>
        <w:t>Proyecto de Grado</w:t>
      </w:r>
    </w:p>
    <w:p>
      <w:pPr>
        <w:numPr>
          <w:ilvl w:val="0"/>
          <w:numId w:val="902"/>
        </w:numPr>
        <w:spacing w:before="0" w:after="160" w:line="240" w:lineRule="auto"/>
        <w:jc w:val="both"/>
      </w:pPr>
      <w:r>
        <w:rPr>
          <w:rFonts w:ascii="Century Gothic" w:hAnsi="Century Gothic" w:cs="Century Gothic" w:eastAsia="Century Gothic"/>
          <w:b w:val="0"/>
          <w:i w:val="0"/>
          <w:sz w:val="20"/>
        </w:rPr>
        <w:t>Examen de Grado</w:t>
      </w:r>
    </w:p>
    <w:p>
      <w:pPr>
        <w:numPr>
          <w:ilvl w:val="0"/>
          <w:numId w:val="902"/>
        </w:numPr>
        <w:spacing w:before="0" w:after="160" w:line="240" w:lineRule="auto"/>
        <w:jc w:val="both"/>
      </w:pPr>
      <w:r>
        <w:rPr>
          <w:rFonts w:ascii="Century Gothic" w:hAnsi="Century Gothic" w:cs="Century Gothic" w:eastAsia="Century Gothic"/>
          <w:b w:val="0"/>
          <w:i w:val="0"/>
          <w:sz w:val="20"/>
        </w:rPr>
        <w:t>Trabajo Dirigido</w:t>
      </w:r>
    </w:p>
    <w:p>
      <w:pPr>
        <w:numPr>
          <w:ilvl w:val="0"/>
          <w:numId w:val="902"/>
        </w:numPr>
        <w:spacing w:before="0" w:after="160" w:line="240" w:lineRule="auto"/>
        <w:jc w:val="both"/>
      </w:pPr>
      <w:r>
        <w:rPr>
          <w:rFonts w:ascii="Century Gothic" w:hAnsi="Century Gothic" w:cs="Century Gothic" w:eastAsia="Century Gothic"/>
          <w:b w:val="0"/>
          <w:i w:val="0"/>
          <w:sz w:val="20"/>
        </w:rPr>
        <w:t>Graduación por Excelencia</w:t>
      </w:r>
    </w:p>
    <w:p>
      <w:pPr>
        <w:numPr>
          <w:ilvl w:val="0"/>
          <w:numId w:val="902"/>
        </w:numPr>
        <w:spacing w:before="0" w:after="200" w:line="240" w:lineRule="auto"/>
        <w:jc w:val="both"/>
      </w:pPr>
      <w:r>
        <w:rPr>
          <w:rFonts w:ascii="Century Gothic" w:hAnsi="Century Gothic" w:cs="Century Gothic" w:eastAsia="Century Gothic"/>
          <w:b w:val="0"/>
          <w:i w:val="0"/>
          <w:sz w:val="20"/>
        </w:rPr>
        <w:t>Plan Excepcional de Titulación para Antiguos Estudiantes No Graduados (P.E.T.A.E.N.G.)</w:t>
      </w:r>
    </w:p>
    <w:p>
      <w:pPr>
        <w:spacing w:before="0" w:after="200" w:line="240" w:lineRule="auto"/>
        <w:jc w:val="both"/>
      </w:pPr>
      <w:r>
        <w:rPr>
          <w:rFonts w:ascii="Century Gothic" w:hAnsi="Century Gothic" w:cs="Century Gothic" w:eastAsia="Century Gothic"/>
          <w:b w:val="0"/>
          <w:i w:val="0"/>
          <w:sz w:val="20"/>
        </w:rPr>
        <w:t>Escala de Calificaciones (Aplicada a Tesis, Proyecto de Grado, Trabajo Dirigido y Examen de Grado):</w:t>
      </w:r>
    </w:p>
    <w:p>
      <w:pPr>
        <w:numPr>
          <w:ilvl w:val="0"/>
          <w:numId w:val="903"/>
        </w:numPr>
        <w:spacing w:before="0" w:after="160" w:line="240" w:lineRule="auto"/>
        <w:jc w:val="both"/>
      </w:pPr>
      <w:r>
        <w:rPr>
          <w:rFonts w:ascii="Century Gothic" w:hAnsi="Century Gothic" w:cs="Century Gothic" w:eastAsia="Century Gothic"/>
          <w:b w:val="0"/>
          <w:i w:val="0"/>
          <w:sz w:val="20"/>
        </w:rPr>
        <w:t>Basada en el Artículo 41 del Reglamento General de Tipos de Modalidad de Graduación del XII Congreso Nacional de Universidades del Sistema Boliviano (realizado en Oruro):</w:t>
      </w:r>
    </w:p>
    <w:p>
      <w:pPr>
        <w:numPr>
          <w:ilvl w:val="1"/>
          <w:numId w:val="903"/>
        </w:numPr>
        <w:spacing w:before="0" w:after="60" w:line="240" w:lineRule="auto"/>
        <w:jc w:val="both"/>
      </w:pPr>
      <w:r>
        <w:rPr>
          <w:rFonts w:ascii="Century Gothic" w:hAnsi="Century Gothic" w:cs="Century Gothic" w:eastAsia="Century Gothic"/>
          <w:b w:val="0"/>
          <w:i w:val="0"/>
          <w:sz w:val="20"/>
        </w:rPr>
        <w:t>Reprobado: 0 - 50 puntos</w:t>
      </w:r>
    </w:p>
    <w:p>
      <w:pPr>
        <w:numPr>
          <w:ilvl w:val="1"/>
          <w:numId w:val="903"/>
        </w:numPr>
        <w:spacing w:before="0" w:after="60" w:line="240" w:lineRule="auto"/>
        <w:jc w:val="both"/>
      </w:pPr>
      <w:r>
        <w:rPr>
          <w:rFonts w:ascii="Century Gothic" w:hAnsi="Century Gothic" w:cs="Century Gothic" w:eastAsia="Century Gothic"/>
          <w:b w:val="0"/>
          <w:i w:val="0"/>
          <w:sz w:val="20"/>
        </w:rPr>
        <w:t>Aprobado - Buena / Bueno: 51 - 70 puntos</w:t>
      </w:r>
    </w:p>
    <w:p>
      <w:pPr>
        <w:numPr>
          <w:ilvl w:val="1"/>
          <w:numId w:val="903"/>
        </w:numPr>
        <w:spacing w:before="0" w:after="60" w:line="240" w:lineRule="auto"/>
        <w:jc w:val="both"/>
      </w:pPr>
      <w:r>
        <w:rPr>
          <w:rFonts w:ascii="Century Gothic" w:hAnsi="Century Gothic" w:cs="Century Gothic" w:eastAsia="Century Gothic"/>
          <w:b w:val="0"/>
          <w:i w:val="0"/>
          <w:sz w:val="20"/>
        </w:rPr>
        <w:t>Sobresaliente / Aprobado: 71 - 89 puntos</w:t>
      </w:r>
    </w:p>
    <w:p>
      <w:pPr>
        <w:numPr>
          <w:ilvl w:val="1"/>
          <w:numId w:val="903"/>
        </w:numPr>
        <w:spacing w:before="0" w:after="60" w:line="240" w:lineRule="auto"/>
        <w:jc w:val="both"/>
      </w:pPr>
      <w:r>
        <w:rPr>
          <w:rFonts w:ascii="Century Gothic" w:hAnsi="Century Gothic" w:cs="Century Gothic" w:eastAsia="Century Gothic"/>
          <w:b w:val="0"/>
          <w:i w:val="0"/>
          <w:sz w:val="20"/>
        </w:rPr>
        <w:t>Excelente / Excelencia: 90 - 100 puntos</w:t>
      </w:r>
    </w:p>
    <w:p>
      <w:pPr>
        <w:numPr>
          <w:ilvl w:val="0"/>
          <w:numId w:val="903"/>
        </w:numPr>
        <w:spacing w:before="0" w:after="160" w:line="240" w:lineRule="auto"/>
        <w:jc w:val="both"/>
      </w:pPr>
      <w:r>
        <w:rPr>
          <w:rFonts w:ascii="Century Gothic" w:hAnsi="Century Gothic" w:cs="Century Gothic" w:eastAsia="Century Gothic"/>
          <w:b w:val="0"/>
          <w:i w:val="0"/>
          <w:sz w:val="20"/>
        </w:rPr>
        <w:t>Disposiciones específicas por Modalidad:</w:t>
      </w:r>
    </w:p>
    <w:p>
      <w:pPr>
        <w:numPr>
          <w:ilvl w:val="1"/>
          <w:numId w:val="903"/>
        </w:numPr>
        <w:spacing w:before="0" w:after="60" w:line="240" w:lineRule="auto"/>
        <w:jc w:val="both"/>
      </w:pPr>
      <w:r>
        <w:rPr>
          <w:rFonts w:ascii="Century Gothic" w:hAnsi="Century Gothic" w:cs="Century Gothic" w:eastAsia="Century Gothic"/>
          <w:b/>
          <w:i w:val="0"/>
          <w:sz w:val="20"/>
        </w:rPr>
        <w:t>Proyecto de Grado y Tesis de Grado:</w:t>
      </w:r>
      <w:r>
        <w:rPr>
          <w:rFonts w:ascii="Century Gothic" w:hAnsi="Century Gothic" w:cs="Century Gothic" w:eastAsia="Century Gothic"/>
          <w:b w:val="0"/>
          <w:i w:val="0"/>
          <w:sz w:val="20"/>
        </w:rPr>
        <w:t xml:space="preserve"> Su preparación y sustentación se rigen bajo plazos estrictos (perfil aprobado, 180 días calendario para la presentación del borrador) y ponderaciones de evaluación específicas (presentación/contenido, sustentación y defensa de respuestas ante Tribunal Examinador).</w:t>
      </w:r>
    </w:p>
    <w:p>
      <w:pPr>
        <w:numPr>
          <w:ilvl w:val="1"/>
          <w:numId w:val="903"/>
        </w:numPr>
        <w:spacing w:before="0" w:after="60" w:line="240" w:lineRule="auto"/>
        <w:jc w:val="both"/>
      </w:pPr>
      <w:r>
        <w:rPr>
          <w:rFonts w:ascii="Century Gothic" w:hAnsi="Century Gothic" w:cs="Century Gothic" w:eastAsia="Century Gothic"/>
          <w:b/>
          <w:i w:val="0"/>
          <w:sz w:val="20"/>
        </w:rPr>
        <w:t>Modalidad de Trabajo Dirigido:</w:t>
      </w:r>
      <w:r>
        <w:rPr>
          <w:rFonts w:ascii="Century Gothic" w:hAnsi="Century Gothic" w:cs="Century Gothic" w:eastAsia="Century Gothic"/>
          <w:b w:val="0"/>
          <w:i w:val="0"/>
          <w:sz w:val="20"/>
        </w:rPr>
        <w:t xml:space="preserve"> Modificada y regulada mediante la Resolución de Honorable Consejo Universitario N° 330/2022 (18 de agosto de 2022). Define el trabajo práctico pre-profesional (externo o interno en la UMSA) bajo la guía conjunta de un Tutor Profesional y un Tutor Docente (Académico), abarcando un mínimo de 1.280 horas de trabajo efectivo y una ponderación de evaluación que distribuye el 85% a los informes periódicos y el 15% a la presentación pública.</w:t>
      </w:r>
    </w:p>
    <w:p>
      <w:pPr>
        <w:numPr>
          <w:ilvl w:val="1"/>
          <w:numId w:val="903"/>
        </w:numPr>
        <w:spacing w:before="0" w:after="200" w:line="240" w:lineRule="auto"/>
        <w:jc w:val="both"/>
      </w:pPr>
      <w:r>
        <w:rPr>
          <w:rFonts w:ascii="Century Gothic" w:hAnsi="Century Gothic" w:cs="Century Gothic" w:eastAsia="Century Gothic"/>
          <w:b/>
          <w:i w:val="0"/>
          <w:sz w:val="20"/>
        </w:rPr>
        <w:t>Examen de Grado:</w:t>
      </w:r>
      <w:r>
        <w:rPr>
          <w:rFonts w:ascii="Century Gothic" w:hAnsi="Century Gothic" w:cs="Century Gothic" w:eastAsia="Century Gothic"/>
          <w:b w:val="0"/>
          <w:i w:val="0"/>
          <w:sz w:val="20"/>
        </w:rPr>
        <w:t xml:space="preserve"> Evaluaciones organizadas en tres ciclos académicos (Ciclo Básico de Información Financiera, Ciclo Especializado de Información Financiera, y Ciclo de Servicios de Aseguramiento y no Aseguramiento) mediante pruebas teórico-prácticas y sorteo de bolos ante comisiones examinadoras.</w:t>
      </w:r>
    </w:p>
    <w:p>
      <w:pPr>
        <w:numPr>
          <w:ilvl w:val="0"/>
          <w:numId w:val="901"/>
        </w:numPr>
        <w:spacing w:before="0" w:after="200" w:line="240" w:lineRule="auto"/>
        <w:jc w:val="both"/>
      </w:pPr>
      <w:r>
        <w:rPr>
          <w:rFonts w:ascii="Century Gothic" w:hAnsi="Century Gothic" w:cs="Century Gothic" w:eastAsia="Century Gothic"/>
          <w:b w:val="0"/>
          <w:i w:val="0"/>
          <w:sz w:val="20"/>
        </w:rPr>
        <w:t>Creación del Instituto de Investigación</w:t>
      </w:r>
    </w:p>
    <w:p>
      <w:pPr>
        <w:numPr>
          <w:ilvl w:val="0"/>
          <w:numId w:val="902"/>
        </w:numPr>
        <w:spacing w:before="0" w:after="160" w:line="240" w:lineRule="auto"/>
        <w:jc w:val="both"/>
      </w:pPr>
      <w:r>
        <w:rPr>
          <w:rFonts w:ascii="Century Gothic" w:hAnsi="Century Gothic" w:cs="Century Gothic" w:eastAsia="Century Gothic"/>
          <w:b w:val="0"/>
          <w:i w:val="0"/>
          <w:sz w:val="20"/>
        </w:rPr>
        <w:t>Resolución de Consejo de Carrera N° 018/2003: Aprobó el proyecto de creación del Instituto de Investigaciones de Ciencias Contables, Económicas y Financieras.</w:t>
      </w:r>
    </w:p>
    <w:p>
      <w:pPr>
        <w:numPr>
          <w:ilvl w:val="0"/>
          <w:numId w:val="902"/>
        </w:numPr>
        <w:spacing w:before="0" w:after="160" w:line="240" w:lineRule="auto"/>
        <w:jc w:val="both"/>
      </w:pPr>
      <w:r>
        <w:rPr>
          <w:rFonts w:ascii="Century Gothic" w:hAnsi="Century Gothic" w:cs="Century Gothic" w:eastAsia="Century Gothic"/>
          <w:b w:val="0"/>
          <w:i w:val="0"/>
          <w:sz w:val="20"/>
        </w:rPr>
        <w:t>Resolución del Honorable Consejo Facultativo N° 373/2004: Homologó dicho proyecto.</w:t>
      </w:r>
    </w:p>
    <w:p>
      <w:pPr>
        <w:numPr>
          <w:ilvl w:val="0"/>
          <w:numId w:val="902"/>
        </w:numPr>
        <w:spacing w:before="0" w:after="200" w:line="240" w:lineRule="auto"/>
        <w:jc w:val="both"/>
      </w:pPr>
      <w:r>
        <w:rPr>
          <w:rFonts w:ascii="Century Gothic" w:hAnsi="Century Gothic" w:cs="Century Gothic" w:eastAsia="Century Gothic"/>
          <w:b w:val="0"/>
          <w:i w:val="0"/>
          <w:sz w:val="20"/>
        </w:rPr>
        <w:t>Resolución del Honorable Consejo Universitario N° 457/2004 (6 de octubre de 2004): Consolidó y aprobó formalmente la creación del "INSTITUTO DE INVESTIGACIONES DE CIENCIAS CONTABLES, FINANCIERAS Y AUDITORÍA"</w:t>
      </w:r>
    </w:p>
    <w:p>
      <w:pPr>
        <w:numPr>
          <w:ilvl w:val="0"/>
          <w:numId w:val="901"/>
        </w:numPr>
        <w:spacing w:before="0" w:after="160" w:line="240" w:lineRule="auto"/>
        <w:jc w:val="both"/>
      </w:pPr>
      <w:r>
        <w:rPr>
          <w:rFonts w:ascii="Century Gothic" w:hAnsi="Century Gothic" w:cs="Century Gothic" w:eastAsia="Century Gothic"/>
          <w:b w:val="0"/>
          <w:i w:val="0"/>
          <w:sz w:val="20"/>
        </w:rPr>
        <w:t>Normativa Universitaria: Estatuto Orgánico de la UMSA y Reglamento de Régimen Académico Docente.</w:t>
      </w:r>
    </w:p>
    <w:p>
      <w:pPr>
        <w:numPr>
          <w:ilvl w:val="0"/>
          <w:numId w:val="901"/>
        </w:numPr>
        <w:spacing w:before="0" w:after="160" w:line="240" w:lineRule="auto"/>
        <w:jc w:val="both"/>
      </w:pPr>
      <w:r>
        <w:rPr>
          <w:rFonts w:ascii="Century Gothic" w:hAnsi="Century Gothic" w:cs="Century Gothic" w:eastAsia="Century Gothic"/>
          <w:b w:val="0"/>
          <w:i w:val="0"/>
          <w:sz w:val="20"/>
        </w:rPr>
        <w:t>Congreso Nacional de Universidades: Resolución N° 20/2013 y Resolución del XII Congreso de Universidades N° 08/2013.</w:t>
      </w:r>
    </w:p>
    <w:p>
      <w:pPr>
        <w:numPr>
          <w:ilvl w:val="0"/>
          <w:numId w:val="901"/>
        </w:numPr>
        <w:spacing w:before="0" w:after="160" w:line="240" w:lineRule="auto"/>
        <w:jc w:val="both"/>
      </w:pPr>
      <w:r>
        <w:rPr>
          <w:rFonts w:ascii="Century Gothic" w:hAnsi="Century Gothic" w:cs="Century Gothic" w:eastAsia="Century Gothic"/>
          <w:b w:val="0"/>
          <w:i w:val="0"/>
          <w:sz w:val="20"/>
        </w:rPr>
        <w:t>Resoluciones del Honorable Consejo Universitario (HCU):</w:t>
      </w:r>
    </w:p>
    <w:p>
      <w:pPr>
        <w:numPr>
          <w:ilvl w:val="1"/>
          <w:numId w:val="901"/>
        </w:numPr>
        <w:spacing w:before="0" w:after="60" w:line="240" w:lineRule="auto"/>
        <w:jc w:val="both"/>
      </w:pPr>
      <w:r>
        <w:rPr>
          <w:rFonts w:ascii="Century Gothic" w:hAnsi="Century Gothic" w:cs="Century Gothic" w:eastAsia="Century Gothic"/>
          <w:b w:val="0"/>
          <w:i w:val="0"/>
          <w:sz w:val="20"/>
        </w:rPr>
        <w:t>HCU N° 263/2024 (que aprueba el Reglamento General del Proceso de Selección y Admisión de Docentes Contratados).</w:t>
      </w:r>
    </w:p>
    <w:p>
      <w:pPr>
        <w:numPr>
          <w:ilvl w:val="1"/>
          <w:numId w:val="901"/>
        </w:numPr>
        <w:spacing w:before="0" w:after="60" w:line="240" w:lineRule="auto"/>
        <w:jc w:val="both"/>
      </w:pPr>
      <w:r>
        <w:rPr>
          <w:rFonts w:ascii="Century Gothic" w:hAnsi="Century Gothic" w:cs="Century Gothic" w:eastAsia="Century Gothic"/>
          <w:b w:val="0"/>
          <w:i w:val="0"/>
          <w:sz w:val="20"/>
        </w:rPr>
        <w:t>HCU Nª 330/2022: Reglamento específico de modalidad de graduación por trabajo dirigido para la obtención de título del nivel de licenciatura en la Universidad Mayor de San Andrés.</w:t>
      </w:r>
    </w:p>
    <w:p>
      <w:pPr>
        <w:numPr>
          <w:ilvl w:val="1"/>
          <w:numId w:val="901"/>
        </w:numPr>
        <w:spacing w:before="0" w:after="60" w:line="240" w:lineRule="auto"/>
        <w:jc w:val="both"/>
      </w:pPr>
      <w:r>
        <w:rPr>
          <w:rFonts w:ascii="Century Gothic" w:hAnsi="Century Gothic" w:cs="Century Gothic" w:eastAsia="Century Gothic"/>
          <w:b w:val="0"/>
          <w:i w:val="0"/>
          <w:sz w:val="20"/>
        </w:rPr>
        <w:t>HCU Nª 230/2013: Reglamento de Convalidación de Estudios</w:t>
      </w:r>
    </w:p>
    <w:p>
      <w:pPr>
        <w:numPr>
          <w:ilvl w:val="1"/>
          <w:numId w:val="901"/>
        </w:numPr>
        <w:spacing w:before="0" w:after="60" w:line="240" w:lineRule="auto"/>
        <w:jc w:val="both"/>
      </w:pPr>
      <w:r>
        <w:rPr>
          <w:rFonts w:ascii="Century Gothic" w:hAnsi="Century Gothic" w:cs="Century Gothic" w:eastAsia="Century Gothic"/>
          <w:b w:val="0"/>
          <w:i w:val="0"/>
          <w:sz w:val="20"/>
        </w:rPr>
        <w:t>HCU Nª 364/2025: Modificaciones al Reglamento Específico de Auxiliares Académicos del Pregrado de la Universidad Mayor de San Andrés.</w:t>
      </w:r>
    </w:p>
    <w:p>
      <w:pPr>
        <w:numPr>
          <w:ilvl w:val="1"/>
          <w:numId w:val="901"/>
        </w:numPr>
        <w:spacing w:before="0" w:after="200" w:line="240" w:lineRule="auto"/>
        <w:jc w:val="both"/>
      </w:pPr>
      <w:r>
        <w:rPr>
          <w:rFonts w:ascii="Century Gothic" w:hAnsi="Century Gothic" w:cs="Century Gothic" w:eastAsia="Century Gothic"/>
          <w:b w:val="0"/>
          <w:i w:val="0"/>
          <w:sz w:val="20"/>
        </w:rPr>
        <w:t>Reglamento General de los Institutos de Investigación de la Universidad Mayor de San Andrés.</w:t>
      </w:r>
    </w:p>
    <w:p>
      <w:pPr>
        <w:keepNext/>
        <w:spacing w:before="40" w:after="200" w:line="240" w:lineRule="auto"/>
        <w:jc w:val="left"/>
      </w:pPr>
      <w:r>
        <w:rPr>
          <w:rFonts w:ascii="Century Gothic" w:hAnsi="Century Gothic" w:cs="Century Gothic" w:eastAsia="Century Gothic"/>
          <w:b/>
          <w:i w:val="0"/>
          <w:sz w:val="22"/>
        </w:rPr>
        <w:t>ACTIVIDADES DESARROLLADAS</w:t>
      </w:r>
    </w:p>
    <w:p>
      <w:pPr>
        <w:spacing w:before="0" w:after="200" w:line="240" w:lineRule="auto"/>
        <w:jc w:val="both"/>
      </w:pPr>
      <w:r>
        <w:rPr>
          <w:rFonts w:ascii="Century Gothic" w:hAnsi="Century Gothic" w:cs="Century Gothic" w:eastAsia="Century Gothic"/>
          <w:b w:val="0"/>
          <w:i w:val="0"/>
          <w:sz w:val="20"/>
        </w:rPr>
        <w:t>Con base en los antecedentes documentales disponibles en la Carrera y los registros históricos previos, la Subcomisión desarrolló las siguientes actividades metodológicas:</w:t>
      </w:r>
    </w:p>
    <w:p>
      <w:pPr>
        <w:numPr>
          <w:ilvl w:val="0"/>
          <w:numId w:val="904"/>
        </w:numPr>
        <w:spacing w:before="0" w:after="160" w:line="240" w:lineRule="auto"/>
        <w:jc w:val="both"/>
      </w:pPr>
      <w:r>
        <w:rPr>
          <w:rFonts w:ascii="Century Gothic" w:hAnsi="Century Gothic" w:cs="Century Gothic" w:eastAsia="Century Gothic"/>
          <w:b/>
          <w:i w:val="0"/>
          <w:sz w:val="20"/>
        </w:rPr>
        <w:t>Revisión Documental y Normativa:</w:t>
      </w:r>
      <w:r>
        <w:rPr>
          <w:rFonts w:ascii="Century Gothic" w:hAnsi="Century Gothic" w:cs="Century Gothic" w:eastAsia="Century Gothic"/>
          <w:b w:val="0"/>
          <w:i w:val="0"/>
          <w:sz w:val="20"/>
        </w:rPr>
        <w:t xml:space="preserve"> Análisis comparativo del Estatuto Orgánico de la Universidad Boliviana, los reglamentos generales y específicos vigentes (Régimen Docente, Estudiantil, Admisión, Evaluación y Titulación) y los precedentes de creación institucional.</w:t>
      </w:r>
    </w:p>
    <w:p>
      <w:pPr>
        <w:numPr>
          <w:ilvl w:val="0"/>
          <w:numId w:val="904"/>
        </w:numPr>
        <w:spacing w:before="0" w:after="200" w:line="240" w:lineRule="auto"/>
        <w:jc w:val="both"/>
      </w:pPr>
      <w:r>
        <w:rPr>
          <w:rFonts w:ascii="Century Gothic" w:hAnsi="Century Gothic" w:cs="Century Gothic" w:eastAsia="Century Gothic"/>
          <w:b/>
          <w:i w:val="0"/>
          <w:sz w:val="20"/>
        </w:rPr>
        <w:t>Homologación Técnica:</w:t>
      </w:r>
      <w:r>
        <w:rPr>
          <w:rFonts w:ascii="Century Gothic" w:hAnsi="Century Gothic" w:cs="Century Gothic" w:eastAsia="Century Gothic"/>
          <w:b w:val="0"/>
          <w:i w:val="0"/>
          <w:sz w:val="20"/>
        </w:rPr>
        <w:t xml:space="preserve"> Ajuste y depuración de vacíos normativos observados en el documento base para integrarlos armónicamente en el </w:t>
      </w:r>
      <w:r>
        <w:rPr>
          <w:rFonts w:ascii="Century Gothic" w:hAnsi="Century Gothic" w:cs="Century Gothic" w:eastAsia="Century Gothic"/>
          <w:b/>
          <w:i w:val="0"/>
          <w:sz w:val="20"/>
        </w:rPr>
        <w:t>Punto 13 (Reglamentación)</w:t>
      </w:r>
      <w:r>
        <w:rPr>
          <w:rFonts w:ascii="Century Gothic" w:hAnsi="Century Gothic" w:cs="Century Gothic" w:eastAsia="Century Gothic"/>
          <w:b w:val="0"/>
          <w:i w:val="0"/>
          <w:sz w:val="20"/>
        </w:rPr>
        <w:t xml:space="preserve"> del nuevo Rediseño Curricular, dotándolo de la formalidad jurídica requerida ante el Honorable Consejo Universitario (HCU).</w:t>
      </w:r>
    </w:p>
    <w:p>
      <w:pPr>
        <w:keepNext/>
        <w:spacing w:before="40" w:after="200" w:line="240" w:lineRule="auto"/>
        <w:jc w:val="left"/>
      </w:pPr>
      <w:r>
        <w:rPr>
          <w:rFonts w:ascii="Century Gothic" w:hAnsi="Century Gothic" w:cs="Century Gothic" w:eastAsia="Century Gothic"/>
          <w:b/>
          <w:i w:val="0"/>
          <w:sz w:val="22"/>
        </w:rPr>
        <w:t>RESULTADOS, OBSERVACIONES Y MEJORAS PROPUESTAS</w:t>
      </w:r>
    </w:p>
    <w:p>
      <w:pPr>
        <w:spacing w:before="0" w:after="200" w:line="240" w:lineRule="auto"/>
        <w:jc w:val="both"/>
      </w:pPr>
      <w:r>
        <w:rPr>
          <w:rFonts w:ascii="Century Gothic" w:hAnsi="Century Gothic" w:cs="Century Gothic" w:eastAsia="Century Gothic"/>
          <w:b w:val="0"/>
          <w:i w:val="0"/>
          <w:sz w:val="20"/>
        </w:rPr>
        <w:t>Tomando en cuenta los documentos previos como base de avance, la Subcomisión identifica las siguientes observaciones y plantea las mejoras normativas definitivas para su incorporación en el rediseño:</w:t>
      </w:r>
    </w:p>
    <w:p>
      <w:pPr>
        <w:spacing w:before="0" w:after="200" w:line="240" w:lineRule="auto"/>
        <w:jc w:val="both"/>
      </w:pPr>
      <w:r>
        <w:rPr>
          <w:rFonts w:ascii="Century Gothic" w:hAnsi="Century Gothic" w:cs="Century Gothic" w:eastAsia="Century Gothic"/>
          <w:b/>
          <w:i w:val="0"/>
          <w:sz w:val="20"/>
        </w:rPr>
        <w:t>1. Respecto al Marco General e Institucional (Estatuto y Resoluciones)</w:t>
      </w:r>
    </w:p>
    <w:p>
      <w:pPr>
        <w:numPr>
          <w:ilvl w:val="0"/>
          <w:numId w:val="905"/>
        </w:numPr>
        <w:spacing w:before="0" w:after="160" w:line="240" w:lineRule="auto"/>
        <w:jc w:val="both"/>
      </w:pPr>
      <w:r>
        <w:rPr>
          <w:rFonts w:ascii="Century Gothic" w:hAnsi="Century Gothic" w:cs="Century Gothic" w:eastAsia="Century Gothic"/>
          <w:b/>
          <w:i w:val="0"/>
          <w:sz w:val="20"/>
        </w:rPr>
        <w:t>Situación Observada:</w:t>
      </w:r>
      <w:r>
        <w:rPr>
          <w:rFonts w:ascii="Century Gothic" w:hAnsi="Century Gothic" w:cs="Century Gothic" w:eastAsia="Century Gothic"/>
          <w:b w:val="0"/>
          <w:i w:val="0"/>
          <w:sz w:val="20"/>
        </w:rPr>
        <w:t xml:space="preserve"> Si bien la Carrera opera bajo el amparo general del Estatuto Orgánico de la Universidad Boliviana (actualizado en el XI y XII Congreso), se arrastra la observación histórica de la inexistencia física en archivos centrales de la </w:t>
      </w:r>
      <w:r>
        <w:rPr>
          <w:rFonts w:ascii="Century Gothic" w:hAnsi="Century Gothic" w:cs="Century Gothic" w:eastAsia="Century Gothic"/>
          <w:b/>
          <w:i w:val="0"/>
          <w:sz w:val="20"/>
        </w:rPr>
        <w:t>Resolución original de creación de la Carrera</w:t>
      </w:r>
      <w:r>
        <w:rPr>
          <w:rFonts w:ascii="Century Gothic" w:hAnsi="Century Gothic" w:cs="Century Gothic" w:eastAsia="Century Gothic"/>
          <w:b w:val="0"/>
          <w:i w:val="0"/>
          <w:sz w:val="20"/>
        </w:rPr>
        <w:t xml:space="preserve"> (25 de agosto de 1970), así como la disonancia en la emisión de títulos por parte de la División Títulos (que en algunos casos mantenían la mención de "Auditor" en lugar de "Contador Público").</w:t>
      </w:r>
    </w:p>
    <w:p>
      <w:pPr>
        <w:numPr>
          <w:ilvl w:val="0"/>
          <w:numId w:val="905"/>
        </w:numPr>
        <w:spacing w:before="0" w:after="200" w:line="240" w:lineRule="auto"/>
        <w:jc w:val="both"/>
      </w:pPr>
      <w:r>
        <w:rPr>
          <w:rFonts w:ascii="Century Gothic" w:hAnsi="Century Gothic" w:cs="Century Gothic" w:eastAsia="Century Gothic"/>
          <w:b/>
          <w:i w:val="0"/>
          <w:sz w:val="20"/>
        </w:rPr>
        <w:t>Sugerencia y Mejora Propuesta:</w:t>
      </w:r>
      <w:r>
        <w:rPr>
          <w:rFonts w:ascii="Century Gothic" w:hAnsi="Century Gothic" w:cs="Century Gothic" w:eastAsia="Century Gothic"/>
          <w:b w:val="0"/>
          <w:i w:val="0"/>
          <w:sz w:val="20"/>
        </w:rPr>
        <w:t xml:space="preserve"> Consolidar en el acápite normativo del rediseño un preámbulo que reconozca formalmente el funcionamiento histórico desde 1970 y ratifique el cambio de denominación a </w:t>
      </w:r>
      <w:r>
        <w:rPr>
          <w:rFonts w:ascii="Century Gothic" w:hAnsi="Century Gothic" w:cs="Century Gothic" w:eastAsia="Century Gothic"/>
          <w:b/>
          <w:i w:val="0"/>
          <w:sz w:val="20"/>
        </w:rPr>
        <w:t>Contaduría Pública</w:t>
      </w:r>
      <w:r>
        <w:rPr>
          <w:rFonts w:ascii="Century Gothic" w:hAnsi="Century Gothic" w:cs="Century Gothic" w:eastAsia="Century Gothic"/>
          <w:b w:val="0"/>
          <w:i w:val="0"/>
          <w:sz w:val="20"/>
        </w:rPr>
        <w:t xml:space="preserve"> en concordancia con la Resolución HCU Nº 186/2000 y las recomendaciones de la VI Conferencia Nacional de Universidades.</w:t>
      </w:r>
    </w:p>
    <w:p>
      <w:pPr>
        <w:spacing w:before="0" w:after="200" w:line="240" w:lineRule="auto"/>
        <w:jc w:val="both"/>
      </w:pPr>
      <w:r>
        <w:rPr>
          <w:rFonts w:ascii="Century Gothic" w:hAnsi="Century Gothic" w:cs="Century Gothic" w:eastAsia="Century Gothic"/>
          <w:b/>
          <w:i w:val="0"/>
          <w:sz w:val="20"/>
        </w:rPr>
        <w:t>2. Respecto a Reglamentos Académicos Específicos (Cursos de Temporada y Mesas de Examen)</w:t>
      </w:r>
    </w:p>
    <w:p>
      <w:pPr>
        <w:numPr>
          <w:ilvl w:val="0"/>
          <w:numId w:val="906"/>
        </w:numPr>
        <w:spacing w:before="0" w:after="160" w:line="240" w:lineRule="auto"/>
        <w:jc w:val="both"/>
      </w:pPr>
      <w:r>
        <w:rPr>
          <w:rFonts w:ascii="Century Gothic" w:hAnsi="Century Gothic" w:cs="Century Gothic" w:eastAsia="Century Gothic"/>
          <w:b/>
          <w:i w:val="0"/>
          <w:sz w:val="20"/>
        </w:rPr>
        <w:t>Situación Observada:</w:t>
      </w:r>
      <w:r>
        <w:rPr>
          <w:rFonts w:ascii="Century Gothic" w:hAnsi="Century Gothic" w:cs="Century Gothic" w:eastAsia="Century Gothic"/>
          <w:b w:val="0"/>
          <w:i w:val="0"/>
          <w:sz w:val="20"/>
        </w:rPr>
        <w:t xml:space="preserve"> La necesidad de flexibilizar y regular con precisión los procesos de nivelación y avance académico sin vulnerar el perfil de exigencia del Contador Público.</w:t>
      </w:r>
    </w:p>
    <w:p>
      <w:pPr>
        <w:numPr>
          <w:ilvl w:val="0"/>
          <w:numId w:val="906"/>
        </w:numPr>
        <w:spacing w:before="0" w:after="160" w:line="240" w:lineRule="auto"/>
        <w:jc w:val="both"/>
      </w:pPr>
      <w:r>
        <w:rPr>
          <w:rFonts w:ascii="Century Gothic" w:hAnsi="Century Gothic" w:cs="Century Gothic" w:eastAsia="Century Gothic"/>
          <w:b/>
          <w:i w:val="0"/>
          <w:sz w:val="20"/>
        </w:rPr>
        <w:t>Sugerencia y Mejora Propuesta:</w:t>
      </w:r>
    </w:p>
    <w:p>
      <w:pPr>
        <w:numPr>
          <w:ilvl w:val="1"/>
          <w:numId w:val="906"/>
        </w:numPr>
        <w:spacing w:before="0" w:after="60" w:line="240" w:lineRule="auto"/>
        <w:jc w:val="both"/>
      </w:pPr>
      <w:r>
        <w:rPr>
          <w:rFonts w:ascii="Century Gothic" w:hAnsi="Century Gothic" w:cs="Century Gothic" w:eastAsia="Century Gothic"/>
          <w:b w:val="0"/>
          <w:i/>
          <w:sz w:val="20"/>
        </w:rPr>
        <w:t>Cursos de Temporada:</w:t>
      </w:r>
      <w:r>
        <w:rPr>
          <w:rFonts w:ascii="Century Gothic" w:hAnsi="Century Gothic" w:cs="Century Gothic" w:eastAsia="Century Gothic"/>
          <w:b w:val="0"/>
          <w:i w:val="0"/>
          <w:sz w:val="20"/>
        </w:rPr>
        <w:t xml:space="preserve"> Se reglamenta su aplicación estricta bajo la Resolución HCU Nº 093/06, estableciendo que </w:t>
      </w:r>
      <w:r>
        <w:rPr>
          <w:rFonts w:ascii="Century Gothic" w:hAnsi="Century Gothic" w:cs="Century Gothic" w:eastAsia="Century Gothic"/>
          <w:b/>
          <w:i w:val="0"/>
          <w:sz w:val="20"/>
        </w:rPr>
        <w:t>no aplican para adelantar asignaturas de las Áreas Troncales</w:t>
      </w:r>
      <w:r>
        <w:rPr>
          <w:rFonts w:ascii="Century Gothic" w:hAnsi="Century Gothic" w:cs="Century Gothic" w:eastAsia="Century Gothic"/>
          <w:b w:val="0"/>
          <w:i w:val="0"/>
          <w:sz w:val="20"/>
        </w:rPr>
        <w:t xml:space="preserve"> (salvo aquellas con carga horaria ≤ 80 horas), priorizando las áreas contextuales, y manteniendo el requisito de nota mínima de aprobación de 20 puntos para derecho a recuperación.</w:t>
      </w:r>
    </w:p>
    <w:p>
      <w:pPr>
        <w:numPr>
          <w:ilvl w:val="1"/>
          <w:numId w:val="906"/>
        </w:numPr>
        <w:spacing w:before="0" w:after="200" w:line="240" w:lineRule="auto"/>
        <w:jc w:val="both"/>
      </w:pPr>
      <w:r>
        <w:rPr>
          <w:rFonts w:ascii="Century Gothic" w:hAnsi="Century Gothic" w:cs="Century Gothic" w:eastAsia="Century Gothic"/>
          <w:b w:val="0"/>
          <w:i/>
          <w:sz w:val="20"/>
        </w:rPr>
        <w:t>Mesas de Examen:</w:t>
      </w:r>
      <w:r>
        <w:rPr>
          <w:rFonts w:ascii="Century Gothic" w:hAnsi="Century Gothic" w:cs="Century Gothic" w:eastAsia="Century Gothic"/>
          <w:b w:val="0"/>
          <w:i w:val="0"/>
          <w:sz w:val="20"/>
        </w:rPr>
        <w:t xml:space="preserve"> Se actualiza y consolida el listado oficial de asignaturas teóricas habilitadas (Primer a Cuarto Año) amparadas bajo la Resolución HCU Nº 352/2021 (tales como Administración General, Derecho Comercial, Legislación Tributaria, Ética Profesional, entre otras).</w:t>
      </w:r>
    </w:p>
    <w:p>
      <w:pPr>
        <w:spacing w:before="0" w:after="200" w:line="240" w:lineRule="auto"/>
        <w:jc w:val="both"/>
      </w:pPr>
      <w:r>
        <w:rPr>
          <w:rFonts w:ascii="Century Gothic" w:hAnsi="Century Gothic" w:cs="Century Gothic" w:eastAsia="Century Gothic"/>
          <w:b/>
          <w:i w:val="0"/>
          <w:sz w:val="20"/>
        </w:rPr>
        <w:t>3. Respecto a las Modalidades de Graduación</w:t>
      </w:r>
    </w:p>
    <w:p>
      <w:pPr>
        <w:numPr>
          <w:ilvl w:val="0"/>
          <w:numId w:val="907"/>
        </w:numPr>
        <w:spacing w:before="0" w:after="160" w:line="240" w:lineRule="auto"/>
        <w:jc w:val="both"/>
      </w:pPr>
      <w:r>
        <w:rPr>
          <w:rFonts w:ascii="Century Gothic" w:hAnsi="Century Gothic" w:cs="Century Gothic" w:eastAsia="Century Gothic"/>
          <w:b/>
          <w:i w:val="0"/>
          <w:sz w:val="20"/>
        </w:rPr>
        <w:t>Situación Observada:</w:t>
      </w:r>
      <w:r>
        <w:rPr>
          <w:rFonts w:ascii="Century Gothic" w:hAnsi="Century Gothic" w:cs="Century Gothic" w:eastAsia="Century Gothic"/>
          <w:b w:val="0"/>
          <w:i w:val="0"/>
          <w:sz w:val="20"/>
        </w:rPr>
        <w:t xml:space="preserve"> Los informes previos señalaban que, si bien existían las opciones de titulación, los trámites para ciertas modalidades se tornaban burocráticos.</w:t>
      </w:r>
    </w:p>
    <w:p>
      <w:pPr>
        <w:numPr>
          <w:ilvl w:val="0"/>
          <w:numId w:val="907"/>
        </w:numPr>
        <w:spacing w:before="0" w:after="200" w:line="240" w:lineRule="auto"/>
        <w:jc w:val="both"/>
      </w:pPr>
      <w:r>
        <w:rPr>
          <w:rFonts w:ascii="Century Gothic" w:hAnsi="Century Gothic" w:cs="Century Gothic" w:eastAsia="Century Gothic"/>
          <w:b/>
          <w:i w:val="0"/>
          <w:sz w:val="20"/>
        </w:rPr>
        <w:t>Sugerencia y Mejora Propuesta:</w:t>
      </w:r>
      <w:r>
        <w:rPr>
          <w:rFonts w:ascii="Century Gothic" w:hAnsi="Century Gothic" w:cs="Century Gothic" w:eastAsia="Century Gothic"/>
          <w:b w:val="0"/>
          <w:i w:val="0"/>
          <w:sz w:val="20"/>
        </w:rPr>
        <w:t xml:space="preserve"> Integrar y armonizar de manera explícita los Capítulos del Reglamento de Modalidades de Graduación (Tesis de Grado, Proyecto de Grado, Trabajo Dirigido, Examen de Grado y Excelencia), garantizando procedimientos claros y transparentes que Dinamicen la titulación de los nuevos profesionales.</w:t>
      </w:r>
    </w:p>
    <w:p>
      <w:pPr>
        <w:spacing w:before="0" w:after="200" w:line="240" w:lineRule="auto"/>
        <w:jc w:val="both"/>
      </w:pPr>
      <w:r>
        <w:rPr>
          <w:rFonts w:ascii="Century Gothic" w:hAnsi="Century Gothic" w:cs="Century Gothic" w:eastAsia="Century Gothic"/>
          <w:b/>
          <w:i w:val="0"/>
          <w:sz w:val="20"/>
        </w:rPr>
        <w:t>4. Respecto al Centro de Investigación (IICCFA)</w:t>
      </w:r>
    </w:p>
    <w:p>
      <w:pPr>
        <w:numPr>
          <w:ilvl w:val="0"/>
          <w:numId w:val="908"/>
        </w:numPr>
        <w:spacing w:before="0" w:after="160" w:line="240" w:lineRule="auto"/>
        <w:jc w:val="both"/>
      </w:pPr>
      <w:r>
        <w:rPr>
          <w:rFonts w:ascii="Century Gothic" w:hAnsi="Century Gothic" w:cs="Century Gothic" w:eastAsia="Century Gothic"/>
          <w:b/>
          <w:i w:val="0"/>
          <w:sz w:val="20"/>
        </w:rPr>
        <w:t>Situación Observada:</w:t>
      </w:r>
      <w:r>
        <w:rPr>
          <w:rFonts w:ascii="Century Gothic" w:hAnsi="Century Gothic" w:cs="Century Gothic" w:eastAsia="Century Gothic"/>
          <w:b w:val="0"/>
          <w:i w:val="0"/>
          <w:sz w:val="20"/>
        </w:rPr>
        <w:t xml:space="preserve"> En los documentos anteriores se evidenció la necesidad de fortalecer la normativa de los institutos de investigación.</w:t>
      </w:r>
    </w:p>
    <w:p>
      <w:pPr>
        <w:numPr>
          <w:ilvl w:val="0"/>
          <w:numId w:val="908"/>
        </w:numPr>
        <w:spacing w:before="0" w:after="200" w:line="240" w:lineRule="auto"/>
        <w:jc w:val="both"/>
      </w:pPr>
      <w:r>
        <w:rPr>
          <w:rFonts w:ascii="Century Gothic" w:hAnsi="Century Gothic" w:cs="Century Gothic" w:eastAsia="Century Gothic"/>
          <w:b/>
          <w:i w:val="0"/>
          <w:sz w:val="20"/>
        </w:rPr>
        <w:t>Sugerencia y Mejora Propuesta:</w:t>
      </w:r>
      <w:r>
        <w:rPr>
          <w:rFonts w:ascii="Century Gothic" w:hAnsi="Century Gothic" w:cs="Century Gothic" w:eastAsia="Century Gothic"/>
          <w:b w:val="0"/>
          <w:i w:val="0"/>
          <w:sz w:val="20"/>
        </w:rPr>
        <w:t xml:space="preserve"> Incorporar formalmente en la reglamentación del rediseño los antecedentes de creación del Instituto de Investigaciones de Ciencias Contables, Financieras y Auditoría (IICCFA), fundamentado en la Resolución de Consejo de Carrera Nº 018/2003, HCF Nº 373/2004 y la Resolución HCU Nº 457/2004, visibilizando su rol estratégico en la producción científica y la interacción social.</w:t>
      </w:r>
    </w:p>
    <w:p>
      <w:pPr>
        <w:spacing w:before="0" w:after="200" w:line="240" w:lineRule="auto"/>
        <w:jc w:val="both"/>
      </w:pPr>
      <w:r>
        <w:rPr>
          <w:rFonts w:ascii="Century Gothic" w:hAnsi="Century Gothic" w:cs="Century Gothic" w:eastAsia="Century Gothic"/>
          <w:b/>
          <w:i w:val="0"/>
          <w:sz w:val="20"/>
        </w:rPr>
        <w:t>Cuadro resumen de Observaciones, sugerencias y Mejoras propuestas.</w:t>
      </w:r>
    </w:p>
    <w:tbl>
      <w:tblPr>
        <w:tblW w:type="auto" w:w="0"/>
        <w:jc w:val="center"/>
        <w:tblLayout w:type="fixed"/>
        <w:tblLook w:firstColumn="1" w:firstRow="1" w:lastColumn="0" w:lastRow="0" w:noHBand="0" w:noVBand="1" w:val="04A0"/>
      </w:tblPr>
      <w:tblGrid>
        <w:gridCol w:w="1436"/>
        <w:gridCol w:w="2384"/>
        <w:gridCol w:w="3100"/>
        <w:gridCol w:w="2151"/>
      </w:tblGrid>
      <w:tr>
        <w:trPr>
          <w:tblHeader/>
        </w:trPr>
        <w:tc>
          <w:tcPr>
            <w:tcW w:type="dxa" w:w="14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w:t>
            </w:r>
          </w:p>
          <w:p>
            <w:pPr>
              <w:spacing w:before="0" w:after="0" w:line="240" w:lineRule="auto"/>
              <w:jc w:val="center"/>
            </w:pPr>
            <w:r>
              <w:rPr>
                <w:rFonts w:ascii="Century Gothic" w:hAnsi="Century Gothic" w:cs="Century Gothic" w:eastAsia="Century Gothic"/>
                <w:b/>
                <w:i w:val="0"/>
                <w:color w:val="FFFFFF"/>
                <w:sz w:val="20"/>
              </w:rPr>
              <w:t>Área del Reglamento</w:t>
            </w:r>
          </w:p>
        </w:tc>
        <w:tc>
          <w:tcPr>
            <w:tcW w:type="dxa" w:w="23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Observación</w:t>
            </w:r>
          </w:p>
          <w:p>
            <w:pPr>
              <w:spacing w:before="0" w:after="0" w:line="240" w:lineRule="auto"/>
              <w:jc w:val="center"/>
            </w:pPr>
            <w:r>
              <w:rPr>
                <w:rFonts w:ascii="Century Gothic" w:hAnsi="Century Gothic" w:cs="Century Gothic" w:eastAsia="Century Gothic"/>
                <w:b/>
                <w:i w:val="0"/>
                <w:color w:val="FFFFFF"/>
                <w:sz w:val="20"/>
              </w:rPr>
              <w:t>Situación Actual</w:t>
            </w:r>
          </w:p>
        </w:tc>
        <w:tc>
          <w:tcPr>
            <w:tcW w:type="dxa" w:w="31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Sugerencia</w:t>
            </w:r>
          </w:p>
          <w:p>
            <w:pPr>
              <w:spacing w:before="0" w:after="0" w:line="240" w:lineRule="auto"/>
              <w:jc w:val="center"/>
            </w:pPr>
            <w:r>
              <w:rPr>
                <w:rFonts w:ascii="Century Gothic" w:hAnsi="Century Gothic" w:cs="Century Gothic" w:eastAsia="Century Gothic"/>
                <w:b/>
                <w:i w:val="0"/>
                <w:color w:val="FFFFFF"/>
                <w:sz w:val="20"/>
              </w:rPr>
              <w:t>Mejora Propuesta</w:t>
            </w:r>
          </w:p>
        </w:tc>
        <w:tc>
          <w:tcPr>
            <w:tcW w:type="dxa" w:w="21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Justificación Normativa</w:t>
            </w:r>
          </w:p>
          <w:p>
            <w:pPr>
              <w:spacing w:before="0" w:after="0" w:line="240" w:lineRule="auto"/>
              <w:jc w:val="center"/>
            </w:pPr>
            <w:r>
              <w:rPr>
                <w:rFonts w:ascii="Century Gothic" w:hAnsi="Century Gothic" w:cs="Century Gothic" w:eastAsia="Century Gothic"/>
                <w:b/>
                <w:i w:val="0"/>
                <w:color w:val="FFFFFF"/>
                <w:sz w:val="20"/>
              </w:rPr>
              <w:t>Académica</w:t>
            </w:r>
          </w:p>
        </w:tc>
      </w:tr>
      <w:tr>
        <w:tc>
          <w:tcPr>
            <w:tcW w:type="dxa" w:w="14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Marco general de Reglamento</w:t>
            </w:r>
            <w:r>
              <w:rPr>
                <w:rFonts w:ascii="Century Gothic" w:hAnsi="Century Gothic" w:cs="Century Gothic" w:eastAsia="Century Gothic"/>
                <w:b w:val="0"/>
                <w:i w:val="0"/>
                <w:sz w:val="20"/>
              </w:rPr>
              <w:t xml:space="preserve"> (Punto 13,1)</w:t>
            </w:r>
          </w:p>
        </w:tc>
        <w:tc>
          <w:tcPr>
            <w:tcW w:type="dxa" w:w="2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El documento original listaba reglamentos de forma aislada sin un paraguas jerárquico formal</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Incorporar un acápite introductorio que vincule los reglamentos con el Estatuto Orgánico de la Universidad Boliviana y los Congresos Nacionales</w:t>
            </w:r>
          </w:p>
        </w:tc>
        <w:tc>
          <w:tcPr>
            <w:tcW w:type="dxa" w:w="2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Otorga un rigor jurídico equiparable a otros rediseños aprobados en la UMSA</w:t>
            </w:r>
          </w:p>
        </w:tc>
      </w:tr>
      <w:tr>
        <w:tc>
          <w:tcPr>
            <w:tcW w:type="dxa" w:w="14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Cursos de Temporada</w:t>
            </w:r>
            <w:r>
              <w:rPr>
                <w:rFonts w:ascii="Century Gothic" w:hAnsi="Century Gothic" w:cs="Century Gothic" w:eastAsia="Century Gothic"/>
                <w:b w:val="0"/>
                <w:i w:val="0"/>
                <w:sz w:val="20"/>
              </w:rPr>
              <w:t xml:space="preserve">   </w:t>
            </w:r>
            <w:r>
              <w:rPr>
                <w:rFonts w:ascii="Century Gothic" w:hAnsi="Century Gothic" w:cs="Century Gothic" w:eastAsia="Century Gothic"/>
                <w:b w:val="0"/>
                <w:i/>
                <w:sz w:val="20"/>
              </w:rPr>
              <w:t>(Punto 10.1.1)</w:t>
            </w:r>
          </w:p>
        </w:tc>
        <w:tc>
          <w:tcPr>
            <w:tcW w:type="dxa" w:w="2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Existían ambigüedades sobre la aplicabilidad en áreas troncales.</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Delimitar claramente que no aplican para adelantar áreas troncales (salvo carga menor a 80 hrs), priorizando áreas contextuales, y manteniendo el requisito de nota $\ge$ 20 para recuperación.</w:t>
            </w:r>
          </w:p>
        </w:tc>
        <w:tc>
          <w:tcPr>
            <w:tcW w:type="dxa" w:w="2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Protege el perfil formativo y la exigencia académica del Contador Público.</w:t>
            </w:r>
          </w:p>
        </w:tc>
      </w:tr>
      <w:tr>
        <w:tc>
          <w:tcPr>
            <w:tcW w:type="dxa" w:w="14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Mesas de Examen</w:t>
            </w:r>
            <w:r>
              <w:rPr>
                <w:rFonts w:ascii="Century Gothic" w:hAnsi="Century Gothic" w:cs="Century Gothic" w:eastAsia="Century Gothic"/>
                <w:b w:val="0"/>
                <w:i w:val="0"/>
                <w:sz w:val="20"/>
              </w:rPr>
              <w:t xml:space="preserve"> </w:t>
            </w:r>
            <w:r>
              <w:rPr>
                <w:rFonts w:ascii="Century Gothic" w:hAnsi="Century Gothic" w:cs="Century Gothic" w:eastAsia="Century Gothic"/>
                <w:b w:val="0"/>
                <w:i/>
                <w:sz w:val="20"/>
              </w:rPr>
              <w:t>(Punto 10.1.2)</w:t>
            </w:r>
          </w:p>
        </w:tc>
        <w:tc>
          <w:tcPr>
            <w:tcW w:type="dxa" w:w="2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Necesidad de actualizar el listado de materias teóricas conforme a las resoluciones del HCU vigentes.</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Consolidar la tabla detallada por años académicos (Primer a Cuarto Año) amparada en la Resolución HCU No. 352/2021.</w:t>
            </w:r>
          </w:p>
        </w:tc>
        <w:tc>
          <w:tcPr>
            <w:tcW w:type="dxa" w:w="2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Brinda certeza jurídica a los estudiantes y docentes sobre qué asignaturas están habilitadas</w:t>
            </w:r>
          </w:p>
        </w:tc>
      </w:tr>
      <w:tr>
        <w:tc>
          <w:tcPr>
            <w:tcW w:type="dxa" w:w="14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Modalidades de Graduación</w:t>
            </w:r>
            <w:r>
              <w:rPr>
                <w:rFonts w:ascii="Century Gothic" w:hAnsi="Century Gothic" w:cs="Century Gothic" w:eastAsia="Century Gothic"/>
                <w:b w:val="0"/>
                <w:i w:val="0"/>
                <w:sz w:val="20"/>
              </w:rPr>
              <w:t xml:space="preserve">  </w:t>
            </w:r>
            <w:r>
              <w:rPr>
                <w:rFonts w:ascii="Century Gothic" w:hAnsi="Century Gothic" w:cs="Century Gothic" w:eastAsia="Century Gothic"/>
                <w:b w:val="0"/>
                <w:i/>
                <w:sz w:val="20"/>
              </w:rPr>
              <w:t>(Punto 10.2.1)</w:t>
            </w:r>
          </w:p>
        </w:tc>
        <w:tc>
          <w:tcPr>
            <w:tcW w:type="dxa" w:w="2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Requiere asegurar la integración íntegra de los capítulos de Tesis, Proyecto, Trabajo Dirigido y Examen de Grado.</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Ratificar y estructurar armónicamente los Capítulos I al V, manteniendo plazos, ponderaciones y tribunales.</w:t>
            </w:r>
          </w:p>
        </w:tc>
        <w:tc>
          <w:tcPr>
            <w:tcW w:type="dxa" w:w="2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Evita vacíos legales durante el tránsito e implementación del nuevo plan de estudios.</w:t>
            </w:r>
          </w:p>
        </w:tc>
      </w:tr>
      <w:tr>
        <w:tc>
          <w:tcPr>
            <w:tcW w:type="dxa" w:w="14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Centro de Investigación</w:t>
            </w:r>
            <w:r>
              <w:rPr>
                <w:rFonts w:ascii="Century Gothic" w:hAnsi="Century Gothic" w:cs="Century Gothic" w:eastAsia="Century Gothic"/>
                <w:b w:val="0"/>
                <w:i w:val="0"/>
                <w:sz w:val="20"/>
              </w:rPr>
              <w:t xml:space="preserve">   </w:t>
            </w:r>
            <w:r>
              <w:rPr>
                <w:rFonts w:ascii="Century Gothic" w:hAnsi="Century Gothic" w:cs="Century Gothic" w:eastAsia="Century Gothic"/>
                <w:b w:val="0"/>
                <w:i/>
                <w:sz w:val="20"/>
              </w:rPr>
              <w:t>(Punto 13.2)</w:t>
            </w:r>
          </w:p>
        </w:tc>
        <w:tc>
          <w:tcPr>
            <w:tcW w:type="dxa" w:w="23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Brevedad excesiva en la mención del Instituto de Investigación.</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Formalizar los antecedentes históricos, citando expresamente las resoluciones fundacionales (Resolución de Consejo de Carrera No 018/2003, HCF No 373/2004 y HCU No 457/2004).</w:t>
            </w:r>
          </w:p>
        </w:tc>
        <w:tc>
          <w:tcPr>
            <w:tcW w:type="dxa" w:w="21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Visibiliza y otorga el peso institucional reglamentario al IICCFA dentro del rediseño.</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CONCLUSIONES Y RECOMENDACIONES</w:t>
      </w:r>
    </w:p>
    <w:p>
      <w:pPr>
        <w:numPr>
          <w:ilvl w:val="0"/>
          <w:numId w:val="909"/>
        </w:numPr>
        <w:spacing w:before="0" w:after="160" w:line="240" w:lineRule="auto"/>
        <w:jc w:val="both"/>
      </w:pPr>
      <w:r>
        <w:rPr>
          <w:rFonts w:ascii="Century Gothic" w:hAnsi="Century Gothic" w:cs="Century Gothic" w:eastAsia="Century Gothic"/>
          <w:b/>
          <w:i w:val="0"/>
          <w:sz w:val="20"/>
        </w:rPr>
        <w:t>Conclusión Principal:</w:t>
      </w:r>
      <w:r>
        <w:rPr>
          <w:rFonts w:ascii="Century Gothic" w:hAnsi="Century Gothic" w:cs="Century Gothic" w:eastAsia="Century Gothic"/>
          <w:b w:val="0"/>
          <w:i w:val="0"/>
          <w:sz w:val="20"/>
        </w:rPr>
        <w:t xml:space="preserve"> El presente informe demuestra que, a pesar de no haberse ejecutado encuestas en esta fase coyuntural, </w:t>
      </w:r>
      <w:r>
        <w:rPr>
          <w:rFonts w:ascii="Century Gothic" w:hAnsi="Century Gothic" w:cs="Century Gothic" w:eastAsia="Century Gothic"/>
          <w:b/>
          <w:i w:val="0"/>
          <w:sz w:val="20"/>
        </w:rPr>
        <w:t>los documentos e informes precedentes constituyen una base técnica sólida y suficiente</w:t>
      </w:r>
      <w:r>
        <w:rPr>
          <w:rFonts w:ascii="Century Gothic" w:hAnsi="Century Gothic" w:cs="Century Gothic" w:eastAsia="Century Gothic"/>
          <w:b w:val="0"/>
          <w:i w:val="0"/>
          <w:sz w:val="20"/>
        </w:rPr>
        <w:t>. Las observaciones detectadas han sido subsanadas mediante una estructuración jurídica rigurosa que eleva la calidad normativa del Punto 13 del Rediseño Curricular de Contaduría Pública, equiparándolo a los estándares exigidos en la UMSA.</w:t>
      </w:r>
    </w:p>
    <w:p>
      <w:pPr>
        <w:numPr>
          <w:ilvl w:val="0"/>
          <w:numId w:val="909"/>
        </w:numPr>
        <w:spacing w:before="0" w:after="200" w:line="240" w:lineRule="auto"/>
        <w:jc w:val="both"/>
      </w:pPr>
      <w:r>
        <w:rPr>
          <w:rFonts w:ascii="Century Gothic" w:hAnsi="Century Gothic" w:cs="Century Gothic" w:eastAsia="Century Gothic"/>
          <w:b/>
          <w:i w:val="0"/>
          <w:sz w:val="20"/>
        </w:rPr>
        <w:t>Recomendación:</w:t>
      </w:r>
      <w:r>
        <w:rPr>
          <w:rFonts w:ascii="Century Gothic" w:hAnsi="Century Gothic" w:cs="Century Gothic" w:eastAsia="Century Gothic"/>
          <w:b w:val="0"/>
          <w:i w:val="0"/>
          <w:sz w:val="20"/>
        </w:rPr>
        <w:t xml:space="preserve"> Se recomienda al Director de Carrera y al Honorable Consejo de Carrera </w:t>
      </w:r>
      <w:r>
        <w:rPr>
          <w:rFonts w:ascii="Century Gothic" w:hAnsi="Century Gothic" w:cs="Century Gothic" w:eastAsia="Century Gothic"/>
          <w:b/>
          <w:i w:val="0"/>
          <w:sz w:val="20"/>
        </w:rPr>
        <w:t>aprobar el presente informe técnico y disponer la incorporación formal de la normativa optimizada</w:t>
      </w:r>
      <w:r>
        <w:rPr>
          <w:rFonts w:ascii="Century Gothic" w:hAnsi="Century Gothic" w:cs="Century Gothic" w:eastAsia="Century Gothic"/>
          <w:b w:val="0"/>
          <w:i w:val="0"/>
          <w:sz w:val="20"/>
        </w:rPr>
        <w:t xml:space="preserve"> en el documento final del Rediseño Curricular de la Carrera de Contaduría Pública, para su posterior homologación ante las instancias facultativas y universitarias superiores.</w:t>
      </w:r>
    </w:p>
    <w:p>
      <w:pPr>
        <w:spacing w:before="0" w:after="200" w:line="240" w:lineRule="auto"/>
        <w:jc w:val="both"/>
      </w:pPr>
      <w:r>
        <w:rPr>
          <w:rFonts w:ascii="Century Gothic" w:hAnsi="Century Gothic" w:cs="Century Gothic" w:eastAsia="Century Gothic"/>
          <w:b w:val="0"/>
          <w:i w:val="0"/>
          <w:sz w:val="20"/>
        </w:rPr>
        <w:t>Es cuanto se informa para los fines consiguientes de ley y académico-institucionales.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 xml:space="preserve">Mg. Sc. Ausberto Choque Mita </w:t>
        <w:tab/>
        <w:t>M. Sc Esperanza Mejillones Rodríguez</w:t>
      </w:r>
    </w:p>
    <w:p>
      <w:pPr>
        <w:tabs>
          <w:tab w:pos="1701" w:val="left"/>
        </w:tabs>
        <w:spacing w:before="0" w:after="200" w:line="240" w:lineRule="auto"/>
        <w:ind w:left="1701" w:hanging="1701"/>
        <w:jc w:val="left"/>
      </w:pPr>
      <w:r>
        <w:rPr>
          <w:rFonts w:ascii="Century Gothic" w:hAnsi="Century Gothic" w:cs="Century Gothic" w:eastAsia="Century Gothic"/>
          <w:b w:val="0"/>
          <w:i w:val="0"/>
          <w:sz w:val="20"/>
        </w:rPr>
        <w:t xml:space="preserve">Univ. Herlan N. Rodriguez Mendoza </w:t>
        <w:tab/>
        <w:t>Univ. Camila A. Quispe Mollocuaquira</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2"/>
    <w:lvlOverride w:ilvl="0">
      <w:startOverride w:val="1"/>
    </w:lvlOverride>
  </w:num>
  <w:num w:numId="905">
    <w:abstractNumId w:val="900"/>
    <w:lvlOverride w:ilvl="0">
      <w:startOverride w:val="1"/>
    </w:lvlOverride>
  </w:num>
  <w:num w:numId="906">
    <w:abstractNumId w:val="900"/>
    <w:lvlOverride w:ilvl="0">
      <w:startOverride w:val="1"/>
    </w:lvlOverride>
  </w:num>
  <w:num w:numId="907">
    <w:abstractNumId w:val="900"/>
    <w:lvlOverride w:ilvl="0">
      <w:startOverride w:val="1"/>
    </w:lvlOverride>
  </w:num>
  <w:num w:numId="908">
    <w:abstractNumId w:val="900"/>
    <w:lvlOverride w:ilvl="0">
      <w:startOverride w:val="1"/>
    </w:lvlOverride>
  </w:num>
  <w:num w:numId="909">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