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rPr>
          <w:rFonts w:ascii="Century Gothic" w:hAnsi="Century Gothic" w:cs="Century Gothic" w:eastAsia="Century Gothic"/>
          <w:b/>
          <w:i w:val="0"/>
          <w:sz w:val="28"/>
        </w:rPr>
        <w:t>Diseño Curricular</w:t>
      </w:r>
    </w:p>
    <w:p>
      <w:pPr>
        <w:spacing w:before="0" w:after="360" w:line="240" w:lineRule="auto"/>
        <w:jc w:val="center"/>
      </w:pPr>
      <w:r>
        <w:rPr>
          <w:rFonts w:ascii="Century Gothic" w:hAnsi="Century Gothic" w:cs="Century Gothic" w:eastAsia="Century Gothic"/>
          <w:b/>
          <w:i w:val="0"/>
          <w:sz w:val="28"/>
        </w:rPr>
        <w:t>Aspectos Académicos</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4.4</w:t>
        <w:tab/>
      </w:r>
      <w:r>
        <w:rPr>
          <w:rFonts w:ascii="Century Gothic" w:hAnsi="Century Gothic" w:cs="Century Gothic" w:eastAsia="Century Gothic"/>
          <w:b/>
          <w:i w:val="0"/>
          <w:sz w:val="24"/>
        </w:rPr>
        <w:t>Estructura curricular</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4.4.1</w:t>
        <w:tab/>
      </w:r>
      <w:r>
        <w:rPr>
          <w:rFonts w:ascii="Century Gothic" w:hAnsi="Century Gothic" w:cs="Century Gothic" w:eastAsia="Century Gothic"/>
          <w:b/>
          <w:i w:val="0"/>
          <w:sz w:val="22"/>
        </w:rPr>
        <w:t>Descripción de la organización curricular (organización de la asignatura por áreas o ejes de conocimiento)</w:t>
      </w:r>
    </w:p>
    <w:p>
      <w:pPr>
        <w:spacing w:before="0" w:after="200" w:line="240" w:lineRule="auto"/>
        <w:jc w:val="both"/>
      </w:pPr>
      <w:r>
        <w:rPr>
          <w:rFonts w:ascii="Century Gothic" w:hAnsi="Century Gothic" w:cs="Century Gothic" w:eastAsia="Century Gothic"/>
          <w:b w:val="0"/>
          <w:i w:val="0"/>
          <w:sz w:val="20"/>
        </w:rPr>
        <w:t>De acuerdo con el modelo curricular por competencias del Sistema de la Universidad Boliviana y con la IES 2 de la IFAC, el Plan de Estudios 2027 organiza sus 43 asignaturas en seis áreas de conocimiento agrupadas en dos bloques: las áreas troncales, que forman el núcleo de la profesión, y las áreas contextuales, que aportan el sustento multidisciplinario.</w:t>
      </w:r>
    </w:p>
    <w:p>
      <w:pPr>
        <w:keepNext/>
        <w:spacing w:before="40" w:after="80" w:line="240" w:lineRule="auto"/>
        <w:jc w:val="center"/>
      </w:pPr>
      <w:r>
        <w:rPr>
          <w:rFonts w:ascii="Century Gothic" w:hAnsi="Century Gothic" w:cs="Century Gothic" w:eastAsia="Century Gothic"/>
          <w:b/>
          <w:i w:val="0"/>
          <w:sz w:val="20"/>
        </w:rPr>
        <w:t>Cuadro 1. Asignaturas y carga horaria por área de conocimiento</w:t>
      </w:r>
    </w:p>
    <w:tbl>
      <w:tblPr>
        <w:tblW w:type="auto" w:w="0"/>
        <w:jc w:val="center"/>
        <w:tblLayout w:type="fixed"/>
        <w:tblLook w:firstColumn="1" w:firstRow="1" w:lastColumn="0" w:lastRow="0" w:noHBand="0" w:noVBand="1" w:val="04A0"/>
      </w:tblPr>
      <w:tblGrid>
        <w:gridCol w:w="4535"/>
        <w:gridCol w:w="1474"/>
        <w:gridCol w:w="1701"/>
        <w:gridCol w:w="1361"/>
      </w:tblGrid>
      <w:tr>
        <w:trPr>
          <w:tblHeader/>
        </w:trPr>
        <w:tc>
          <w:tcPr>
            <w:tcW w:type="dxa" w:w="45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Área</w:t>
            </w:r>
          </w:p>
        </w:tc>
        <w:tc>
          <w:tcPr>
            <w:tcW w:type="dxa" w:w="147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Asignaturas</w:t>
            </w:r>
          </w:p>
        </w:tc>
        <w:tc>
          <w:tcPr>
            <w:tcW w:type="dxa" w:w="170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Horas académicas</w:t>
            </w:r>
          </w:p>
        </w:tc>
        <w:tc>
          <w:tcPr>
            <w:tcW w:type="dxa" w:w="136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Áreas troncales</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29</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4.000</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66,67</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Información Financiera</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16</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2.400</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40,00</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Servicios de Aseguramiento</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13</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1.600</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26,67</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Áreas contextuales</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14</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2.000</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33,33</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Administración</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3</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480</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8,00</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Derecho</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3</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320</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5,33</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Economía</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3</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480</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8,00</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Matemáticas</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5</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720</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12,00</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Total</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43</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6.000</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100,00</w:t>
            </w:r>
          </w:p>
        </w:tc>
      </w:tr>
    </w:tbl>
    <w:p>
      <w:pPr>
        <w:spacing w:before="0" w:after="120" w:line="240" w:lineRule="auto"/>
        <w:jc w:val="left"/>
      </w:pPr>
    </w:p>
    <w:p>
      <w:pPr>
        <w:spacing w:before="0" w:after="200" w:line="240" w:lineRule="auto"/>
        <w:jc w:val="both"/>
      </w:pPr>
      <w:r>
        <w:rPr>
          <w:rFonts w:ascii="Century Gothic" w:hAnsi="Century Gothic" w:cs="Century Gothic" w:eastAsia="Century Gothic"/>
          <w:b/>
          <w:i w:val="0"/>
          <w:sz w:val="20"/>
        </w:rPr>
        <w:t>Áreas troncales:</w:t>
      </w:r>
    </w:p>
    <w:p>
      <w:pPr>
        <w:numPr>
          <w:ilvl w:val="0"/>
          <w:numId w:val="901"/>
        </w:numPr>
        <w:spacing w:before="0" w:after="160" w:line="240" w:lineRule="auto"/>
        <w:jc w:val="both"/>
      </w:pPr>
      <w:r>
        <w:rPr>
          <w:rFonts w:ascii="Century Gothic" w:hAnsi="Century Gothic" w:cs="Century Gothic" w:eastAsia="Century Gothic"/>
          <w:b/>
          <w:i w:val="0"/>
          <w:sz w:val="20"/>
        </w:rPr>
        <w:t>Área de Información Financiera:</w:t>
      </w:r>
      <w:r>
        <w:rPr>
          <w:rFonts w:ascii="Century Gothic" w:hAnsi="Century Gothic" w:cs="Century Gothic" w:eastAsia="Century Gothic"/>
          <w:b w:val="0"/>
          <w:i w:val="0"/>
          <w:sz w:val="20"/>
        </w:rPr>
        <w:t xml:space="preserve"> desarrolla las competencias para diseñar, operar y evaluar sistemas contables orientados a la preparación de estados financieros e informes de gestión en los sectores comercial, industrial, extractivo, agropecuario, financiero, de seguros y gubernamental. Incluye los sistemas de gestión empresarial, el análisis de datos contables, las finanzas corporativas y la investigación formativa.</w:t>
      </w:r>
    </w:p>
    <w:p>
      <w:pPr>
        <w:numPr>
          <w:ilvl w:val="0"/>
          <w:numId w:val="901"/>
        </w:numPr>
        <w:spacing w:before="0" w:after="200" w:line="240" w:lineRule="auto"/>
        <w:jc w:val="both"/>
      </w:pPr>
      <w:r>
        <w:rPr>
          <w:rFonts w:ascii="Century Gothic" w:hAnsi="Century Gothic" w:cs="Century Gothic" w:eastAsia="Century Gothic"/>
          <w:b/>
          <w:i w:val="0"/>
          <w:sz w:val="20"/>
        </w:rPr>
        <w:t>Área de Servicios de Aseguramiento:</w:t>
      </w:r>
      <w:r>
        <w:rPr>
          <w:rFonts w:ascii="Century Gothic" w:hAnsi="Century Gothic" w:cs="Century Gothic" w:eastAsia="Century Gothic"/>
          <w:b w:val="0"/>
          <w:i w:val="0"/>
          <w:sz w:val="20"/>
        </w:rPr>
        <w:t xml:space="preserve"> proporciona la formación en teoría del aseguramiento, control interno y auditoría financiera, gubernamental, operativa, tributaria, digital, ambiental y de sostenibilidad, forense, de proyectos y de entidades financieras, complementada con la ética e independencia profesional y el taller de grado.</w:t>
      </w:r>
    </w:p>
    <w:p>
      <w:pPr>
        <w:spacing w:before="0" w:after="200" w:line="240" w:lineRule="auto"/>
        <w:jc w:val="both"/>
      </w:pPr>
      <w:r>
        <w:rPr>
          <w:rFonts w:ascii="Century Gothic" w:hAnsi="Century Gothic" w:cs="Century Gothic" w:eastAsia="Century Gothic"/>
          <w:b/>
          <w:i w:val="0"/>
          <w:sz w:val="20"/>
        </w:rPr>
        <w:t>Áreas contextuales:</w:t>
      </w:r>
    </w:p>
    <w:p>
      <w:pPr>
        <w:numPr>
          <w:ilvl w:val="0"/>
          <w:numId w:val="902"/>
        </w:numPr>
        <w:spacing w:before="0" w:after="160" w:line="240" w:lineRule="auto"/>
        <w:jc w:val="both"/>
      </w:pPr>
      <w:r>
        <w:rPr>
          <w:rFonts w:ascii="Century Gothic" w:hAnsi="Century Gothic" w:cs="Century Gothic" w:eastAsia="Century Gothic"/>
          <w:b/>
          <w:i w:val="0"/>
          <w:sz w:val="20"/>
        </w:rPr>
        <w:t>Área de Administración:</w:t>
      </w:r>
      <w:r>
        <w:rPr>
          <w:rFonts w:ascii="Century Gothic" w:hAnsi="Century Gothic" w:cs="Century Gothic" w:eastAsia="Century Gothic"/>
          <w:b w:val="0"/>
          <w:i w:val="0"/>
          <w:sz w:val="20"/>
        </w:rPr>
        <w:t xml:space="preserve"> aporta la comprensión del comportamiento organizacional, la teoría administrativa, los sistemas gerenciales y la toma de decisiones.</w:t>
      </w:r>
    </w:p>
    <w:p>
      <w:pPr>
        <w:numPr>
          <w:ilvl w:val="0"/>
          <w:numId w:val="902"/>
        </w:numPr>
        <w:spacing w:before="0" w:after="160" w:line="240" w:lineRule="auto"/>
        <w:jc w:val="both"/>
      </w:pPr>
      <w:r>
        <w:rPr>
          <w:rFonts w:ascii="Century Gothic" w:hAnsi="Century Gothic" w:cs="Century Gothic" w:eastAsia="Century Gothic"/>
          <w:b/>
          <w:i w:val="0"/>
          <w:sz w:val="20"/>
        </w:rPr>
        <w:t>Área de Derecho:</w:t>
      </w:r>
      <w:r>
        <w:rPr>
          <w:rFonts w:ascii="Century Gothic" w:hAnsi="Century Gothic" w:cs="Century Gothic" w:eastAsia="Century Gothic"/>
          <w:b w:val="0"/>
          <w:i w:val="0"/>
          <w:sz w:val="20"/>
        </w:rPr>
        <w:t xml:space="preserve"> brinda el sustento jurídico en derecho comercial, corporativo, laboral, de seguridad social, tributario y aduanero.</w:t>
      </w:r>
    </w:p>
    <w:p>
      <w:pPr>
        <w:numPr>
          <w:ilvl w:val="0"/>
          <w:numId w:val="902"/>
        </w:numPr>
        <w:spacing w:before="0" w:after="160" w:line="240" w:lineRule="auto"/>
        <w:jc w:val="both"/>
      </w:pPr>
      <w:r>
        <w:rPr>
          <w:rFonts w:ascii="Century Gothic" w:hAnsi="Century Gothic" w:cs="Century Gothic" w:eastAsia="Century Gothic"/>
          <w:b/>
          <w:i w:val="0"/>
          <w:sz w:val="20"/>
        </w:rPr>
        <w:t>Área de Economía:</w:t>
      </w:r>
      <w:r>
        <w:rPr>
          <w:rFonts w:ascii="Century Gothic" w:hAnsi="Century Gothic" w:cs="Century Gothic" w:eastAsia="Century Gothic"/>
          <w:b w:val="0"/>
          <w:i w:val="0"/>
          <w:sz w:val="20"/>
        </w:rPr>
        <w:t xml:space="preserve"> proporciona el análisis microeconómico y macroeconómico y la formulación y evaluación de proyectos de inversión.</w:t>
      </w:r>
    </w:p>
    <w:p>
      <w:pPr>
        <w:numPr>
          <w:ilvl w:val="0"/>
          <w:numId w:val="902"/>
        </w:numPr>
        <w:spacing w:before="0" w:after="200" w:line="240" w:lineRule="auto"/>
        <w:jc w:val="both"/>
      </w:pPr>
      <w:r>
        <w:rPr>
          <w:rFonts w:ascii="Century Gothic" w:hAnsi="Century Gothic" w:cs="Century Gothic" w:eastAsia="Century Gothic"/>
          <w:b/>
          <w:i w:val="0"/>
          <w:sz w:val="20"/>
        </w:rPr>
        <w:t>Área de Matemáticas:</w:t>
      </w:r>
      <w:r>
        <w:rPr>
          <w:rFonts w:ascii="Century Gothic" w:hAnsi="Century Gothic" w:cs="Century Gothic" w:eastAsia="Century Gothic"/>
          <w:b w:val="0"/>
          <w:i w:val="0"/>
          <w:sz w:val="20"/>
        </w:rPr>
        <w:t xml:space="preserve"> desarrolla el razonamiento lógico deductivo mediante el cálculo, el álgebra lineal, la programación operativa, las matemáticas financieras, la estadística y la matemática actuarial.</w:t>
      </w:r>
    </w:p>
    <w:p>
      <w:pPr>
        <w:keepNext/>
        <w:spacing w:before="40" w:after="200" w:line="240" w:lineRule="auto"/>
        <w:jc w:val="left"/>
      </w:pPr>
      <w:r>
        <w:rPr>
          <w:rFonts w:ascii="Century Gothic" w:hAnsi="Century Gothic" w:cs="Century Gothic" w:eastAsia="Century Gothic"/>
          <w:b/>
          <w:i w:val="0"/>
          <w:sz w:val="22"/>
        </w:rPr>
        <w:t>Ejes transversales</w:t>
      </w:r>
    </w:p>
    <w:p>
      <w:pPr>
        <w:spacing w:before="0" w:after="200" w:line="240" w:lineRule="auto"/>
        <w:jc w:val="both"/>
      </w:pPr>
      <w:r>
        <w:rPr>
          <w:rFonts w:ascii="Century Gothic" w:hAnsi="Century Gothic" w:cs="Century Gothic" w:eastAsia="Century Gothic"/>
          <w:b w:val="0"/>
          <w:i w:val="0"/>
          <w:sz w:val="20"/>
        </w:rPr>
        <w:t>La malla articula ejes transversales que recorren los cinco años de formación y que se concretan en asignaturas específicas:</w:t>
      </w:r>
    </w:p>
    <w:p>
      <w:pPr>
        <w:keepNext/>
        <w:spacing w:before="40" w:after="80" w:line="240" w:lineRule="auto"/>
        <w:jc w:val="center"/>
      </w:pPr>
      <w:r>
        <w:rPr>
          <w:rFonts w:ascii="Century Gothic" w:hAnsi="Century Gothic" w:cs="Century Gothic" w:eastAsia="Century Gothic"/>
          <w:b/>
          <w:i w:val="0"/>
          <w:sz w:val="20"/>
        </w:rPr>
        <w:t>Cuadro 2. Ejes transversales del Plan de Estudios 2027</w:t>
      </w:r>
    </w:p>
    <w:tbl>
      <w:tblPr>
        <w:tblW w:type="auto" w:w="0"/>
        <w:jc w:val="center"/>
        <w:tblLayout w:type="fixed"/>
        <w:tblLook w:firstColumn="1" w:firstRow="1" w:lastColumn="0" w:lastRow="0" w:noHBand="0" w:noVBand="1" w:val="04A0"/>
      </w:tblPr>
      <w:tblGrid>
        <w:gridCol w:w="3118"/>
        <w:gridCol w:w="5953"/>
      </w:tblGrid>
      <w:tr>
        <w:trPr>
          <w:tblHeader/>
        </w:trPr>
        <w:tc>
          <w:tcPr>
            <w:tcW w:type="dxa" w:w="311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Eje</w:t>
            </w:r>
          </w:p>
        </w:tc>
        <w:tc>
          <w:tcPr>
            <w:tcW w:type="dxa" w:w="5953"/>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Asignaturas en que se concreta</w:t>
            </w:r>
          </w:p>
        </w:tc>
      </w:tr>
      <w:tr>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Ética profesional e interés público</w:t>
            </w:r>
          </w:p>
        </w:tc>
        <w:tc>
          <w:tcPr>
            <w:tcW w:type="dxa" w:w="5953"/>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CPA-406 Ética e Independencia Profesional, con evaluación de los principios del Código del IESBA en todas las asignaturas</w:t>
            </w:r>
          </w:p>
        </w:tc>
      </w:tr>
      <w:tr>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Transformación digital, analítica de datos e inteligencia artificial</w:t>
            </w:r>
          </w:p>
        </w:tc>
        <w:tc>
          <w:tcPr>
            <w:tcW w:type="dxa" w:w="5953"/>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CPA-102 Tecnologías de Información y Herramientas Digitales, CPA-305 Sistemas Contables ERP y Análisis de Datos, CPA-404 Diseño e Implantación de Sistemas de Contabilidad y CPA-505 Auditoría Digital, Ciberseguridad y Tecnologías Emergentes</w:t>
            </w:r>
          </w:p>
        </w:tc>
      </w:tr>
      <w:tr>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Sostenibilidad</w:t>
            </w:r>
          </w:p>
        </w:tc>
        <w:tc>
          <w:tcPr>
            <w:tcW w:type="dxa" w:w="5953"/>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CPA-506 Reportes y Aseguramiento de Sostenibilidad y Auditoría Ambiental, y contenidos de contabilidad de gestión</w:t>
            </w:r>
          </w:p>
        </w:tc>
      </w:tr>
      <w:tr>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Inglés técnico contable</w:t>
            </w:r>
          </w:p>
        </w:tc>
        <w:tc>
          <w:tcPr>
            <w:tcW w:type="dxa" w:w="5953"/>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Bibliografía, casos y guías en inglés incorporados progresivamente en los programas de las asignaturas de los últimos años</w:t>
            </w:r>
          </w:p>
        </w:tc>
      </w:tr>
      <w:tr>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Investigación formativa e interacción social</w:t>
            </w:r>
          </w:p>
        </w:tc>
        <w:tc>
          <w:tcPr>
            <w:tcW w:type="dxa" w:w="5953"/>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CPA-204 Métodos y Técnicas de Investigación y CPA-510 Taller de Grado, con proyectos de interacción social y prácticas preprofesionales</w:t>
            </w:r>
          </w:p>
        </w:tc>
      </w:tr>
    </w:tbl>
    <w:p>
      <w:pPr>
        <w:spacing w:before="0" w:after="120" w:line="240" w:lineRule="auto"/>
        <w:jc w:val="left"/>
      </w:pP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4.4.2</w:t>
        <w:tab/>
      </w:r>
      <w:r>
        <w:rPr>
          <w:rFonts w:ascii="Century Gothic" w:hAnsi="Century Gothic" w:cs="Century Gothic" w:eastAsia="Century Gothic"/>
          <w:b/>
          <w:i w:val="0"/>
          <w:sz w:val="22"/>
        </w:rPr>
        <w:t>Mapa de competencia (competencia y unidades de competencia)</w:t>
      </w:r>
    </w:p>
    <w:p>
      <w:pPr>
        <w:spacing w:before="0" w:after="200" w:line="240" w:lineRule="auto"/>
        <w:jc w:val="both"/>
      </w:pPr>
      <w:r>
        <w:rPr>
          <w:rFonts w:ascii="Century Gothic" w:hAnsi="Century Gothic" w:cs="Century Gothic" w:eastAsia="Century Gothic"/>
          <w:b w:val="0"/>
          <w:i w:val="0"/>
          <w:sz w:val="20"/>
        </w:rPr>
        <w:t>El mapa de competencias parte de la competencia global de la Carrera, expresada en el perfil profesional del punto 4.2.7, y la desagrega en competencias por área de conocimiento, desarrolladas por las asignaturas de cada área. La unidad de competencia y los elementos de competencia de cada asignatura se establecen en los planes de asignatura del punto 4.5, conforme al Artículo 9 de la Resolución HCU N.º 032/2025.</w:t>
      </w:r>
    </w:p>
    <w:tbl>
      <w:tblPr>
        <w:tblW w:type="auto" w:w="0"/>
        <w:jc w:val="center"/>
        <w:tblLook w:firstColumn="1" w:firstRow="1" w:lastColumn="0" w:lastRow="0" w:noHBand="0" w:noVBand="1" w:val="04A0"/>
      </w:tblPr>
      <w:tblGrid>
        <w:gridCol w:w="9405"/>
      </w:tblGrid>
      <w:tr>
        <w:tc>
          <w:tcPr>
            <w:tcW w:type="dxa" w:w="8787"/>
            <w:tcBorders>
              <w:top w:val="single" w:sz="6" w:space="0" w:color="404040"/>
              <w:left w:val="single" w:sz="6" w:space="0" w:color="404040"/>
              <w:bottom w:val="single" w:sz="6" w:space="0" w:color="404040"/>
              <w:right w:val="single" w:sz="6" w:space="0" w:color="404040"/>
            </w:tcBorders>
            <w:tcMar>
              <w:top w:w="140" w:type="dxa"/>
              <w:left w:w="140" w:type="dxa"/>
              <w:bottom w:w="140" w:type="dxa"/>
              <w:right w:w="140" w:type="dxa"/>
            </w:tcMar>
          </w:tcPr>
          <w:p>
            <w:pPr>
              <w:spacing w:before="60" w:after="60" w:line="240" w:lineRule="auto"/>
              <w:jc w:val="both"/>
            </w:pPr>
            <w:r>
              <w:rPr>
                <w:rFonts w:ascii="Century Gothic" w:hAnsi="Century Gothic" w:cs="Century Gothic" w:eastAsia="Century Gothic"/>
                <w:b/>
                <w:i w:val="0"/>
                <w:sz w:val="20"/>
              </w:rPr>
              <w:t>Competencia global de la Carrera</w:t>
            </w:r>
          </w:p>
          <w:p>
            <w:pPr>
              <w:spacing w:before="60" w:after="60" w:line="240" w:lineRule="auto"/>
              <w:jc w:val="both"/>
            </w:pPr>
            <w:r>
              <w:rPr>
                <w:rFonts w:ascii="Century Gothic" w:hAnsi="Century Gothic" w:cs="Century Gothic" w:eastAsia="Century Gothic"/>
                <w:b w:val="0"/>
                <w:i w:val="0"/>
                <w:sz w:val="20"/>
              </w:rPr>
              <w:t>Diseña, opera, evalúa y audita sistemas integrados de información económica, financiera y no financiera de organizaciones públicas, privadas y mixtas, aplicando estándares nacionales e internacionales y tecnologías emergentes, para preparar, asegurar y analizar información confiable que respalde la toma de decisiones, con juicio crítico, ética profesional conforme al Código del IESBA y compromiso con el interés público.</w:t>
            </w:r>
          </w:p>
        </w:tc>
      </w:tr>
    </w:tbl>
    <w:p>
      <w:pPr>
        <w:spacing w:before="0" w:after="120" w:line="240" w:lineRule="auto"/>
        <w:jc w:val="left"/>
      </w:pPr>
    </w:p>
    <w:p>
      <w:pPr>
        <w:keepNext/>
        <w:spacing w:before="40" w:after="80" w:line="240" w:lineRule="auto"/>
        <w:jc w:val="center"/>
      </w:pPr>
      <w:r>
        <w:rPr>
          <w:rFonts w:ascii="Century Gothic" w:hAnsi="Century Gothic" w:cs="Century Gothic" w:eastAsia="Century Gothic"/>
          <w:b/>
          <w:i w:val="0"/>
          <w:sz w:val="20"/>
        </w:rPr>
        <w:t>Cuadro 3. Competencias por área de conocimiento</w:t>
      </w:r>
    </w:p>
    <w:tbl>
      <w:tblPr>
        <w:tblW w:type="auto" w:w="0"/>
        <w:jc w:val="center"/>
        <w:tblLayout w:type="fixed"/>
        <w:tblLook w:firstColumn="1" w:firstRow="1" w:lastColumn="0" w:lastRow="0" w:noHBand="0" w:noVBand="1" w:val="04A0"/>
      </w:tblPr>
      <w:tblGrid>
        <w:gridCol w:w="1701"/>
        <w:gridCol w:w="3969"/>
        <w:gridCol w:w="3402"/>
      </w:tblGrid>
      <w:tr>
        <w:trPr>
          <w:tblHeader/>
        </w:trPr>
        <w:tc>
          <w:tcPr>
            <w:tcW w:type="dxa" w:w="170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Área</w:t>
            </w:r>
          </w:p>
        </w:tc>
        <w:tc>
          <w:tcPr>
            <w:tcW w:type="dxa" w:w="39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Competencia del área</w:t>
            </w:r>
          </w:p>
        </w:tc>
        <w:tc>
          <w:tcPr>
            <w:tcW w:type="dxa" w:w="340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Asignaturas que la desarrollan</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Información Financiera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Prepara, presenta y analiza estados financieros, informes de gestión y de sostenibilidad de entidades públicas y privadas, aplicando los marcos de información financiera nacionales e internacionales y sistemas de gestión empresarial.</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CPA-101, CPA-102, CPA-201 a CPA-204, CPA-301 a CPA-305 y CPA-401 a CPA-405</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Servicios de Aseguramiento</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Planifica, ejecuta e informa encargos de auditoría, revisión, aseguramiento y servicios relacionados sobre información financiera y no financiera, con escepticismo profesional e independencia.</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CPA-406 a CPA-408 y CPA-501 a CPA-510</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Administración</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Analiza la estructura, el comportamiento y los sistemas de gestión de las organizaciones para apoyar la toma de decisiones.</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ADM-101, ADM-201 y ADM-301</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Derecho</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Aplica la legislación comercial, societaria, laboral, de seguridad social, tributaria y aduanera en la gestión y el control de las organizaciones.</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DER-101, DER-102 y DER-201</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Economía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Interpreta el entorno microeconómico y macroeconómico y evalúa proyectos de inversión.</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ECO-101, ECO-201 y ECO-301</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Matemáticas</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Aplica modelos matemáticos, financieros, estadísticos y actuariales al análisis de la información y a la evidencia de auditoría.</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MAT-101, MAT-102, MAT-201, MAT-301 y MAT-401</w:t>
            </w:r>
          </w:p>
        </w:tc>
      </w:tr>
    </w:tbl>
    <w:p>
      <w:pPr>
        <w:spacing w:before="0" w:after="120" w:line="240" w:lineRule="auto"/>
        <w:jc w:val="left"/>
      </w:pPr>
    </w:p>
    <w:p>
      <w:pPr>
        <w:spacing w:before="0" w:after="200" w:line="240" w:lineRule="auto"/>
        <w:jc w:val="both"/>
      </w:pPr>
      <w:r>
        <w:rPr>
          <w:rFonts w:ascii="Century Gothic" w:hAnsi="Century Gothic" w:cs="Century Gothic" w:eastAsia="Century Gothic"/>
          <w:b w:val="0"/>
          <w:i w:val="0"/>
          <w:sz w:val="20"/>
        </w:rPr>
        <w:t>Las competencias de cada área se expresan en los atributos del egresado que se detallan en el punto 4.2.7: atributos académicos y disciplinares, que corresponden al saber conocer; atributos técnicos, digitales y de innovación, que corresponden al saber hacer; y atributos éticos, socioemocionales y de responsabilidad pública, que corresponden al saber ser y convivir.</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4.4.3</w:t>
        <w:tab/>
      </w:r>
      <w:r>
        <w:rPr>
          <w:rFonts w:ascii="Century Gothic" w:hAnsi="Century Gothic" w:cs="Century Gothic" w:eastAsia="Century Gothic"/>
          <w:b/>
          <w:i w:val="0"/>
          <w:sz w:val="22"/>
        </w:rPr>
        <w:t>Malla curricular (siglas, nombres de la asignatura, carga horaria, créditos, prerrequisitos) por ciclos y semestres/año</w:t>
      </w:r>
    </w:p>
    <w:p>
      <w:pPr>
        <w:spacing w:before="0" w:after="200" w:line="240" w:lineRule="auto"/>
        <w:jc w:val="both"/>
      </w:pPr>
      <w:r>
        <w:rPr>
          <w:rFonts w:ascii="Century Gothic" w:hAnsi="Century Gothic" w:cs="Century Gothic" w:eastAsia="Century Gothic"/>
          <w:b w:val="0"/>
          <w:i w:val="0"/>
          <w:sz w:val="20"/>
        </w:rPr>
        <w:t>La malla del rediseño comprende 43 asignaturas anuales distribuidas en cinco años. Las horas anuales resultan de la carga semanal multiplicada por las 40 semanas de la gestión académica anual. Los créditos se asignan conforme a la Resolución HCU N.º 351/2021: 60 créditos por año académico y un crédito equivalente a 30 horas de trabajo, presenciales y no presenciales.</w:t>
      </w:r>
    </w:p>
    <w:p>
      <w:pPr>
        <w:keepNext/>
        <w:spacing w:before="40" w:after="80" w:line="240" w:lineRule="auto"/>
        <w:jc w:val="center"/>
      </w:pPr>
      <w:r>
        <w:rPr>
          <w:rFonts w:ascii="Century Gothic" w:hAnsi="Century Gothic" w:cs="Century Gothic" w:eastAsia="Century Gothic"/>
          <w:b/>
          <w:i w:val="0"/>
          <w:sz w:val="20"/>
        </w:rPr>
        <w:t>Cuadro 4. Malla curricular, primer año</w:t>
      </w:r>
    </w:p>
    <w:tbl>
      <w:tblPr>
        <w:tblW w:type="auto" w:w="0"/>
        <w:jc w:val="center"/>
        <w:tblLayout w:type="fixed"/>
        <w:tblLook w:firstColumn="1" w:firstRow="1" w:lastColumn="0" w:lastRow="0" w:noHBand="0" w:noVBand="1" w:val="04A0"/>
      </w:tblPr>
      <w:tblGrid>
        <w:gridCol w:w="1134"/>
        <w:gridCol w:w="2835"/>
        <w:gridCol w:w="1587"/>
        <w:gridCol w:w="737"/>
        <w:gridCol w:w="794"/>
        <w:gridCol w:w="737"/>
        <w:gridCol w:w="1020"/>
      </w:tblGrid>
      <w:tr>
        <w:trPr>
          <w:tblHeader/>
        </w:trPr>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Sigla</w:t>
            </w:r>
          </w:p>
        </w:tc>
        <w:tc>
          <w:tcPr>
            <w:tcW w:type="dxa" w:w="28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Asignatura</w:t>
            </w:r>
          </w:p>
        </w:tc>
        <w:tc>
          <w:tcPr>
            <w:tcW w:type="dxa" w:w="158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Prerrequisito</w:t>
            </w:r>
          </w:p>
        </w:tc>
        <w:tc>
          <w:tcPr>
            <w:tcW w:type="dxa" w:w="73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Hrs. sem.</w:t>
            </w:r>
          </w:p>
        </w:tc>
        <w:tc>
          <w:tcPr>
            <w:tcW w:type="dxa" w:w="79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Hrs. año</w:t>
            </w:r>
          </w:p>
        </w:tc>
        <w:tc>
          <w:tcPr>
            <w:tcW w:type="dxa" w:w="73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Créd.</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Hrs. trabajo</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CPA-101</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Contabilidad Básica</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AE, CPF o PSA</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4</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160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12</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360</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CPA-102</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Tecnologías de Información y Herramientas Digitales</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AE, CPF o PSA</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2</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80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8</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240</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ADM-101</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Administración General</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AE, CPF o PSA</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4</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160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8</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240</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DER-101</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Derecho Comercial y Corporativo</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AE, CPF o PSA</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2</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80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4</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120</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DER-102</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Derecho Laboral y Seguridad Social</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AE, CPF o PSA</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2</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80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4</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120</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ECO-101</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Microeconomía</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AE, CPF o PSA</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4</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160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8</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240</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MAT-101</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Cálculo</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AE, CPF o PSA</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4</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160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8</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240</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MAT-102</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Matemáticas Financieras</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AE, CPF o PSA</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4</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160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8</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240</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18"/>
              </w:rPr>
              <w:t>Total primer año</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18"/>
              </w:rPr>
              <w:t>26</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18"/>
              </w:rPr>
              <w:t>1.040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18"/>
              </w:rPr>
              <w:t>60</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18"/>
              </w:rPr>
              <w:t>1.800</w:t>
            </w:r>
          </w:p>
        </w:tc>
      </w:tr>
    </w:tbl>
    <w:p>
      <w:pPr>
        <w:spacing w:before="0" w:after="120" w:line="240" w:lineRule="auto"/>
        <w:jc w:val="left"/>
      </w:pPr>
    </w:p>
    <w:p>
      <w:pPr>
        <w:keepNext/>
        <w:spacing w:before="40" w:after="80" w:line="240" w:lineRule="auto"/>
        <w:jc w:val="center"/>
      </w:pPr>
      <w:r>
        <w:rPr>
          <w:rFonts w:ascii="Century Gothic" w:hAnsi="Century Gothic" w:cs="Century Gothic" w:eastAsia="Century Gothic"/>
          <w:b/>
          <w:i w:val="0"/>
          <w:sz w:val="20"/>
        </w:rPr>
        <w:t>Cuadro 5. Malla curricular, segundo año</w:t>
      </w:r>
    </w:p>
    <w:tbl>
      <w:tblPr>
        <w:tblW w:type="auto" w:w="0"/>
        <w:jc w:val="center"/>
        <w:tblLayout w:type="fixed"/>
        <w:tblLook w:firstColumn="1" w:firstRow="1" w:lastColumn="0" w:lastRow="0" w:noHBand="0" w:noVBand="1" w:val="04A0"/>
      </w:tblPr>
      <w:tblGrid>
        <w:gridCol w:w="1134"/>
        <w:gridCol w:w="2835"/>
        <w:gridCol w:w="1587"/>
        <w:gridCol w:w="737"/>
        <w:gridCol w:w="794"/>
        <w:gridCol w:w="737"/>
        <w:gridCol w:w="1020"/>
      </w:tblGrid>
      <w:tr>
        <w:trPr>
          <w:tblHeader/>
        </w:trPr>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Sigla</w:t>
            </w:r>
          </w:p>
        </w:tc>
        <w:tc>
          <w:tcPr>
            <w:tcW w:type="dxa" w:w="28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Asignatura</w:t>
            </w:r>
          </w:p>
        </w:tc>
        <w:tc>
          <w:tcPr>
            <w:tcW w:type="dxa" w:w="158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Prerrequisito</w:t>
            </w:r>
          </w:p>
        </w:tc>
        <w:tc>
          <w:tcPr>
            <w:tcW w:type="dxa" w:w="73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Hrs. sem.</w:t>
            </w:r>
          </w:p>
        </w:tc>
        <w:tc>
          <w:tcPr>
            <w:tcW w:type="dxa" w:w="79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Hrs. año</w:t>
            </w:r>
          </w:p>
        </w:tc>
        <w:tc>
          <w:tcPr>
            <w:tcW w:type="dxa" w:w="73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Créd.</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Hrs. trabajo</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CPA-201</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Contabilidad Intermedia</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CPA-101</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4</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160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8</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240</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CPA-202</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Contabilidad de Sociedades</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CPA-101</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4</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160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8</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240</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CPA-203</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Contabilidad de Tributos</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CPA-101</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4</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160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8</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240</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CPA-204</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Métodos y Técnicas de Investigación</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CPA-101</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2</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80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4</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120</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ADM-201</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Administración de Sistemas Gerenciales</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ADM-101</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4</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160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8</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240</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DER-201</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Derecho Tributario y Legislación Aduanera</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DER-101, DER-102</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4</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160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8</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240</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ECO-201</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Macroeconomía</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ECO-101</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4</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160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8</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240</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MAT-201</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Álgebra Lineal y Programación Operativa Aplicada a los Negocios</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MAT-101</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4</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160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8</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240</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18"/>
              </w:rPr>
              <w:t>Total segundo año</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18"/>
              </w:rPr>
              <w:t>30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18"/>
              </w:rPr>
              <w:t>1.200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18"/>
              </w:rPr>
              <w:t>60</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18"/>
              </w:rPr>
              <w:t>1.800</w:t>
            </w:r>
          </w:p>
        </w:tc>
      </w:tr>
    </w:tbl>
    <w:p>
      <w:pPr>
        <w:spacing w:before="0" w:after="120" w:line="240" w:lineRule="auto"/>
        <w:jc w:val="left"/>
      </w:pPr>
    </w:p>
    <w:p>
      <w:pPr>
        <w:keepNext/>
        <w:spacing w:before="40" w:after="80" w:line="240" w:lineRule="auto"/>
        <w:jc w:val="center"/>
      </w:pPr>
      <w:r>
        <w:rPr>
          <w:rFonts w:ascii="Century Gothic" w:hAnsi="Century Gothic" w:cs="Century Gothic" w:eastAsia="Century Gothic"/>
          <w:b/>
          <w:i w:val="0"/>
          <w:sz w:val="20"/>
        </w:rPr>
        <w:t>Cuadro 6. Malla curricular, tercer año</w:t>
      </w:r>
    </w:p>
    <w:tbl>
      <w:tblPr>
        <w:tblW w:type="auto" w:w="0"/>
        <w:jc w:val="center"/>
        <w:tblLayout w:type="fixed"/>
        <w:tblLook w:firstColumn="1" w:firstRow="1" w:lastColumn="0" w:lastRow="0" w:noHBand="0" w:noVBand="1" w:val="04A0"/>
      </w:tblPr>
      <w:tblGrid>
        <w:gridCol w:w="1134"/>
        <w:gridCol w:w="2835"/>
        <w:gridCol w:w="1587"/>
        <w:gridCol w:w="737"/>
        <w:gridCol w:w="794"/>
        <w:gridCol w:w="737"/>
        <w:gridCol w:w="1020"/>
      </w:tblGrid>
      <w:tr>
        <w:trPr>
          <w:tblHeader/>
        </w:trPr>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Sigla</w:t>
            </w:r>
          </w:p>
        </w:tc>
        <w:tc>
          <w:tcPr>
            <w:tcW w:type="dxa" w:w="28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Asignatura</w:t>
            </w:r>
          </w:p>
        </w:tc>
        <w:tc>
          <w:tcPr>
            <w:tcW w:type="dxa" w:w="158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Prerrequisito</w:t>
            </w:r>
          </w:p>
        </w:tc>
        <w:tc>
          <w:tcPr>
            <w:tcW w:type="dxa" w:w="73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Hrs. sem.</w:t>
            </w:r>
          </w:p>
        </w:tc>
        <w:tc>
          <w:tcPr>
            <w:tcW w:type="dxa" w:w="79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Hrs. año</w:t>
            </w:r>
          </w:p>
        </w:tc>
        <w:tc>
          <w:tcPr>
            <w:tcW w:type="dxa" w:w="73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Créd.</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Hrs. trabajo</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CPA-301</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Contabilidad Internacional</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CPA-201, CPA-202, CPA-203</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4</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160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9</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270</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CPA-302</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Contabilidad de Costos y Gestión</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CPA-201, CPA-202, CPA-203</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4</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160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9</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270</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CPA-303</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Contabilidad de Bancos y Entidades Financieras</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CPA-201, CPA-202, CPA-203</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4</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160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8</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240</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CPA-304</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Contabilidad y Presupuestos Gubernamental</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CPA-201, CPA-202, CPA-203</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4</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160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8</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240</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CPA-305</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Sistemas Contables ERP y Análisis de Datos</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CPA-102, CPA-201, CPA-202, CPA-203</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4</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160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8</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240</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ADM-301</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Desarrollo Organizacional y Comportamiento Organizacional</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ADM-201</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4</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160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6</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180</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ECO-301</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Preparación y Evaluación de Proyectos</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ECO-201</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4</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160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6</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180</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MAT-301</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Estadística</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MAT-201</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4</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160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6</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180</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18"/>
              </w:rPr>
              <w:t>Total tercer año</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18"/>
              </w:rPr>
              <w:t>32</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18"/>
              </w:rPr>
              <w:t>1.280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18"/>
              </w:rPr>
              <w:t>60</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18"/>
              </w:rPr>
              <w:t>1.800</w:t>
            </w:r>
          </w:p>
        </w:tc>
      </w:tr>
    </w:tbl>
    <w:p>
      <w:pPr>
        <w:spacing w:before="0" w:after="120" w:line="240" w:lineRule="auto"/>
        <w:jc w:val="left"/>
      </w:pPr>
    </w:p>
    <w:p>
      <w:pPr>
        <w:keepNext/>
        <w:spacing w:before="40" w:after="80" w:line="240" w:lineRule="auto"/>
        <w:jc w:val="center"/>
      </w:pPr>
      <w:r>
        <w:rPr>
          <w:rFonts w:ascii="Century Gothic" w:hAnsi="Century Gothic" w:cs="Century Gothic" w:eastAsia="Century Gothic"/>
          <w:b/>
          <w:i w:val="0"/>
          <w:sz w:val="20"/>
        </w:rPr>
        <w:t>Cuadro 7. Malla curricular, cuarto año</w:t>
      </w:r>
    </w:p>
    <w:tbl>
      <w:tblPr>
        <w:tblW w:type="auto" w:w="0"/>
        <w:jc w:val="center"/>
        <w:tblLayout w:type="fixed"/>
        <w:tblLook w:firstColumn="1" w:firstRow="1" w:lastColumn="0" w:lastRow="0" w:noHBand="0" w:noVBand="1" w:val="04A0"/>
      </w:tblPr>
      <w:tblGrid>
        <w:gridCol w:w="1134"/>
        <w:gridCol w:w="2835"/>
        <w:gridCol w:w="1587"/>
        <w:gridCol w:w="737"/>
        <w:gridCol w:w="794"/>
        <w:gridCol w:w="737"/>
        <w:gridCol w:w="1020"/>
      </w:tblGrid>
      <w:tr>
        <w:trPr>
          <w:tblHeader/>
        </w:trPr>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Sigla</w:t>
            </w:r>
          </w:p>
        </w:tc>
        <w:tc>
          <w:tcPr>
            <w:tcW w:type="dxa" w:w="28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Asignatura</w:t>
            </w:r>
          </w:p>
        </w:tc>
        <w:tc>
          <w:tcPr>
            <w:tcW w:type="dxa" w:w="158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Prerrequisito</w:t>
            </w:r>
          </w:p>
        </w:tc>
        <w:tc>
          <w:tcPr>
            <w:tcW w:type="dxa" w:w="73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Hrs. sem.</w:t>
            </w:r>
          </w:p>
        </w:tc>
        <w:tc>
          <w:tcPr>
            <w:tcW w:type="dxa" w:w="79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Hrs. año</w:t>
            </w:r>
          </w:p>
        </w:tc>
        <w:tc>
          <w:tcPr>
            <w:tcW w:type="dxa" w:w="73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Créd.</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Hrs. trabajo</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CPA-401</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Contabilidad Minera y Petrolera</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CPA-301, CPA-302</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4</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160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8</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240</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CPA-402</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Contabilidad Agrícola y Ganadera</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CPA-301, CPA-302</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4</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160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8</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240</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CPA-403</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Contabilidad de Seguros: Privado y Social</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CPA-301, CPA-302</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4</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160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8</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240</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CPA-404</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Diseño e Implantación de Sistemas de Contabilidad</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CPA-301 a CPA-305</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4</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160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8</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240</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CPA-405</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Finanzas Corporativas</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CPA-301 a CPA-304</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4</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160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7</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210</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CPA-406</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Ética e Independencia Profesional</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CPA-301 a CPA-304</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2</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80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4</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120</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CPA-407</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Auditoría Financiera</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CPA-301 a CPA-304</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4</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160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7</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210</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CPA-408</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Auditoría Interna, Control Interno y Gestión de Riesgos</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CPA-301 a CPA-304</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4</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160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7</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210</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MAT-401</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Matemáticas Actuariales y Técnicas Financieras</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MAT-102, MAT-301</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2</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80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3</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90</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18"/>
              </w:rPr>
              <w:t>Total cuarto año</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18"/>
              </w:rPr>
              <w:t>32</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18"/>
              </w:rPr>
              <w:t>1.280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18"/>
              </w:rPr>
              <w:t>60</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18"/>
              </w:rPr>
              <w:t>1.800</w:t>
            </w:r>
          </w:p>
        </w:tc>
      </w:tr>
    </w:tbl>
    <w:p>
      <w:pPr>
        <w:spacing w:before="0" w:after="120" w:line="240" w:lineRule="auto"/>
        <w:jc w:val="left"/>
      </w:pPr>
    </w:p>
    <w:p>
      <w:pPr>
        <w:keepNext/>
        <w:spacing w:before="40" w:after="80" w:line="240" w:lineRule="auto"/>
        <w:jc w:val="center"/>
      </w:pPr>
      <w:r>
        <w:rPr>
          <w:rFonts w:ascii="Century Gothic" w:hAnsi="Century Gothic" w:cs="Century Gothic" w:eastAsia="Century Gothic"/>
          <w:b/>
          <w:i w:val="0"/>
          <w:sz w:val="20"/>
        </w:rPr>
        <w:t>Cuadro 8. Malla curricular, quinto año</w:t>
      </w:r>
    </w:p>
    <w:tbl>
      <w:tblPr>
        <w:tblW w:type="auto" w:w="0"/>
        <w:jc w:val="center"/>
        <w:tblLayout w:type="fixed"/>
        <w:tblLook w:firstColumn="1" w:firstRow="1" w:lastColumn="0" w:lastRow="0" w:noHBand="0" w:noVBand="1" w:val="04A0"/>
      </w:tblPr>
      <w:tblGrid>
        <w:gridCol w:w="1134"/>
        <w:gridCol w:w="2835"/>
        <w:gridCol w:w="1587"/>
        <w:gridCol w:w="737"/>
        <w:gridCol w:w="794"/>
        <w:gridCol w:w="737"/>
        <w:gridCol w:w="1020"/>
      </w:tblGrid>
      <w:tr>
        <w:trPr>
          <w:tblHeader/>
        </w:trPr>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Sigla</w:t>
            </w:r>
          </w:p>
        </w:tc>
        <w:tc>
          <w:tcPr>
            <w:tcW w:type="dxa" w:w="28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Asignatura</w:t>
            </w:r>
          </w:p>
        </w:tc>
        <w:tc>
          <w:tcPr>
            <w:tcW w:type="dxa" w:w="158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Prerrequisito</w:t>
            </w:r>
          </w:p>
        </w:tc>
        <w:tc>
          <w:tcPr>
            <w:tcW w:type="dxa" w:w="73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Hrs. sem.</w:t>
            </w:r>
          </w:p>
        </w:tc>
        <w:tc>
          <w:tcPr>
            <w:tcW w:type="dxa" w:w="79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Hrs. año</w:t>
            </w:r>
          </w:p>
        </w:tc>
        <w:tc>
          <w:tcPr>
            <w:tcW w:type="dxa" w:w="73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Créd.</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Hrs. trabajo</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CPA-501</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Auditoría Operativa</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CPA-401 a CPA-408</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4</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160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8</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240</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CPA-502</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Gabinete de Auditoría Financiera</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CPA-401 a CPA-408</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4</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160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8</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240</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CPA-503</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Auditoría Tributaria</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CPA-401 a CPA-408</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4</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160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8</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240</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CPA-504</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Auditoría Gubernamental</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CPA-401 a CPA-408</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4</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160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8</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240</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CPA-505</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Auditoría Digital, Ciberseguridad y Tecnologías Emergentes</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CPA-401 a CPA-408</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4</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160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8</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240</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CPA-506</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Reportes y Aseguramiento de Sostenibilidad y Auditoría Ambiental</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CPA-401 a CPA-408</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2</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80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4</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120</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CPA-507</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Auditoría de Proyectos Públicos y Privados</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CPA-401 a CPA-408</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2</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80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4</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120</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CPA-508</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Auditoría Forense, Peritaje y Prevención de Delitos Económicos</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CPA-401 a CPA-408</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2</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80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4</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120</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CPA-509</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Auditoría de Entidades Financieras y Servicios Relacionados</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CPA-401 a CPA-408</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2</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80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4</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120</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CPA-510</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Taller de Grado</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CPA-401 a CPA-408</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2</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80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4</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120</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18"/>
              </w:rPr>
              <w:t>Total quinto año</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18"/>
              </w:rPr>
              <w:t>30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18"/>
              </w:rPr>
              <w:t>1.200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18"/>
              </w:rPr>
              <w:t>60</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18"/>
              </w:rPr>
              <w:t>1.800</w:t>
            </w:r>
          </w:p>
        </w:tc>
      </w:tr>
    </w:tbl>
    <w:p>
      <w:pPr>
        <w:spacing w:before="0" w:after="120" w:line="240" w:lineRule="auto"/>
        <w:jc w:val="left"/>
      </w:pPr>
    </w:p>
    <w:p>
      <w:pPr>
        <w:spacing w:before="0" w:after="200" w:line="240" w:lineRule="auto"/>
        <w:jc w:val="both"/>
      </w:pPr>
      <w:r>
        <w:rPr>
          <w:rFonts w:ascii="Century Gothic" w:hAnsi="Century Gothic" w:cs="Century Gothic" w:eastAsia="Century Gothic"/>
          <w:b w:val="0"/>
          <w:i w:val="0"/>
          <w:sz w:val="18"/>
        </w:rPr>
        <w:t>Hrs. sem.: horas por semana. Hrs. año: horas académicas por año. Créd.: créditos. Hrs. trabajo: horas de trabajo del estudiante, presenciales y no presenciales. AE: Admisión Especial. CPF: Curso Preuniversitario o Prefacultativo. PSA: Prueba de Suficiencia Académica. Ciclo básico: primer y segundo año; ciclo profesional: tercer y cuarto año; ciclo de integración y profundización: quinto año.</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4.4.4</w:t>
        <w:tab/>
      </w:r>
      <w:r>
        <w:rPr>
          <w:rFonts w:ascii="Century Gothic" w:hAnsi="Century Gothic" w:cs="Century Gothic" w:eastAsia="Century Gothic"/>
          <w:b/>
          <w:i w:val="0"/>
          <w:sz w:val="22"/>
        </w:rPr>
        <w:t>Cuadro de asignación de cargas horarias presenciales, no presenciales (según formato)</w:t>
      </w:r>
    </w:p>
    <w:p>
      <w:pPr>
        <w:spacing w:before="0" w:after="200" w:line="240" w:lineRule="auto"/>
        <w:jc w:val="both"/>
      </w:pPr>
      <w:r>
        <w:rPr>
          <w:rFonts w:ascii="Century Gothic" w:hAnsi="Century Gothic" w:cs="Century Gothic" w:eastAsia="Century Gothic"/>
          <w:b w:val="0"/>
          <w:i w:val="0"/>
          <w:sz w:val="20"/>
        </w:rPr>
        <w:t>El plan se desarrolla en modalidad presencial y régimen anual durante cinco años. La carga horaria por año, distinguiendo horas presenciales y no presenciales, es la siguiente:</w:t>
      </w:r>
    </w:p>
    <w:p>
      <w:pPr>
        <w:keepNext/>
        <w:spacing w:before="40" w:after="80" w:line="240" w:lineRule="auto"/>
        <w:jc w:val="center"/>
      </w:pPr>
      <w:r>
        <w:rPr>
          <w:rFonts w:ascii="Century Gothic" w:hAnsi="Century Gothic" w:cs="Century Gothic" w:eastAsia="Century Gothic"/>
          <w:b/>
          <w:i w:val="0"/>
          <w:sz w:val="20"/>
        </w:rPr>
        <w:t>Cuadro 9. Asignación de cargas horarias por año</w:t>
      </w:r>
    </w:p>
    <w:tbl>
      <w:tblPr>
        <w:tblW w:type="auto" w:w="0"/>
        <w:jc w:val="center"/>
        <w:tblLayout w:type="fixed"/>
        <w:tblLook w:firstColumn="1" w:firstRow="1" w:lastColumn="0" w:lastRow="0" w:noHBand="0" w:noVBand="1" w:val="04A0"/>
      </w:tblPr>
      <w:tblGrid>
        <w:gridCol w:w="1134"/>
        <w:gridCol w:w="1134"/>
        <w:gridCol w:w="1134"/>
        <w:gridCol w:w="1134"/>
        <w:gridCol w:w="1134"/>
        <w:gridCol w:w="1134"/>
        <w:gridCol w:w="1134"/>
        <w:gridCol w:w="1134"/>
      </w:tblGrid>
      <w:tr>
        <w:trPr>
          <w:tblHeader/>
        </w:trPr>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Año</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Asig.</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Hrs. sem.</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Hrs. pres. año</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Hrs. no pres.</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Hrs. trabajo</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Créd.</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 hrs. pres.</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Primer año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8</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26</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1.040</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760</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1.800</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60</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17,33</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Segundo año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8</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30</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1.200</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600</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1.800</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60</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20,00</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Tercer año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8</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32</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1.280</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520</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1.800</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60</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21,33</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Cuarto año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9</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32</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1.280</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520</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1.800</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60</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21,33</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Quinto año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10</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30</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1.200</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600</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1.800</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60</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20,00</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Total</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43</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150</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6.000</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3.000</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9.000</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300</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100,00</w:t>
            </w:r>
          </w:p>
        </w:tc>
      </w:tr>
    </w:tbl>
    <w:p>
      <w:pPr>
        <w:spacing w:before="40" w:after="200" w:line="240" w:lineRule="auto"/>
        <w:jc w:val="left"/>
      </w:pPr>
      <w:r>
        <w:rPr>
          <w:rFonts w:ascii="Century Gothic" w:hAnsi="Century Gothic" w:cs="Century Gothic" w:eastAsia="Century Gothic"/>
          <w:b w:val="0"/>
          <w:i w:val="0"/>
          <w:sz w:val="16"/>
        </w:rPr>
        <w:t>Asig.: asignaturas. Hrs. sem.: horas por semana. Hrs. pres. año: horas académicas presenciales por año. Hrs. no pres.: horas no presenciales. Créd.: créditos. Fuente: elaboración con base en la Malla Curricular 2026 de la Carrera de Contaduría Pública y la Resolución HCU N.º 351/2021.</w:t>
      </w:r>
    </w:p>
    <w:p>
      <w:pPr>
        <w:spacing w:before="0" w:after="200" w:line="240" w:lineRule="auto"/>
        <w:jc w:val="both"/>
      </w:pPr>
      <w:r>
        <w:rPr>
          <w:rFonts w:ascii="Century Gothic" w:hAnsi="Century Gothic" w:cs="Century Gothic" w:eastAsia="Century Gothic"/>
          <w:b w:val="0"/>
          <w:i w:val="0"/>
          <w:sz w:val="20"/>
        </w:rPr>
        <w:t>Cada año académico suma 60 créditos y 1.800 horas de trabajo, de modo que el plan totaliza 300 créditos y 9.000 horas de trabajo: 6.000 horas académicas presenciales y 3.000 horas no presenciales. Los créditos de cada asignatura no son proporcionales a sus horas presenciales, porque incorporan el trabajo no presencial que exige cada una. Por ejemplo, CPA-101 Contabilidad Básica tiene 160 horas presenciales y 12 créditos, que equivalen a 360 horas de trabajo, mientras que ADM-301 Desarrollo Organizacional y Comportamiento Organizacional tiene las mismas 160 horas presenciales y 6 créditos, que equivalen a 180 horas de trabajo. La distinción de horas teóricas, prácticas y de laboratorio se consigna en cada plan de asignatura, según el formato de cálculo de horas de la Universidad.</w:t>
      </w:r>
    </w:p>
    <w:sectPr w:rsidR="00FC693F" w:rsidRPr="0006063C" w:rsidSect="00034616">
      <w:headerReference w:type="default" r:id="rId9"/>
      <w:footerReference w:type="default" r:id="rId10"/>
      <w:pgSz w:w="12240" w:h="15840"/>
      <w:pgMar w:top="1701" w:right="1134" w:bottom="1134" w:left="1701"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right"/>
    </w:pPr>
    <w:r>
      <w:rPr>
        <w:rFonts w:ascii="Century Gothic" w:hAnsi="Century Gothic" w:cs="Century Gothic" w:eastAsia="Century Gothic"/>
        <w:sz w:val="20"/>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Borders>
        <w:top w:val="nil"/>
        <w:left w:val="nil"/>
        <w:bottom w:val="single" w:sz="6" w:space="0" w:color="000000"/>
        <w:right w:val="nil"/>
        <w:insideH w:val="nil"/>
        <w:insideV w:val="nil"/>
      </w:tblBorders>
      <w:tblLayout w:type="fixed"/>
      <w:tblLook w:firstColumn="1" w:firstRow="1" w:lastColumn="0" w:lastRow="0" w:noHBand="0" w:noVBand="1" w:val="04A0"/>
    </w:tblPr>
    <w:tblGrid>
      <w:gridCol w:w="1247"/>
      <w:gridCol w:w="6911"/>
      <w:gridCol w:w="1247"/>
    </w:tblGrid>
    <w:tr>
      <w:tc>
        <w:tcPr>
          <w:tcW w:type="dxa" w:w="1247"/>
          <w:vAlign w:val="center"/>
        </w:tcPr>
        <w:p>
          <w:pPr>
            <w:spacing w:before="0" w:after="40" w:line="240" w:lineRule="auto"/>
            <w:jc w:val="left"/>
          </w:pPr>
          <w:r>
            <w:drawing>
              <wp:inline xmlns:a="http://schemas.openxmlformats.org/drawingml/2006/main" xmlns:pic="http://schemas.openxmlformats.org/drawingml/2006/picture">
                <wp:extent cx="484248" cy="684000"/>
                <wp:docPr id="1" name="Picture 1"/>
                <wp:cNvGraphicFramePr>
                  <a:graphicFrameLocks noChangeAspect="1"/>
                </wp:cNvGraphicFramePr>
                <a:graphic>
                  <a:graphicData uri="http://schemas.openxmlformats.org/drawingml/2006/picture">
                    <pic:pic>
                      <pic:nvPicPr>
                        <pic:cNvPr id="0" name="logo_umsa.png"/>
                        <pic:cNvPicPr/>
                      </pic:nvPicPr>
                      <pic:blipFill>
                        <a:blip r:embed="rId1"/>
                        <a:stretch>
                          <a:fillRect/>
                        </a:stretch>
                      </pic:blipFill>
                      <pic:spPr>
                        <a:xfrm>
                          <a:off x="0" y="0"/>
                          <a:ext cx="484248" cy="684000"/>
                        </a:xfrm>
                        <a:prstGeom prst="rect"/>
                      </pic:spPr>
                    </pic:pic>
                  </a:graphicData>
                </a:graphic>
              </wp:inline>
            </w:drawing>
          </w:r>
        </w:p>
      </w:tc>
      <w:tc>
        <w:tcPr>
          <w:tcW w:type="dxa" w:w="6911"/>
          <w:vAlign w:val="center"/>
        </w:tcPr>
        <w:p>
          <w:pPr>
            <w:spacing w:before="0" w:after="0" w:line="240" w:lineRule="auto"/>
            <w:jc w:val="center"/>
          </w:pPr>
          <w:r>
            <w:rPr>
              <w:rFonts w:ascii="Century Gothic" w:hAnsi="Century Gothic" w:cs="Century Gothic" w:eastAsia="Century Gothic"/>
              <w:b/>
              <w:sz w:val="22"/>
            </w:rPr>
            <w:t>Universidad Mayor de “San Andrés”</w:t>
            <w:br/>
          </w:r>
          <w:r>
            <w:rPr>
              <w:rFonts w:ascii="Century Gothic" w:hAnsi="Century Gothic" w:cs="Century Gothic" w:eastAsia="Century Gothic"/>
              <w:b/>
              <w:sz w:val="22"/>
            </w:rPr>
            <w:t>Facultad de Ciencias Económicas y Financieras</w:t>
            <w:br/>
          </w:r>
          <w:r>
            <w:rPr>
              <w:rFonts w:ascii="Century Gothic" w:hAnsi="Century Gothic" w:cs="Century Gothic" w:eastAsia="Century Gothic"/>
              <w:b/>
              <w:sz w:val="22"/>
            </w:rPr>
            <w:t>Carrera Contaduría Pública</w:t>
          </w:r>
        </w:p>
      </w:tc>
      <w:tc>
        <w:tcPr>
          <w:tcW w:type="dxa" w:w="1247"/>
          <w:vAlign w:val="center"/>
        </w:tcPr>
        <w:p>
          <w:pPr>
            <w:spacing w:before="0" w:after="40" w:line="240" w:lineRule="auto"/>
            <w:jc w:val="right"/>
          </w:pPr>
          <w:r>
            <w:drawing>
              <wp:inline xmlns:a="http://schemas.openxmlformats.org/drawingml/2006/main" xmlns:pic="http://schemas.openxmlformats.org/drawingml/2006/picture">
                <wp:extent cx="445846" cy="684000"/>
                <wp:docPr id="2" name="Picture 2"/>
                <wp:cNvGraphicFramePr>
                  <a:graphicFrameLocks noChangeAspect="1"/>
                </wp:cNvGraphicFramePr>
                <a:graphic>
                  <a:graphicData uri="http://schemas.openxmlformats.org/drawingml/2006/picture">
                    <pic:pic>
                      <pic:nvPicPr>
                        <pic:cNvPr id="0" name="logo_carrera.png"/>
                        <pic:cNvPicPr/>
                      </pic:nvPicPr>
                      <pic:blipFill>
                        <a:blip r:embed="rId2"/>
                        <a:stretch>
                          <a:fillRect/>
                        </a:stretch>
                      </pic:blipFill>
                      <pic:spPr>
                        <a:xfrm>
                          <a:off x="0" y="0"/>
                          <a:ext cx="445846" cy="684000"/>
                        </a:xfrm>
                        <a:prstGeom prst="rect"/>
                      </pic:spPr>
                    </pic:pic>
                  </a:graphicData>
                </a:graphic>
              </wp:inline>
            </w:drawing>
          </w:r>
        </w:p>
      </w:tc>
    </w:tr>
  </w:tbl>
  <w:p>
    <w:pPr>
      <w:spacing w:after="0"/>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0">
    <w:multiLevelType w:val="hybridMultilevel"/>
    <w:lvl w:ilvl="0">
      <w:start w:val="1"/>
      <w:numFmt w:val="bullet"/>
      <w:lvlText w:val=""/>
      <w:lvlJc w:val="left"/>
      <w:pPr>
        <w:ind w:left="357" w:hanging="357"/>
      </w:pPr>
      <w:rPr>
        <w:rFonts w:ascii="Wingdings" w:hAnsi="Wingdings" w:cs="Wingdings" w:hint="default"/>
        <w:sz w:val="20"/>
      </w:rPr>
    </w:lvl>
    <w:lvl w:ilvl="1">
      <w:start w:val="1"/>
      <w:numFmt w:val="bullet"/>
      <w:lvlText w:val="–"/>
      <w:lvlJc w:val="left"/>
      <w:pPr>
        <w:ind w:left="720" w:hanging="283"/>
      </w:pPr>
      <w:rPr>
        <w:rFonts w:ascii="Century Gothic" w:hAnsi="Century Gothic" w:cs="Century Gothic" w:hint="default"/>
        <w:sz w:val="20"/>
      </w:rPr>
    </w:lvl>
    <w:lvl w:ilvl="2">
      <w:start w:val="1"/>
      <w:numFmt w:val="bullet"/>
      <w:lvlText w:val="·"/>
      <w:lvlJc w:val="left"/>
      <w:pPr>
        <w:ind w:left="1077" w:hanging="283"/>
      </w:pPr>
      <w:rPr>
        <w:rFonts w:ascii="Symbol" w:hAnsi="Symbol" w:cs="Symbol" w:hint="default"/>
        <w:sz w:val="20"/>
      </w:rPr>
    </w:lvl>
  </w:abstractNum>
  <w:abstractNum w:abstractNumId="901">
    <w:multiLevelType w:val="hybridMultilevel"/>
    <w:lvl w:ilvl="0">
      <w:start w:val="1"/>
      <w:numFmt w:val="lowerLetter"/>
      <w:lvlText w:val="%1."/>
      <w:lvlJc w:val="left"/>
      <w:pPr>
        <w:ind w:left="357" w:hanging="357"/>
      </w:pPr>
      <w:rPr>
        <w:rFonts w:ascii="Century Gothic" w:hAnsi="Century Gothic" w:cs="Century Gothic" w:hint="default"/>
        <w:b/>
        <w:sz w:val="20"/>
      </w:rPr>
    </w:lvl>
    <w:lvl w:ilvl="1">
      <w:start w:val="1"/>
      <w:numFmt w:val="bullet"/>
      <w:lvlText w:val=""/>
      <w:lvlJc w:val="left"/>
      <w:pPr>
        <w:ind w:left="720" w:hanging="357"/>
      </w:pPr>
      <w:rPr>
        <w:rFonts w:ascii="Wingdings" w:hAnsi="Wingdings" w:cs="Wingdings" w:hint="default"/>
        <w:sz w:val="20"/>
      </w:rPr>
    </w:lvl>
    <w:lvl w:ilvl="2">
      <w:start w:val="1"/>
      <w:numFmt w:val="bullet"/>
      <w:lvlText w:val="–"/>
      <w:lvlJc w:val="left"/>
      <w:pPr>
        <w:ind w:left="1077" w:hanging="283"/>
      </w:pPr>
      <w:rPr>
        <w:rFonts w:ascii="Century Gothic" w:hAnsi="Century Gothic" w:cs="Century Gothic" w:hint="default"/>
        <w:sz w:val="20"/>
      </w:rPr>
    </w:lvl>
  </w:abstractNum>
  <w:abstractNum w:abstractNumId="902">
    <w:multiLevelType w:val="hybridMultilevel"/>
    <w:lvl w:ilvl="0">
      <w:start w:val="1"/>
      <w:numFmt w:val="decimal"/>
      <w:lvlText w:val="%1."/>
      <w:lvlJc w:val="left"/>
      <w:pPr>
        <w:ind w:left="357" w:hanging="357"/>
      </w:pPr>
      <w:rPr>
        <w:rFonts w:ascii="Century Gothic" w:hAnsi="Century Gothic" w:cs="Century Gothic" w:hint="default"/>
        <w:b/>
        <w:sz w:val="20"/>
      </w:rPr>
    </w:lvl>
    <w:lvl w:ilvl="1">
      <w:start w:val="1"/>
      <w:numFmt w:val="lowerLetter"/>
      <w:lvlText w:val="%2."/>
      <w:lvlJc w:val="left"/>
      <w:pPr>
        <w:ind w:left="720" w:hanging="357"/>
      </w:pPr>
      <w:rPr>
        <w:rFonts w:ascii="Century Gothic" w:hAnsi="Century Gothic" w:cs="Century Gothic" w:hint="default"/>
        <w:b/>
        <w:sz w:val="20"/>
      </w:rPr>
    </w:lvl>
    <w:lvl w:ilvl="2">
      <w:start w:val="1"/>
      <w:numFmt w:val="bullet"/>
      <w:lvlText w:val=""/>
      <w:lvlJc w:val="left"/>
      <w:pPr>
        <w:ind w:left="1077" w:hanging="283"/>
      </w:pPr>
      <w:rPr>
        <w:rFonts w:ascii="Wingdings" w:hAnsi="Wingdings" w:cs="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1">
    <w:abstractNumId w:val="900"/>
    <w:lvlOverride w:ilvl="0">
      <w:startOverride w:val="1"/>
    </w:lvlOverride>
  </w:num>
  <w:num w:numId="902">
    <w:abstractNumId w:val="90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entury Gothic" w:hAnsi="Century Gothic" w:cs="Century Gothic" w:eastAsia="Century Gothic"/>
      <w:sz w:val="20"/>
      <w:lang w:val="es-BO" w:eastAsia="es-B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