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Informe de Revisión de los Itinerarios Formativos</w:t>
      </w:r>
    </w:p>
    <w:p>
      <w:pPr>
        <w:spacing w:before="0" w:after="360" w:line="240" w:lineRule="auto"/>
        <w:jc w:val="center"/>
      </w:pPr>
      <w:r>
        <w:rPr>
          <w:rFonts w:ascii="Century Gothic" w:hAnsi="Century Gothic" w:cs="Century Gothic" w:eastAsia="Century Gothic"/>
          <w:b/>
          <w:i w:val="0"/>
          <w:sz w:val="28"/>
        </w:rPr>
        <w:t>Punto 4.5 Planes de Asignatura</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w:t>
        <w:tab/>
      </w:r>
      <w:r>
        <w:rPr>
          <w:rFonts w:ascii="Century Gothic" w:hAnsi="Century Gothic" w:cs="Century Gothic" w:eastAsia="Century Gothic"/>
          <w:b/>
          <w:i w:val="0"/>
          <w:sz w:val="24"/>
        </w:rPr>
        <w:t>Antecedentes y objeto</w:t>
      </w:r>
    </w:p>
    <w:p>
      <w:pPr>
        <w:spacing w:before="0" w:after="200" w:line="240" w:lineRule="auto"/>
        <w:jc w:val="both"/>
      </w:pPr>
      <w:r>
        <w:rPr>
          <w:rFonts w:ascii="Century Gothic" w:hAnsi="Century Gothic" w:cs="Century Gothic" w:eastAsia="Century Gothic"/>
          <w:b w:val="0"/>
          <w:i w:val="0"/>
          <w:sz w:val="20"/>
        </w:rPr>
        <w:t>Las subcomisiones de área entregaron los itinerarios formativos de las 43 asignaturas del Plan de Estudios, que conforman el punto 4.5 Planes de asignatura del diseño curricular. La entrega comprende 40 itinerarios en Word y 3 en PDF, los de Administración, organizados en nueve carpetas de área, junto con 15 informes o cartas de las subcomisiones.</w:t>
      </w:r>
    </w:p>
    <w:p>
      <w:pPr>
        <w:spacing w:before="0" w:after="200" w:line="240" w:lineRule="auto"/>
        <w:jc w:val="both"/>
      </w:pPr>
      <w:r>
        <w:rPr>
          <w:rFonts w:ascii="Century Gothic" w:hAnsi="Century Gothic" w:cs="Century Gothic" w:eastAsia="Century Gothic"/>
          <w:b w:val="0"/>
          <w:i w:val="0"/>
          <w:sz w:val="20"/>
        </w:rPr>
        <w:t xml:space="preserve">El objeto de este informe es verificar que cada itinerario cumpla la </w:t>
      </w:r>
      <w:r>
        <w:rPr>
          <w:rFonts w:ascii="Century Gothic" w:hAnsi="Century Gothic" w:cs="Century Gothic" w:eastAsia="Century Gothic"/>
          <w:b/>
          <w:i w:val="0"/>
          <w:sz w:val="20"/>
        </w:rPr>
        <w:t>Guía de llenado del itinerario formativo por competencias, volumen 2</w:t>
      </w:r>
      <w:r>
        <w:rPr>
          <w:rFonts w:ascii="Century Gothic" w:hAnsi="Century Gothic" w:cs="Century Gothic" w:eastAsia="Century Gothic"/>
          <w:b w:val="0"/>
          <w:i w:val="0"/>
          <w:sz w:val="20"/>
        </w:rPr>
        <w:t xml:space="preserve">, aprobada por la comisión, y que sus datos coincidan con la </w:t>
      </w:r>
      <w:r>
        <w:rPr>
          <w:rFonts w:ascii="Century Gothic" w:hAnsi="Century Gothic" w:cs="Century Gothic" w:eastAsia="Century Gothic"/>
          <w:b/>
          <w:i w:val="0"/>
          <w:sz w:val="20"/>
        </w:rPr>
        <w:t>Malla Curricular 2026</w:t>
      </w:r>
      <w:r>
        <w:rPr>
          <w:rFonts w:ascii="Century Gothic" w:hAnsi="Century Gothic" w:cs="Century Gothic" w:eastAsia="Century Gothic"/>
          <w:b w:val="0"/>
          <w:i w:val="0"/>
          <w:sz w:val="20"/>
        </w:rPr>
        <w:t>. Además, se corrigen los errores ortográficos claros, se señalan los cambios de nombre de las asignaturas y se observan los contenidos que no resultan coherentes.</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2.</w:t>
        <w:tab/>
      </w:r>
      <w:r>
        <w:rPr>
          <w:rFonts w:ascii="Century Gothic" w:hAnsi="Century Gothic" w:cs="Century Gothic" w:eastAsia="Century Gothic"/>
          <w:b/>
          <w:i w:val="0"/>
          <w:sz w:val="24"/>
        </w:rPr>
        <w:t>Metodología</w:t>
      </w:r>
    </w:p>
    <w:p>
      <w:pPr>
        <w:spacing w:before="0" w:after="200" w:line="240" w:lineRule="auto"/>
        <w:jc w:val="both"/>
      </w:pPr>
      <w:r>
        <w:rPr>
          <w:rFonts w:ascii="Century Gothic" w:hAnsi="Century Gothic" w:cs="Century Gothic" w:eastAsia="Century Gothic"/>
          <w:b w:val="0"/>
          <w:i w:val="0"/>
          <w:sz w:val="20"/>
        </w:rPr>
        <w:t>La revisión se realizó en tres niveles:</w:t>
      </w:r>
    </w:p>
    <w:p>
      <w:pPr>
        <w:numPr>
          <w:ilvl w:val="0"/>
          <w:numId w:val="901"/>
        </w:numPr>
        <w:spacing w:before="0" w:after="160" w:line="240" w:lineRule="auto"/>
        <w:jc w:val="both"/>
      </w:pPr>
      <w:r>
        <w:rPr>
          <w:rFonts w:ascii="Century Gothic" w:hAnsi="Century Gothic" w:cs="Century Gothic" w:eastAsia="Century Gothic"/>
          <w:b/>
          <w:i w:val="0"/>
          <w:sz w:val="20"/>
        </w:rPr>
        <w:t>Verificación estructural.</w:t>
      </w:r>
      <w:r>
        <w:rPr>
          <w:rFonts w:ascii="Century Gothic" w:hAnsi="Century Gothic" w:cs="Century Gothic" w:eastAsia="Century Gothic"/>
          <w:b w:val="0"/>
          <w:i w:val="0"/>
          <w:sz w:val="20"/>
        </w:rPr>
        <w:t xml:space="preserve"> Se analizó cada itinerario con un procedimiento automatizado que recorre sus secciones y cuenta los elementos, criterios, evidencias, productos, rúbricas, pesos y marcas de saber, y compara los datos generales con la malla. Cada resultado atípico se confirmó leyendo el documento. Se aplicaron los 20 puntos de la lista de verificación de la sección 11 de la guía y tres controles adicionales tomados de sus secciones 4 y 6.</w:t>
      </w:r>
    </w:p>
    <w:p>
      <w:pPr>
        <w:numPr>
          <w:ilvl w:val="0"/>
          <w:numId w:val="901"/>
        </w:numPr>
        <w:spacing w:before="0" w:after="160" w:line="240" w:lineRule="auto"/>
        <w:jc w:val="both"/>
      </w:pPr>
      <w:r>
        <w:rPr>
          <w:rFonts w:ascii="Century Gothic" w:hAnsi="Century Gothic" w:cs="Century Gothic" w:eastAsia="Century Gothic"/>
          <w:b/>
          <w:i w:val="0"/>
          <w:sz w:val="20"/>
        </w:rPr>
        <w:t>Revisión de contenido.</w:t>
      </w:r>
      <w:r>
        <w:rPr>
          <w:rFonts w:ascii="Century Gothic" w:hAnsi="Century Gothic" w:cs="Century Gothic" w:eastAsia="Century Gothic"/>
          <w:b w:val="0"/>
          <w:i w:val="0"/>
          <w:sz w:val="20"/>
        </w:rPr>
        <w:t xml:space="preserve"> Se leyó cada itinerario completo para evaluar la cadena de coherencia de la sección 5 de la guía, el uso de las marcas de saber, la pertinencia de los conocimientos circunstanciales, la vigencia de las normas citadas y las incoherencias internas.</w:t>
      </w:r>
    </w:p>
    <w:p>
      <w:pPr>
        <w:numPr>
          <w:ilvl w:val="0"/>
          <w:numId w:val="901"/>
        </w:numPr>
        <w:spacing w:before="0" w:after="200" w:line="240" w:lineRule="auto"/>
        <w:jc w:val="both"/>
      </w:pPr>
      <w:r>
        <w:rPr>
          <w:rFonts w:ascii="Century Gothic" w:hAnsi="Century Gothic" w:cs="Century Gothic" w:eastAsia="Century Gothic"/>
          <w:b/>
          <w:i w:val="0"/>
          <w:sz w:val="20"/>
        </w:rPr>
        <w:t>Revisión ortográfica.</w:t>
      </w:r>
      <w:r>
        <w:rPr>
          <w:rFonts w:ascii="Century Gothic" w:hAnsi="Century Gothic" w:cs="Century Gothic" w:eastAsia="Century Gothic"/>
          <w:b w:val="0"/>
          <w:i w:val="0"/>
          <w:sz w:val="20"/>
        </w:rPr>
        <w:t xml:space="preserve"> Se contrastó el texto con el diccionario de la lengua española y se confirmaron manualmente los errores. Solo se corrigieron errores claros: tildes, letras cambiadas, palabras repetidas, marcas de saber sin cerrar o con formato distinto del de la guía. No se modificaron la redacción, los nombres propios, las siglas, los títulos en otros idiomas ni las citas bibliográficas.</w:t>
      </w:r>
    </w:p>
    <w:p>
      <w:pPr>
        <w:spacing w:before="0" w:after="200" w:line="240" w:lineRule="auto"/>
        <w:jc w:val="both"/>
      </w:pPr>
      <w:r>
        <w:rPr>
          <w:rFonts w:ascii="Century Gothic" w:hAnsi="Century Gothic" w:cs="Century Gothic" w:eastAsia="Century Gothic"/>
          <w:b w:val="0"/>
          <w:i w:val="0"/>
          <w:sz w:val="20"/>
        </w:rPr>
        <w:t xml:space="preserve">Cada punto de control se califica como </w:t>
      </w:r>
      <w:r>
        <w:rPr>
          <w:rFonts w:ascii="Century Gothic" w:hAnsi="Century Gothic" w:cs="Century Gothic" w:eastAsia="Century Gothic"/>
          <w:b/>
          <w:i w:val="0"/>
          <w:sz w:val="20"/>
        </w:rPr>
        <w:t>Cumple (C)</w:t>
      </w:r>
      <w:r>
        <w:rPr>
          <w:rFonts w:ascii="Century Gothic" w:hAnsi="Century Gothic" w:cs="Century Gothic" w:eastAsia="Century Gothic"/>
          <w:b w:val="0"/>
          <w:i w:val="0"/>
          <w:sz w:val="20"/>
        </w:rPr>
        <w:t xml:space="preserve">, </w:t>
      </w:r>
      <w:r>
        <w:rPr>
          <w:rFonts w:ascii="Century Gothic" w:hAnsi="Century Gothic" w:cs="Century Gothic" w:eastAsia="Century Gothic"/>
          <w:b/>
          <w:i w:val="0"/>
          <w:sz w:val="20"/>
        </w:rPr>
        <w:t>Parcial (P)</w:t>
      </w:r>
      <w:r>
        <w:rPr>
          <w:rFonts w:ascii="Century Gothic" w:hAnsi="Century Gothic" w:cs="Century Gothic" w:eastAsia="Century Gothic"/>
          <w:b w:val="0"/>
          <w:i w:val="0"/>
          <w:sz w:val="20"/>
        </w:rPr>
        <w:t xml:space="preserve"> cuando el incumplimiento es menor o afecta a pocos casos, o </w:t>
      </w:r>
      <w:r>
        <w:rPr>
          <w:rFonts w:ascii="Century Gothic" w:hAnsi="Century Gothic" w:cs="Century Gothic" w:eastAsia="Century Gothic"/>
          <w:b/>
          <w:i w:val="0"/>
          <w:sz w:val="20"/>
        </w:rPr>
        <w:t>No cumple (N)</w:t>
      </w:r>
      <w:r>
        <w:rPr>
          <w:rFonts w:ascii="Century Gothic" w:hAnsi="Century Gothic" w:cs="Century Gothic" w:eastAsia="Century Gothic"/>
          <w:b w:val="0"/>
          <w:i w:val="0"/>
          <w:sz w:val="20"/>
        </w:rPr>
        <w:t xml:space="preserve">. Según el número de controles no cumplidos, cada itinerario se clasifica como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 xml:space="preserve"> (hasta 3),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 xml:space="preserve"> (4 a 6) o </w:t>
      </w:r>
      <w:r>
        <w:rPr>
          <w:rFonts w:ascii="Century Gothic" w:hAnsi="Century Gothic" w:cs="Century Gothic" w:eastAsia="Century Gothic"/>
          <w:b/>
          <w:i w:val="0"/>
          <w:sz w:val="20"/>
        </w:rPr>
        <w:t>requiere reformulación parcial</w:t>
      </w:r>
      <w:r>
        <w:rPr>
          <w:rFonts w:ascii="Century Gothic" w:hAnsi="Century Gothic" w:cs="Century Gothic" w:eastAsia="Century Gothic"/>
          <w:b w:val="0"/>
          <w:i w:val="0"/>
          <w:sz w:val="20"/>
        </w:rPr>
        <w:t xml:space="preserve"> (7 o más). La clasificación sube un nivel cuando la revisión de contenido encontró fallas graves en la cadena de coherencia, como rúbricas copiadas de otro producto, elementos sin contenidos o errores conceptuales.</w:t>
      </w:r>
    </w:p>
    <w:p>
      <w:pPr>
        <w:spacing w:before="0" w:after="200" w:line="240" w:lineRule="auto"/>
        <w:jc w:val="both"/>
      </w:pPr>
      <w:r>
        <w:rPr>
          <w:rFonts w:ascii="Century Gothic" w:hAnsi="Century Gothic" w:cs="Century Gothic" w:eastAsia="Century Gothic"/>
          <w:b w:val="0"/>
          <w:i w:val="0"/>
          <w:sz w:val="20"/>
        </w:rPr>
        <w:t xml:space="preserve">Las correcciones ortográficas y de forma se aplicaron sobre una copia de cada itinerario en Word como </w:t>
      </w:r>
      <w:r>
        <w:rPr>
          <w:rFonts w:ascii="Century Gothic" w:hAnsi="Century Gothic" w:cs="Century Gothic" w:eastAsia="Century Gothic"/>
          <w:b/>
          <w:i w:val="0"/>
          <w:sz w:val="20"/>
        </w:rPr>
        <w:t>cambios controlados</w:t>
      </w:r>
      <w:r>
        <w:rPr>
          <w:rFonts w:ascii="Century Gothic" w:hAnsi="Century Gothic" w:cs="Century Gothic" w:eastAsia="Century Gothic"/>
          <w:b w:val="0"/>
          <w:i w:val="0"/>
          <w:sz w:val="20"/>
        </w:rPr>
        <w:t>, de modo que cada docente pueda aceptarlas o rechazarlas. Se aplicaron 372 correcciones en total. Los tres itinerarios de Administración, entregados en PDF, no pudieron corregirse: sus correcciones se listan en el Anexo A para que el área las incorpore en su versión en Word.</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3.</w:t>
        <w:tab/>
      </w:r>
      <w:r>
        <w:rPr>
          <w:rFonts w:ascii="Century Gothic" w:hAnsi="Century Gothic" w:cs="Century Gothic" w:eastAsia="Century Gothic"/>
          <w:b/>
          <w:i w:val="0"/>
          <w:sz w:val="24"/>
        </w:rPr>
        <w:t>Resultados generales</w:t>
      </w:r>
    </w:p>
    <w:p>
      <w:pPr>
        <w:keepNext/>
        <w:spacing w:before="40" w:after="80" w:line="240" w:lineRule="auto"/>
        <w:jc w:val="center"/>
      </w:pPr>
      <w:r>
        <w:rPr>
          <w:rFonts w:ascii="Century Gothic" w:hAnsi="Century Gothic" w:cs="Century Gothic" w:eastAsia="Century Gothic"/>
          <w:b/>
          <w:i w:val="0"/>
          <w:sz w:val="20"/>
        </w:rPr>
        <w:t>Cuadro 1. Cumplimiento de los puntos de control en las 43 asignaturas</w:t>
      </w:r>
    </w:p>
    <w:tbl>
      <w:tblPr>
        <w:tblW w:type="auto" w:w="0"/>
        <w:jc w:val="center"/>
        <w:tblLayout w:type="fixed"/>
        <w:tblLook w:firstColumn="1" w:firstRow="1" w:lastColumn="0" w:lastRow="0" w:noHBand="0" w:noVBand="1" w:val="04A0"/>
      </w:tblPr>
      <w:tblGrid>
        <w:gridCol w:w="624"/>
        <w:gridCol w:w="5839"/>
        <w:gridCol w:w="850"/>
        <w:gridCol w:w="850"/>
        <w:gridCol w:w="907"/>
      </w:tblGrid>
      <w:tr>
        <w:trPr>
          <w:tblHeader/>
        </w:trPr>
        <w:tc>
          <w:tcPr>
            <w:tcW w:type="dxa" w:w="6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583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Punto de control de la guía</w:t>
            </w:r>
          </w:p>
        </w:tc>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Cumple</w:t>
            </w:r>
          </w:p>
        </w:tc>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Parcial</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No cumple</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datos generales coinciden con la malla curricular 2026.</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carga horaria muestra solo las siglas HP, HAA, HTG, HIP, HE y TOTAL, en blanco.</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C3</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créditos están en blanco.</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unidad de competencia tiene verbo en presente, procesos en gerundio, contexto boliviano y condiciones de calidad.</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C5</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Cada capítulo del programa, o grupo de capítulos afines, es un elemento con sus unidades de aprendizaje.</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C6</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número de elementos no supera 10, por ser asignaturas anuales.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C7</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Cada elemento tiene exactamente dos criterios de desempeño.</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C8</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Cada criterio tiene dos evidencias de desempeño, numeradas 1.1, 1.2, 2.1 y 2.2.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C9</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Cada evidencia de desempeño tiene su producto; hay cuatro productos por elemento, numerados de forma correlativa.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Cada contenido termina en punto y lleva su marca C, P, A o T.</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C11</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Hay contenidos actitudinales y tecnológicos en la asignatura.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conocimientos circunstanciales son necesarios y no se dictan en otra asignatura.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C13</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actividades tienen cinco columnas, incluida «En clase», y la extensión va dentro de ellas.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C14</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rótulo dice «Estrategias de aprendizaje y enseñanza».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C15</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Hay evaluación diagnóstica, formativa y sumativa.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Hay una rúbrica por producto, con tres criterios y tres niveles: 1 a 50, 51 a 80 y 81 a 100.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C17</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pesos de los productos son enteros y suman 100 %.</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bibliografía básica está en orden alfabético y con ediciones vigentes.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aparecen «mediante», «a través», «con el fin de», «con la finalidad de», «para que» ni «el estudiante» como sujeto.</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 incorporado por la comisión está resaltado en amarillo.</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C21</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indica la nota mínima de 51/100 y la calificación por productos (sección 4 de la guía).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C22</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Hoja carta, Times New Roman, blanco y negro, en Word editable (sección 4 de la guía).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C23</w:t>
            </w:r>
          </w:p>
        </w:tc>
        <w:tc>
          <w:tcPr>
            <w:tcW w:type="dxa" w:w="58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Enunciados en presente, no en infinitivo ni futuro, y productos redactados como sustantivo (sección 6 de la guía).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r>
    </w:tbl>
    <w:p>
      <w:pPr>
        <w:spacing w:before="40" w:after="200" w:line="240" w:lineRule="auto"/>
        <w:jc w:val="left"/>
      </w:pPr>
      <w:r>
        <w:rPr>
          <w:rFonts w:ascii="Century Gothic" w:hAnsi="Century Gothic" w:cs="Century Gothic" w:eastAsia="Century Gothic"/>
          <w:b w:val="0"/>
          <w:i w:val="0"/>
          <w:sz w:val="16"/>
        </w:rPr>
        <w:t>C1 a C20: lista de verificación de la sección 11 de la guía. C21 a C23: controles adicionales de las secciones 4 y 6 de la guía.</w:t>
      </w:r>
    </w:p>
    <w:p>
      <w:pPr>
        <w:spacing w:before="0" w:after="200" w:line="240" w:lineRule="auto"/>
        <w:jc w:val="both"/>
      </w:pPr>
      <w:r>
        <w:rPr>
          <w:rFonts w:ascii="Century Gothic" w:hAnsi="Century Gothic" w:cs="Century Gothic" w:eastAsia="Century Gothic"/>
          <w:b w:val="0"/>
          <w:i w:val="0"/>
          <w:sz w:val="20"/>
        </w:rPr>
        <w:t>Los resultados más relevantes son los siguientes:</w:t>
      </w:r>
    </w:p>
    <w:p>
      <w:pPr>
        <w:numPr>
          <w:ilvl w:val="0"/>
          <w:numId w:val="902"/>
        </w:numPr>
        <w:spacing w:before="0" w:after="160" w:line="240" w:lineRule="auto"/>
        <w:jc w:val="both"/>
      </w:pPr>
      <w:r>
        <w:rPr>
          <w:rFonts w:ascii="Century Gothic" w:hAnsi="Century Gothic" w:cs="Century Gothic" w:eastAsia="Century Gothic"/>
          <w:b w:val="0"/>
          <w:i w:val="0"/>
          <w:sz w:val="20"/>
        </w:rPr>
        <w:t>Solo 4 itinerarios resaltan en amarillo lo que incorporó la comisión y 2 lo hacen de forma parcial; en los 37 restantes los docentes no pueden distinguir lo nuevo de lo heredado del plan anterior.</w:t>
      </w:r>
    </w:p>
    <w:p>
      <w:pPr>
        <w:numPr>
          <w:ilvl w:val="0"/>
          <w:numId w:val="902"/>
        </w:numPr>
        <w:spacing w:before="0" w:after="160" w:line="240" w:lineRule="auto"/>
        <w:jc w:val="both"/>
      </w:pPr>
      <w:r>
        <w:rPr>
          <w:rFonts w:ascii="Century Gothic" w:hAnsi="Century Gothic" w:cs="Century Gothic" w:eastAsia="Century Gothic"/>
          <w:b w:val="0"/>
          <w:i w:val="0"/>
          <w:sz w:val="20"/>
        </w:rPr>
        <w:t>42 de los 43 itinerarios llenaron las horas, que la guía pide dejar en blanco, con totales de 120 a 360 h que no coinciden con las 80 o 160 h anuales de la malla. 5 llenaron además los créditos.</w:t>
      </w:r>
    </w:p>
    <w:p>
      <w:pPr>
        <w:numPr>
          <w:ilvl w:val="0"/>
          <w:numId w:val="902"/>
        </w:numPr>
        <w:spacing w:before="0" w:after="160" w:line="240" w:lineRule="auto"/>
        <w:jc w:val="both"/>
      </w:pPr>
      <w:r>
        <w:rPr>
          <w:rFonts w:ascii="Century Gothic" w:hAnsi="Century Gothic" w:cs="Century Gothic" w:eastAsia="Century Gothic"/>
          <w:b w:val="0"/>
          <w:i w:val="0"/>
          <w:sz w:val="20"/>
        </w:rPr>
        <w:t>22 itinerarios usan expresiones que la guía pide evitar, sobre todo «mediante» y «a través».</w:t>
      </w:r>
    </w:p>
    <w:p>
      <w:pPr>
        <w:numPr>
          <w:ilvl w:val="0"/>
          <w:numId w:val="902"/>
        </w:numPr>
        <w:spacing w:before="0" w:after="160" w:line="240" w:lineRule="auto"/>
        <w:jc w:val="both"/>
      </w:pPr>
      <w:r>
        <w:rPr>
          <w:rFonts w:ascii="Century Gothic" w:hAnsi="Century Gothic" w:cs="Century Gothic" w:eastAsia="Century Gothic"/>
          <w:b w:val="0"/>
          <w:i w:val="0"/>
          <w:sz w:val="20"/>
        </w:rPr>
        <w:t>9 asignaturas cambiaron el nombre o la sigla respecto de la malla, sin justificación en los informes de las subcomisiones (punto 5).</w:t>
      </w:r>
    </w:p>
    <w:p>
      <w:pPr>
        <w:numPr>
          <w:ilvl w:val="0"/>
          <w:numId w:val="902"/>
        </w:numPr>
        <w:spacing w:before="0" w:after="160" w:line="240" w:lineRule="auto"/>
        <w:jc w:val="both"/>
      </w:pPr>
      <w:r>
        <w:rPr>
          <w:rFonts w:ascii="Century Gothic" w:hAnsi="Century Gothic" w:cs="Century Gothic" w:eastAsia="Century Gothic"/>
          <w:b w:val="0"/>
          <w:i w:val="0"/>
          <w:sz w:val="20"/>
        </w:rPr>
        <w:t>13 itinerarios tienen problemas en las rúbricas: faltan rúbricas, sobran, tienen dos criterios o usan la escala de 0 a 50. La revisión de contenido encontró además rúbricas copiadas de otro producto.</w:t>
      </w:r>
    </w:p>
    <w:p>
      <w:pPr>
        <w:numPr>
          <w:ilvl w:val="0"/>
          <w:numId w:val="902"/>
        </w:numPr>
        <w:spacing w:before="0" w:after="160" w:line="240" w:lineRule="auto"/>
        <w:jc w:val="both"/>
      </w:pPr>
      <w:r>
        <w:rPr>
          <w:rFonts w:ascii="Century Gothic" w:hAnsi="Century Gothic" w:cs="Century Gothic" w:eastAsia="Century Gothic"/>
          <w:b w:val="0"/>
          <w:i w:val="0"/>
          <w:sz w:val="20"/>
        </w:rPr>
        <w:t>23 itinerarios tienen contenidos sin marca de saber o sin punto antes de la marca, y 8 no tienen contenidos actitudinales o tecnológicos.</w:t>
      </w:r>
    </w:p>
    <w:p>
      <w:pPr>
        <w:numPr>
          <w:ilvl w:val="0"/>
          <w:numId w:val="902"/>
        </w:numPr>
        <w:spacing w:before="0" w:after="200" w:line="240" w:lineRule="auto"/>
        <w:jc w:val="both"/>
      </w:pPr>
      <w:r>
        <w:rPr>
          <w:rFonts w:ascii="Century Gothic" w:hAnsi="Century Gothic" w:cs="Century Gothic" w:eastAsia="Century Gothic"/>
          <w:b w:val="0"/>
          <w:i w:val="0"/>
          <w:sz w:val="20"/>
        </w:rPr>
        <w:t>La bibliografía básica de 38 itinerarios está fuera de orden alfabético o tiene ediciones anteriores a 2016.</w:t>
      </w:r>
    </w:p>
    <w:p>
      <w:pPr>
        <w:spacing w:before="0" w:after="200" w:line="240" w:lineRule="auto"/>
        <w:jc w:val="both"/>
      </w:pPr>
      <w:r>
        <w:rPr>
          <w:rFonts w:ascii="Century Gothic" w:hAnsi="Century Gothic" w:cs="Century Gothic" w:eastAsia="Century Gothic"/>
          <w:b w:val="0"/>
          <w:i w:val="0"/>
          <w:sz w:val="20"/>
        </w:rPr>
        <w:t>Según los controles no cumplidos y la gravedad de las observaciones de contenido, 21 itinerarios requieren ajustes menores, 15 requieren ajustes y 7 requieren una reformulación parcial.</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w:t>
        <w:tab/>
      </w:r>
      <w:r>
        <w:rPr>
          <w:rFonts w:ascii="Century Gothic" w:hAnsi="Century Gothic" w:cs="Century Gothic" w:eastAsia="Century Gothic"/>
          <w:b/>
          <w:i w:val="0"/>
          <w:sz w:val="24"/>
        </w:rPr>
        <w:t>Matriz de cumplimiento de la lista de verificación</w:t>
      </w:r>
    </w:p>
    <w:p>
      <w:pPr>
        <w:spacing w:before="0" w:after="200" w:line="240" w:lineRule="auto"/>
        <w:jc w:val="both"/>
      </w:pPr>
      <w:r>
        <w:rPr>
          <w:rFonts w:ascii="Century Gothic" w:hAnsi="Century Gothic" w:cs="Century Gothic" w:eastAsia="Century Gothic"/>
          <w:b w:val="0"/>
          <w:i w:val="0"/>
          <w:sz w:val="20"/>
        </w:rPr>
        <w:t>La matriz muestra el resultado de cada asignatura en cada punto de control. C: cumple; P: parcial; N: no cumple. La descripción de cada control figura en el Cuadro 1.</w:t>
      </w:r>
    </w:p>
    <w:p>
      <w:pPr>
        <w:keepNext/>
        <w:spacing w:before="40" w:after="80" w:line="240" w:lineRule="auto"/>
        <w:jc w:val="center"/>
      </w:pPr>
      <w:r>
        <w:rPr>
          <w:rFonts w:ascii="Century Gothic" w:hAnsi="Century Gothic" w:cs="Century Gothic" w:eastAsia="Century Gothic"/>
          <w:b/>
          <w:i w:val="0"/>
          <w:sz w:val="20"/>
        </w:rPr>
        <w:t>Cuadro 2. Matriz de cumplimiento, controles C1 a C12</w:t>
      </w:r>
    </w:p>
    <w:tbl>
      <w:tblPr>
        <w:tblW w:type="auto" w:w="0"/>
        <w:jc w:val="center"/>
        <w:tblLayout w:type="fixed"/>
        <w:tblLook w:firstColumn="1" w:firstRow="1" w:lastColumn="0" w:lastRow="0" w:noHBand="0" w:noVBand="1" w:val="04A0"/>
      </w:tblPr>
      <w:tblGrid>
        <w:gridCol w:w="1134"/>
        <w:gridCol w:w="661"/>
        <w:gridCol w:w="661"/>
        <w:gridCol w:w="661"/>
        <w:gridCol w:w="661"/>
        <w:gridCol w:w="661"/>
        <w:gridCol w:w="661"/>
        <w:gridCol w:w="661"/>
        <w:gridCol w:w="661"/>
        <w:gridCol w:w="661"/>
        <w:gridCol w:w="661"/>
        <w:gridCol w:w="661"/>
        <w:gridCol w:w="661"/>
      </w:tblGrid>
      <w:tr>
        <w:trPr>
          <w:tblHeader/>
        </w:trPr>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Sigla</w:t>
            </w:r>
          </w:p>
        </w:tc>
        <w:tc>
          <w:tcPr>
            <w:tcW w:type="dxa" w:w="6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C1</w:t>
            </w:r>
          </w:p>
        </w:tc>
        <w:tc>
          <w:tcPr>
            <w:tcW w:type="dxa" w:w="6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C2</w:t>
            </w:r>
          </w:p>
        </w:tc>
        <w:tc>
          <w:tcPr>
            <w:tcW w:type="dxa" w:w="6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C3</w:t>
            </w:r>
          </w:p>
        </w:tc>
        <w:tc>
          <w:tcPr>
            <w:tcW w:type="dxa" w:w="6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C4</w:t>
            </w:r>
          </w:p>
        </w:tc>
        <w:tc>
          <w:tcPr>
            <w:tcW w:type="dxa" w:w="6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C5</w:t>
            </w:r>
          </w:p>
        </w:tc>
        <w:tc>
          <w:tcPr>
            <w:tcW w:type="dxa" w:w="6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C6</w:t>
            </w:r>
          </w:p>
        </w:tc>
        <w:tc>
          <w:tcPr>
            <w:tcW w:type="dxa" w:w="6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C7</w:t>
            </w:r>
          </w:p>
        </w:tc>
        <w:tc>
          <w:tcPr>
            <w:tcW w:type="dxa" w:w="6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C8</w:t>
            </w:r>
          </w:p>
        </w:tc>
        <w:tc>
          <w:tcPr>
            <w:tcW w:type="dxa" w:w="6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C9</w:t>
            </w:r>
          </w:p>
        </w:tc>
        <w:tc>
          <w:tcPr>
            <w:tcW w:type="dxa" w:w="6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C10</w:t>
            </w:r>
          </w:p>
        </w:tc>
        <w:tc>
          <w:tcPr>
            <w:tcW w:type="dxa" w:w="6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C11</w:t>
            </w:r>
          </w:p>
        </w:tc>
        <w:tc>
          <w:tcPr>
            <w:tcW w:type="dxa" w:w="6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C12</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CPA-102</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ADM-101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DER-102</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ECO-101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MAT-102</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CPA-202</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CPA-203</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CPA-204</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ADM-201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DER-201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ECO-201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MAT-201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CPA-302</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CPA-303</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CPA-304</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CPA-305</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ADM-301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ECO-301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MAT-301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CPA-402</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CPA-403</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CPA-404</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CPA-405</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CPA-406</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CPA-407</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CPA-408</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MAT-401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CPA-501</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CPA-502</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CPA-503</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CPA-504</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CPA-505</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CPA-506</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CPA-507</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CPA-508</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CPA-509</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CPA-510</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6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bl>
    <w:p>
      <w:pPr>
        <w:spacing w:before="0" w:after="120" w:line="240" w:lineRule="auto"/>
        <w:jc w:val="left"/>
      </w:pPr>
    </w:p>
    <w:p>
      <w:pPr>
        <w:keepNext/>
        <w:spacing w:before="40" w:after="80" w:line="240" w:lineRule="auto"/>
        <w:jc w:val="center"/>
      </w:pPr>
      <w:r>
        <w:rPr>
          <w:rFonts w:ascii="Century Gothic" w:hAnsi="Century Gothic" w:cs="Century Gothic" w:eastAsia="Century Gothic"/>
          <w:b/>
          <w:i w:val="0"/>
          <w:sz w:val="20"/>
        </w:rPr>
        <w:t>Cuadro 3. Matriz de cumplimiento, controles C13 a C23</w:t>
      </w:r>
    </w:p>
    <w:tbl>
      <w:tblPr>
        <w:tblW w:type="auto" w:w="0"/>
        <w:jc w:val="center"/>
        <w:tblLayout w:type="fixed"/>
        <w:tblLook w:firstColumn="1" w:firstRow="1" w:lastColumn="0" w:lastRow="0" w:noHBand="0" w:noVBand="1" w:val="04A0"/>
      </w:tblPr>
      <w:tblGrid>
        <w:gridCol w:w="1134"/>
        <w:gridCol w:w="722"/>
        <w:gridCol w:w="722"/>
        <w:gridCol w:w="722"/>
        <w:gridCol w:w="722"/>
        <w:gridCol w:w="722"/>
        <w:gridCol w:w="722"/>
        <w:gridCol w:w="722"/>
        <w:gridCol w:w="722"/>
        <w:gridCol w:w="722"/>
        <w:gridCol w:w="722"/>
        <w:gridCol w:w="722"/>
      </w:tblGrid>
      <w:tr>
        <w:trPr>
          <w:tblHeader/>
        </w:trPr>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Sigla</w:t>
            </w:r>
          </w:p>
        </w:tc>
        <w:tc>
          <w:tcPr>
            <w:tcW w:type="dxa" w:w="7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C13</w:t>
            </w:r>
          </w:p>
        </w:tc>
        <w:tc>
          <w:tcPr>
            <w:tcW w:type="dxa" w:w="7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C14</w:t>
            </w:r>
          </w:p>
        </w:tc>
        <w:tc>
          <w:tcPr>
            <w:tcW w:type="dxa" w:w="7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C15</w:t>
            </w:r>
          </w:p>
        </w:tc>
        <w:tc>
          <w:tcPr>
            <w:tcW w:type="dxa" w:w="7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C16</w:t>
            </w:r>
          </w:p>
        </w:tc>
        <w:tc>
          <w:tcPr>
            <w:tcW w:type="dxa" w:w="7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C17</w:t>
            </w:r>
          </w:p>
        </w:tc>
        <w:tc>
          <w:tcPr>
            <w:tcW w:type="dxa" w:w="7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C18</w:t>
            </w:r>
          </w:p>
        </w:tc>
        <w:tc>
          <w:tcPr>
            <w:tcW w:type="dxa" w:w="7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C19</w:t>
            </w:r>
          </w:p>
        </w:tc>
        <w:tc>
          <w:tcPr>
            <w:tcW w:type="dxa" w:w="7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C20</w:t>
            </w:r>
          </w:p>
        </w:tc>
        <w:tc>
          <w:tcPr>
            <w:tcW w:type="dxa" w:w="7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C21</w:t>
            </w:r>
          </w:p>
        </w:tc>
        <w:tc>
          <w:tcPr>
            <w:tcW w:type="dxa" w:w="7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C22</w:t>
            </w:r>
          </w:p>
        </w:tc>
        <w:tc>
          <w:tcPr>
            <w:tcW w:type="dxa" w:w="7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C23</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CPA-102</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ADM-101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DER-102</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ECO-101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MAT-102</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CPA-202</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CPA-203</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CPA-204</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ADM-201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DER-201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ECO-201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MAT-201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CPA-302</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CPA-303</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CPA-304</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CPA-305</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ADM-301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ECO-301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MAT-301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CPA-402</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CPA-403</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CPA-404</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CPA-405</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CPA-406</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CPA-407</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CPA-408</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MAT-401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CPA-501</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CPA-502</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CPA-503</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CPA-504</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CPA-505</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CPA-506</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CPA-507</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CPA-508</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CPA-509</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CPA-510</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6"/>
              </w:rPr>
              <w:t>N</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w:t>
            </w:r>
          </w:p>
        </w:tc>
        <w:tc>
          <w:tcPr>
            <w:tcW w:type="dxa" w:w="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5.</w:t>
        <w:tab/>
      </w:r>
      <w:r>
        <w:rPr>
          <w:rFonts w:ascii="Century Gothic" w:hAnsi="Century Gothic" w:cs="Century Gothic" w:eastAsia="Century Gothic"/>
          <w:b/>
          <w:i w:val="0"/>
          <w:sz w:val="24"/>
        </w:rPr>
        <w:t>Nombres de las asignaturas y otras diferencias respecto de la malla</w:t>
      </w:r>
    </w:p>
    <w:p>
      <w:pPr>
        <w:spacing w:before="0" w:after="200" w:line="240" w:lineRule="auto"/>
        <w:jc w:val="both"/>
      </w:pPr>
      <w:r>
        <w:rPr>
          <w:rFonts w:ascii="Century Gothic" w:hAnsi="Century Gothic" w:cs="Century Gothic" w:eastAsia="Century Gothic"/>
          <w:b w:val="0"/>
          <w:i w:val="0"/>
          <w:sz w:val="20"/>
        </w:rPr>
        <w:t>El siguiente cuadro compara el nombre y la sigla de cada itinerario con la Malla Curricular 2026 adjunta. Se incluyen también los casos en que el nombre del archivo no corresponde al nombre de la asignatura.</w:t>
      </w:r>
    </w:p>
    <w:p>
      <w:pPr>
        <w:keepNext/>
        <w:spacing w:before="40" w:after="80" w:line="240" w:lineRule="auto"/>
        <w:jc w:val="center"/>
      </w:pPr>
      <w:r>
        <w:rPr>
          <w:rFonts w:ascii="Century Gothic" w:hAnsi="Century Gothic" w:cs="Century Gothic" w:eastAsia="Century Gothic"/>
          <w:b/>
          <w:i w:val="0"/>
          <w:sz w:val="20"/>
        </w:rPr>
        <w:t>Cuadro 4. Asignaturas con nombre o sigla distintos de la malla</w:t>
      </w:r>
    </w:p>
    <w:tbl>
      <w:tblPr>
        <w:tblW w:type="auto" w:w="0"/>
        <w:jc w:val="center"/>
        <w:tblLayout w:type="fixed"/>
        <w:tblLook w:firstColumn="1" w:firstRow="1" w:lastColumn="0" w:lastRow="0" w:noHBand="0" w:noVBand="1" w:val="04A0"/>
      </w:tblPr>
      <w:tblGrid>
        <w:gridCol w:w="1077"/>
        <w:gridCol w:w="2551"/>
        <w:gridCol w:w="2665"/>
        <w:gridCol w:w="2778"/>
      </w:tblGrid>
      <w:tr>
        <w:trPr>
          <w:tblHeader/>
        </w:trPr>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Sigla</w:t>
            </w:r>
          </w:p>
        </w:tc>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Nombre en la malla 2026</w:t>
            </w:r>
          </w:p>
        </w:tc>
        <w:tc>
          <w:tcPr>
            <w:tcW w:type="dxa" w:w="266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Nombre en el itinerario</w:t>
            </w:r>
          </w:p>
        </w:tc>
        <w:tc>
          <w:tcPr>
            <w:tcW w:type="dxa" w:w="277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Archivo entregado</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CPA-102</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Tecnologías de Información y Herramientas Digitales</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Herramientas Digitales en la Contaduría Pública</w:t>
            </w:r>
          </w:p>
        </w:tc>
        <w:tc>
          <w:tcPr>
            <w:tcW w:type="dxa" w:w="27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CPA-102 Herramientas DIgitales en la Contaduría Pública.docx</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MAT-201</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Álgebra Lineal y Programación Operativa Aplicada a los Negocios</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Álgebra y Programación Lineales</w:t>
            </w:r>
          </w:p>
        </w:tc>
        <w:tc>
          <w:tcPr>
            <w:tcW w:type="dxa" w:w="27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MAT-201 Algebra y Programaciones Lineales.docx</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CPA-304</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Presupuestos Gubernamental</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Presupuesto y Contabilidad Gubernamental</w:t>
            </w:r>
          </w:p>
        </w:tc>
        <w:tc>
          <w:tcPr>
            <w:tcW w:type="dxa" w:w="27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CPA-304 Presupuesto y Contabilidad Gubernamental Oficial - 1.docx</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CPA-305</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Contables ERP y Análisis de Datos</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Tecnologías contables Automatizadas</w:t>
            </w:r>
          </w:p>
        </w:tc>
        <w:tc>
          <w:tcPr>
            <w:tcW w:type="dxa" w:w="27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CPA-305 tecnologias contables automatizados.docx</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CPA-405</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 (sigla CPA-406)</w:t>
            </w:r>
          </w:p>
        </w:tc>
        <w:tc>
          <w:tcPr>
            <w:tcW w:type="dxa" w:w="27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CPA-406 Finanzas Corporativas ULTIMA VERSION 0910 corregido.docx</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CPA-408</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Control Interno y Gestión de Riesgos</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Control Interno, Gestión de Riesgos y Gobierno Corporativo</w:t>
            </w:r>
          </w:p>
        </w:tc>
        <w:tc>
          <w:tcPr>
            <w:tcW w:type="dxa" w:w="27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CPA-408 Auditoria Interna.docx</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CPA-506</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Reportes y Aseguramiento de Sostenibilidad y Auditoría Ambiental</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Reporte y Aseguramiento de Sostenibilidad y Auditoría Ambiental</w:t>
            </w:r>
          </w:p>
        </w:tc>
        <w:tc>
          <w:tcPr>
            <w:tcW w:type="dxa" w:w="27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CPA-506 Aseg de Sostenibilidad y Aud Ambiental Final.docx</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CPA-507</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Proyectos Público y Privado</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Entidades Sin Fines de Lucro – Proyectos Privados y Públicos</w:t>
            </w:r>
          </w:p>
        </w:tc>
        <w:tc>
          <w:tcPr>
            <w:tcW w:type="dxa" w:w="27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CPA-507 Auditoria de Proyectos.docx</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CPA-508</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Peritaje y Prevención de Delitos Económicos</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y Prevención de Delitos Económicos</w:t>
            </w:r>
          </w:p>
        </w:tc>
        <w:tc>
          <w:tcPr>
            <w:tcW w:type="dxa" w:w="277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CPA-508 Auditoria Forense y Prevencion de Delitos Economicos.docx</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De las 43 asignaturas, 9 tienen un nombre o una sigla distintos de la malla. Ningún informe de subcomisión justifica estos cambios: los informes de Servicios de Aseguramiento solo mencionan un «consenso en cuanto a la denominación de la asignatura». En CPA-408 y CPA-508 el propio informe usa el nombre de la malla, lo que contradice al itinerario, y en CPA-503 y CPA-504 el informe antepone «Gabinete de» a un nombre que no lo lleva.</w:t>
      </w:r>
    </w:p>
    <w:p>
      <w:pPr>
        <w:spacing w:before="0" w:after="200" w:line="240" w:lineRule="auto"/>
        <w:jc w:val="both"/>
      </w:pPr>
      <w:r>
        <w:rPr>
          <w:rFonts w:ascii="Century Gothic" w:hAnsi="Century Gothic" w:cs="Century Gothic" w:eastAsia="Century Gothic"/>
          <w:b w:val="0"/>
          <w:i w:val="0"/>
          <w:sz w:val="20"/>
        </w:rPr>
        <w:t>CPA-405 y CPA-506 parecen errores de transcripción: la sigla CPA-406 dentro del itinerario de Finanzas Corporativas (corregida con control de cambios) y «Reporte» en singular. En los demás casos la comisión debe decidir: si acepta el nombre nuevo, debe actualizar la malla y el mapa de competencias del punto 4.4; si no, el itinerario debe volver al nombre de la malla.</w:t>
      </w:r>
    </w:p>
    <w:p>
      <w:pPr>
        <w:spacing w:before="0" w:after="200" w:line="240" w:lineRule="auto"/>
        <w:jc w:val="both"/>
      </w:pPr>
      <w:r>
        <w:rPr>
          <w:rFonts w:ascii="Century Gothic" w:hAnsi="Century Gothic" w:cs="Century Gothic" w:eastAsia="Century Gothic"/>
          <w:b w:val="0"/>
          <w:i w:val="0"/>
          <w:sz w:val="20"/>
        </w:rPr>
        <w:t>La malla adjunta coincide con la estructura curricular del punto 4.4 en siglas, nombres, prerrequisitos, horas y años, salvo CPA-507, que la malla llama «Auditoría de Proyectos Público y Privado» y el punto 4.4 «Auditoría de Proyectos Públicos y Privados». Además, la malla se titula «Plan de Estudios 2026», mientras que otros documentos del diseño curricular se refieren al «Plan 2027»; conviene uniformar la denominación.</w:t>
      </w:r>
    </w:p>
    <w:p>
      <w:pPr>
        <w:spacing w:before="0" w:after="200" w:line="240" w:lineRule="auto"/>
        <w:jc w:val="both"/>
      </w:pPr>
      <w:r>
        <w:rPr>
          <w:rFonts w:ascii="Century Gothic" w:hAnsi="Century Gothic" w:cs="Century Gothic" w:eastAsia="Century Gothic"/>
          <w:b w:val="0"/>
          <w:i w:val="0"/>
          <w:sz w:val="20"/>
        </w:rPr>
        <w:t>Los años de las 43 asignaturas coinciden con la malla. En el dato del área, solo MAT-201 escribe «Matemática» en lugar de «Matemáticas».</w:t>
      </w:r>
    </w:p>
    <w:p>
      <w:pPr>
        <w:keepNext/>
        <w:spacing w:before="40" w:after="80" w:line="240" w:lineRule="auto"/>
        <w:jc w:val="center"/>
      </w:pPr>
      <w:r>
        <w:rPr>
          <w:rFonts w:ascii="Century Gothic" w:hAnsi="Century Gothic" w:cs="Century Gothic" w:eastAsia="Century Gothic"/>
          <w:b/>
          <w:i w:val="0"/>
          <w:sz w:val="20"/>
        </w:rPr>
        <w:t>Cuadro 5. Otras diferencias respecto de la malla y del plan de estudios</w:t>
      </w:r>
    </w:p>
    <w:tbl>
      <w:tblPr>
        <w:tblW w:type="auto" w:w="0"/>
        <w:jc w:val="center"/>
        <w:tblLayout w:type="fixed"/>
        <w:tblLook w:firstColumn="1" w:firstRow="1" w:lastColumn="0" w:lastRow="0" w:noHBand="0" w:noVBand="1" w:val="04A0"/>
      </w:tblPr>
      <w:tblGrid>
        <w:gridCol w:w="1134"/>
        <w:gridCol w:w="3402"/>
        <w:gridCol w:w="4535"/>
      </w:tblGrid>
      <w:tr>
        <w:trPr>
          <w:tblHeader/>
        </w:trPr>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Asignatura</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Diferencia</w:t>
            </w:r>
          </w:p>
        </w:tc>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 asignaturas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guía pide dejar las horas en blanco. Los totales registrados, de 80 a 360 h, no coinciden en la mayoría de los casos con las 80 o 160 h anuales de la malla. Solo CPA-204 las dejó en blanco.</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CPA-102, CPA-305, CPA-404, CPA-405 (archivo CPA-406), CPA-505</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Créditos llenados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CPA-102 indica 6 créditos, CPA-305, CPA-404 y CPA-505 indican 12 y CPA-406 indica 4. La guía pide dejarlos en blanco; la malla asigna 8 créditos a CPA-102, CPA-305, CPA-404 y CPA-505, y 4 a CPA-406.</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CPA-509</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presenciales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HP = 24 contradice las 2 h semanales de la malla, equivalentes a 80 h al año.</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CPA-510, MAT-201</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Sigla HTC</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Usan la sigla HTC, que la guía sustituyó por HTG.</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CPA-301, CPA-407</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Desglose de siglas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Escriben el nombre completo de cada sigla de la carga horaria, que la guía no pide.</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ECO-101, ECO-201, ECO-301</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 de horas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Escriben las horas con unidades («16 hs.», «32 hr.»).</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ADM-101, ADM-201, ADM-301</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 de entrega</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entregaron en PDF y no en Word editable; no pudieron corregirse con control de cambios.</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CPA-402, CPA-404</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Cambios controlados pendientes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CPA-404 se entregó con 586 inserciones y 406 eliminaciones sin aceptar, de tres autores, y 2 comentarios; CPA-402, con 4 inserciones. Deben resolverse antes de la versión final. La revisión se hizo sobre el texto con los cambios aceptados.</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CPA-406, CPA-407</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Año en el informe de la subcomisión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informes las ubican en quinto año; la malla y los itinerarios, en cuarto año.</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6.</w:t>
        <w:tab/>
      </w:r>
      <w:r>
        <w:rPr>
          <w:rFonts w:ascii="Century Gothic" w:hAnsi="Century Gothic" w:cs="Century Gothic" w:eastAsia="Century Gothic"/>
          <w:b/>
          <w:i w:val="0"/>
          <w:sz w:val="24"/>
        </w:rPr>
        <w:t>Resumen de observaciones por asignatura</w:t>
      </w:r>
    </w:p>
    <w:p>
      <w:pPr>
        <w:spacing w:before="0" w:after="200" w:line="240" w:lineRule="auto"/>
        <w:jc w:val="both"/>
      </w:pPr>
      <w:r>
        <w:rPr>
          <w:rFonts w:ascii="Century Gothic" w:hAnsi="Century Gothic" w:cs="Century Gothic" w:eastAsia="Century Gothic"/>
          <w:b w:val="0"/>
          <w:i w:val="0"/>
          <w:sz w:val="20"/>
        </w:rPr>
        <w:t>El Cuadro 6 resume, para cada asignatura, el resultado de la lista de verificación y sus observaciones principales. El detalle se presenta en el punto 7.</w:t>
      </w:r>
    </w:p>
    <w:p>
      <w:pPr>
        <w:keepNext/>
        <w:spacing w:before="40" w:after="80" w:line="240" w:lineRule="auto"/>
        <w:jc w:val="center"/>
      </w:pPr>
      <w:r>
        <w:rPr>
          <w:rFonts w:ascii="Century Gothic" w:hAnsi="Century Gothic" w:cs="Century Gothic" w:eastAsia="Century Gothic"/>
          <w:b/>
          <w:i w:val="0"/>
          <w:sz w:val="20"/>
        </w:rPr>
        <w:t>Cuadro 6. Resumen por asignatura</w:t>
      </w:r>
    </w:p>
    <w:tbl>
      <w:tblPr>
        <w:tblW w:type="auto" w:w="0"/>
        <w:jc w:val="center"/>
        <w:tblLayout w:type="fixed"/>
        <w:tblLook w:firstColumn="1" w:firstRow="1" w:lastColumn="0" w:lastRow="0" w:noHBand="0" w:noVBand="1" w:val="04A0"/>
      </w:tblPr>
      <w:tblGrid>
        <w:gridCol w:w="1077"/>
        <w:gridCol w:w="794"/>
        <w:gridCol w:w="1474"/>
        <w:gridCol w:w="5726"/>
      </w:tblGrid>
      <w:tr>
        <w:trPr>
          <w:tblHeader/>
        </w:trPr>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Sigla</w:t>
            </w:r>
          </w:p>
        </w:tc>
        <w:tc>
          <w:tcPr>
            <w:tcW w:type="dxa" w:w="7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C/P/N</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72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Observaciones principales</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CPA-101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 completo y bien encadenado en lo esencial. Las horas están llenadas y suman 364 h, no las 360 h indicadas; falta el resaltado y dos contenidos no tienen marca. La evidencia 2.2 del E1 no corresponde a su criterio, las rúbricas de los Productos 8 y 14 conservan nombres anteriores y el plan de cuentas se repite entre E2 y E6.</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CPA-102</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14/4/5</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nombre no coincide con la malla, y los créditos (6) y las horas llenados la contradicen (8 créditos y 80 h). No tiene contenidos actitudinales. En el E1 los productos están invertidos y la rúbrica del Producto 8 evalúa una base de datos, no un cuadro de mando.</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ADM-101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Entregado en PDF. Tiene 22 contenidos sin marca de saber, horas llenadas y ningún resaltado amarillo. La unidad de competencia no se ubica en el contexto boliviano, el elemento 2 repite la unidad y el proceso administrativo se repite en ADM-201.</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DER-101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18/2/3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 bien anclado en la normativa boliviana y la cadena de E1 a E3 es correcta. La unidad de competencia no tiene procesos en gerundio ni contexto boliviano y falta el resaltado. El E4 tiene contenidos mínimos y productos duplicados, varias rúbricas no corresponden a su producto y el Código de Comercio figura como conocimiento circunstancial.</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DER-102</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 sólido en la normativa laboral boliviana. La unidad de competencia no sigue la estructura de la guía y falta el resaltado. Atribuye a la NIC 19 los derechos laborales, el organigrama del E1 corresponde a ADM-101 y los criterios usan «comprende» y «conoce».</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ECO-101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cadena de E2 a E4 es correcta. La unidad de competencia promete equilibrio general, información asimétrica y teoría de juegos, que ningún elemento desarrolla. Quedan restos de contenidos eliminados por la subcomisión y no hay contenidos tecnológicos.</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MAT-101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cadena de E2 y E3 es correcta. El elemento 4 mezcla la integral con el multiplicador de Lagrange y en el E1 los criterios no corresponden a sus evidencias. La bibliografía incluye un decreto tributario ajeno a Cálculo y autores mal escritos.</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MAT-102</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19/4/0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 el itinerario con menos incumplimientos de la guía: solo las horas, una marca, la bibliografía antigua y el resaltado parcial. Usa mal la marca (A), predomina (C) en contenidos de cálculo y repite temas de CPA-201, ECO-301 y CPA-405.</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CPA-201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 técnicamente sólido rubro por rubro. Evalúa la NIIF 15 y la NIIF 16 sin contenidos que las respalden, clasifica las patentes como intangibles de vida indefinida y trata los gastos de organización como intangible. No refleja todos los cambios que declara el informe de la subcomisión.</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CPA-202</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 muy trabajado, con rúbricas propias y saberes actitudinales y tecnológicos sustentados; en la guía solo fallan el resaltado y las horas. La evidencia 2.2 del E5 no corresponde a su criterio y hay superposición con DER-101 y CPA-201.</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CPA-203</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 técnicamente rico y actualizado en la normativa tributaria boliviana. La unidad de competencia no sigue la estructura de la guía, llama «Sistema Tributario Boliviano» a la Ley N° 843, la rúbrica del Producto 7 está desalineada y el E2 concentra el 55 % de la nota. Se superpone con DER-201.</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CPA-204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 bien construido y es el único que deja las horas en blanco. La unidad de competencia no menciona el contexto boliviano ni las condiciones de calidad, y el E4 pide un informe final con resultados cuando la unidad pide un perfil. Una rúbrica no tiene tres criterios y hay texto en rojo.</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ADM-201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9/7/7</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reformulación parcial</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Entregado en PDF. Los pesos no son enteros y quedó una nota de trabajo sobre su cálculo. El elemento 2 no corresponde a sus contenidos, las rúbricas 11 y 12 no evalúan su producto y la rúbrica 2 no tiene niveles. Hay errores sobre los sistemas de la Ley N° 1178.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DER-201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Tiene buen nivel técnico y normativa actualizada. No tiene contenidos tecnológicos, 11 rúbricas no tienen tres criterios y las de los Productos 11, 12 y 17 evalúan otro producto. Escribe «deuda razonable» por duda razonable y presenta el mantenimiento de valor y los intereses como sanciones.</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ECO-201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 bien contextualizado en Bolivia. El modelo Mundell-Fleming figura solo como rótulo, sin evidencia, producto ni contenido, y la unidad de competencia omite el E5. La bibliografía básica está desordenada y 6 referencias son anteriores a 2016.</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MAT-201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reformulación parcial</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nombre no coincide con la malla y usa la sigla HTC. Las rúbricas de los Productos 5 y 6 son copias o corresponden a otros productos, en el E3 los productos no salen de su evidencia, no hay contenidos actitudinales y la bibliografía incluye decretos ajenos a la asignatura.</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 actualizado (NIIF 18, NIIF S1 y S2, NIIF para las PYMES 2025). Falta la columna «En clase», desglosa las siglas de las horas y usa «mediante». Las evidencias están cruzadas entre criterios en E2, E4 y E6, ubica el valor de uso en la NIC 16 y repite varias NIIF de CPA-201.</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CPA-302</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 sólido y está bien encadenado. La unidad promete diseñar un sistema que no se evalúa, atribuye a la Gestora la seguridad social de corto plazo, llama «Código Tributario» a la Ley N° 843 y repite el presupuesto maestro de CPA-405. Tiene varios errores ortográficos, corregidos con control de cambios.</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CPA-303</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13/5/5</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reformulación parcial</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 sólido en las operaciones bancarias de E1 a E3, pero el E4 está incompleto: faltan las evidencias 1.1 y 2.1 y los Productos 13 y 15, y los Productos 14 y 16 no coinciden con sus rúbricas. Tiene 25 contenidos sin marca, 4 usos de «mediante», texto en rojo y la terminología de entidades auxiliares anterior a la Ley N° 393.</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15/6/2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nombre invierte el de la malla («Presupuesto y Contabilidad Gubernamental»). 10 rúbricas no tienen tres criterios y las de los Productos 18 y 19 no corresponden a su producto. Usa verbos como «conoce», predomina (C) y repite temas de ADM-201 y CPA-504.</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12/5/6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reformulación parcial</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nombre no coincide con la malla y los créditos (12) están llenados. No tiene ningún elemento de ERP ni de análisis de datos: las rúbricas de los Productos 21 a 24 quedaron sin elemento, criterio ni producto. La unidad de competencia no sigue la estructura de la guía.</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ADM-301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14/4/5</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Entregado en PDF. La estructura y las rúbricas están completas, pero 8 contenidos no tienen marca y no hay contenidos tecnológicos. La mitad de los elementos excede el nombre de la asignatura y se repite con ADM-101, ADM-201 y ECO-301.</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ECO-301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cadena del estudio de mercado al plan de ejecución es clara, pero los cambios de la subcomisión quedaron a medias: la rúbrica del Producto 18 evalúa contenidos eliminados y la evaluación de proyectos públicos de la unidad no tiene evidencias. No hay contenidos actitudinales.</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MAT-301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13/4/6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reformulación parcial</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Falta la columna «En clase», el rótulo está incompleto y hay 6 rúbricas para 24 productos. Tiene errores conceptuales (la normal como discreta, pruebas de hipótesis «para estimar», regresores confundidos con coeficientes) y repite el muestreo de auditoría de CPA-407.</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16/6/1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 rico en procedimientos sectoriales. El elemento 8 copia el criterio ambiental minero del elemento 4, no hay contenidos actitudinales y usa resaltado celeste. Cita referencias superadas (Ley N° 3787 en lugar de la Ley N° 535, SIRESE, FASB 143) y tiene numerosos errores de tildes, corregidos con control de cambios.</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CPA-402</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Tiene buen contenido sectorial boliviano. Los elementos 3 y 4 tienen tres criterios, seis evidencias y seis productos; la numeración de temas salta del 5 al 7 y del 9 al 15, y la rúbrica del Producto 27 está mal armada. Incluye contenidos sobre Río+20 ajenos a la asignatura y quedó con cambios controlados pendientes.</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CPA-403</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estructura está completa y el núcleo técnico en seguros privados es sólido. La unidad de competencia no tiene contexto boliviano ni condiciones de calidad, 13 contenidos no tienen marca, las evidencias no están numeradas y varias rúbricas son genéricas o copiadas. La bibliografía cita leyes abrogadas, como la Ley N° 1732 de Pensiones.</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reformulación parcial</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entregó con 992 cambios controlados sin resolver y 2 comentarios. Los créditos (12) están llenados, el elemento 7 está incompleto (2 productos) y repite CPA-305, 11 contenidos no tienen marca, el Producto 16 tiene el nombre truncado y la bibliografía tiene autores mal escritos.</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 completo, con rúbricas exigentes. La sigla interna es CPA-406, corregida con control de cambios. Predomina (C) en contenidos de cálculo, la marca (A) no tiene sustento, 4 de 9 referencias básicas son anteriores a 2016 y repite temas de MAT-102, ECO-301, CPA-302 y CPA-303.</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CPA-406</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cadena está bien construida y el Código del IESBA está actualizado. Los créditos (4) y las horas están llenados, con un total de 120 h frente a 80 h. El contenido 21 quedó fusionado con otro y la evidencia 1.1 no corresponde al Producto 1.</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CPA-407</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reformulación parcial</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contenido técnico está actualizado, pero las rúbricas de E1 y E2 no corresponden a sus productos y el E4 tiene dos enunciados. Falta la columna «En clase», se desglosan las siglas de las horas (total 260 h) y se usa NCGA para las normas de auditoría.</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CPA-408</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14/4/5</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nombre añade «y Gobierno Corporativo». 21 rúbricas tienen dos criterios y escala de 0 a 50, y hay 12 usos de «mediante» o «a través». Varios circunstanciales se dictan en otras asignaturas y los elementos 1 y 2 se repiten en CPA-501.</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MAT-401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17/4/2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elementos 1 a 4 están bien construidos. El elemento 5 está desarticulado: sus rúbricas no corresponden a sus productos y evalúa cadenas de Márkov y opciones que no tienen contenidos.</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18/4/1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elementos 2 y 3 repiten buena parte de CPA-408. Hay normas mal nombradas o superadas (NIEA 5000, IPPF, ISSAI 3100) y bibliografía antigua. El E2 anuncia analítica de datos que ninguna evidencia evalúa.</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CPA-502</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 un itinerario sólido, pero los pesos suman 92 %, hay 15 rúbricas para 16 productos y 27 contenidos sin marca. Quedaron marcadores de edición («[misma estructura que el 19]») y se atribuye a la NIA 260 la comunicación de deficiencias.</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CPA-503</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elementos 2 y 3 son sólidos. El elemento 1 repite DER-201 y CPA-203, la NIC 12 figura con el nombre del impuesto boliviano y las horas están llenadas. El informe de la subcomisión llama a la asignatura «Gabinete de Auditoría Tributaria».</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17/3/3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la bibliografía quedó pegado un mensaje de un asistente de inteligencia artificial que debe retirarse. Una rúbrica está truncada, las evidencias no están numeradas y hay 12 usos de «mediante» o «a través». Los elementos 1 a 3 repiten CPA-304 y CPA-408.</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18/2/3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itinerario está actualizado, pero los créditos (12) están llenados. Cita a la extinta SPVS en lugar de la APS y una norma con designación colombiana (NTC). El E1 repite CPA-102 y CPA-404, y varias evidencias no corresponden a su criterio.</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CPA-506</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nombre está en singular («Reporte»). Las rúbricas de los Productos 7 a 12 están copiadas de otras, falta el informe de aseguramiento NIAS 5000 como producto, se atribuyen marcos a emisores equivocados y la bibliografía está duplicada y desordenada.</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CPA-507</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14/4/5</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nombre cambió a «Auditoría de Entidades Sin Fines de Lucro – Proyectos Privados y Públicos» sin justificación formal. Todo el documento está en fuente Inter y las rúbricas usan la escala de 0 a 50. La bibliografía incluye documentos curriculares ajenos a la asignatura.</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CPA-508</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15/5/3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Omite «Peritaje» en el nombre aunque lo desarrolla. Escribe «NIA 3000» por NIEA 3000 y «teoría pentatónica» por pentágono del fraude. Las rúbricas de los Productos 7 y 8 corresponden a otros productos y el 35 % de la nota se aparta del nombre.</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CPA-509</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18/3/2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Ajustes menores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 técnicamente sólido y actualizado. Las horas presenciales (24) contradicen las 80 h de la malla. Los Productos 9 y 11 se duplican y las ediciones de Arens y de Whittington tienen años incorrectos.</w:t>
            </w:r>
          </w:p>
        </w:tc>
      </w:tr>
      <w:tr>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CPA-510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13/6/4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Requiere ajustes</w:t>
            </w:r>
          </w:p>
        </w:tc>
        <w:tc>
          <w:tcPr>
            <w:tcW w:type="dxa" w:w="5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Usa la sigla HTC y el rótulo «Clases», y tiene 9 usos de «mediante». Solo cubre la tesis y el proyecto de grado: el trabajo dirigido no tiene producto y faltan el diplomado y el PETAENG. El E2 pesa 25 % y repite CPA-204.</w:t>
            </w:r>
          </w:p>
        </w:tc>
      </w:tr>
    </w:tbl>
    <w:p>
      <w:pPr>
        <w:spacing w:before="40" w:after="200" w:line="240" w:lineRule="auto"/>
        <w:jc w:val="left"/>
      </w:pPr>
      <w:r>
        <w:rPr>
          <w:rFonts w:ascii="Century Gothic" w:hAnsi="Century Gothic" w:cs="Century Gothic" w:eastAsia="Century Gothic"/>
          <w:b w:val="0"/>
          <w:i w:val="0"/>
          <w:sz w:val="16"/>
        </w:rPr>
        <w:t>C/P/N: número de controles que cumple, cumple parcialmente y no cumple, de un total de 23.</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7.</w:t>
        <w:tab/>
      </w:r>
      <w:r>
        <w:rPr>
          <w:rFonts w:ascii="Century Gothic" w:hAnsi="Century Gothic" w:cs="Century Gothic" w:eastAsia="Century Gothic"/>
          <w:b/>
          <w:i w:val="0"/>
          <w:sz w:val="24"/>
        </w:rPr>
        <w:t>Observaciones detalladas por asignatura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7.1</w:t>
        <w:tab/>
      </w:r>
      <w:r>
        <w:rPr>
          <w:rFonts w:ascii="Century Gothic" w:hAnsi="Century Gothic" w:cs="Century Gothic" w:eastAsia="Century Gothic"/>
          <w:b/>
          <w:i w:val="0"/>
          <w:sz w:val="22"/>
        </w:rPr>
        <w:t>CPA-101 Contabilidad Básica</w:t>
      </w:r>
    </w:p>
    <w:p>
      <w:pPr>
        <w:spacing w:before="0" w:after="200" w:line="240" w:lineRule="auto"/>
        <w:jc w:val="both"/>
      </w:pPr>
      <w:r>
        <w:rPr>
          <w:rFonts w:ascii="Century Gothic" w:hAnsi="Century Gothic" w:cs="Century Gothic" w:eastAsia="Century Gothic"/>
          <w:b w:val="0"/>
          <w:i w:val="0"/>
          <w:sz w:val="20"/>
        </w:rPr>
        <w:t xml:space="preserve">Archivo: CPA-101 Contabilidad Basica_nuevo_v2 (1).docx. Cumple 18 de 23 controles, 4 de forma parcial y no cumple 1.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completo y bien encadenado en lo esencial, con contenidos adecuados a primer año y rúbricas específicas. Los problemas principales son la evidencia 2.2 del E1 desligada de su criterio, rúbricas que no se actualizaron tras el cambio de nombre de productos, la duplicación del plan de cuentas entre E2 y E6 y la carga horaria llenada con una suma errónea.</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120, 40, 40, 4, 360)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de 75 contenidos sin marca C, P, A o T</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algunos textos en otra fuente (Carlito-Regular, Inter-Italic)</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03"/>
        </w:numPr>
        <w:spacing w:before="0" w:after="160" w:line="240" w:lineRule="auto"/>
        <w:jc w:val="both"/>
      </w:pPr>
      <w:r>
        <w:rPr>
          <w:rFonts w:ascii="Century Gothic" w:hAnsi="Century Gothic" w:cs="Century Gothic" w:eastAsia="Century Gothic"/>
          <w:b/>
          <w:i w:val="0"/>
          <w:sz w:val="20"/>
        </w:rPr>
        <w:t>Coherencia, E1, criterio 2, evidencia 2.2 / Producto 4.</w:t>
      </w:r>
      <w:r>
        <w:rPr>
          <w:rFonts w:ascii="Century Gothic" w:hAnsi="Century Gothic" w:cs="Century Gothic" w:eastAsia="Century Gothic"/>
          <w:b w:val="0"/>
          <w:i w:val="0"/>
          <w:sz w:val="20"/>
        </w:rPr>
        <w:t xml:space="preserve"> El criterio 2 trata la aplicación de las ecuaciones contables y la clasificación de transacciones, pero la evidencia 2.2 y el Producto 4 clasifican empresas bolivianas por constitución, capital y actividad, lo que no demuestra ese criterio. Llevar la clasificación de empresas al criterio 1 o reemplazar la evidencia 2.2 por una clasificación de transacciones permutativas, modificativas y mixtas.</w:t>
      </w:r>
    </w:p>
    <w:p>
      <w:pPr>
        <w:numPr>
          <w:ilvl w:val="0"/>
          <w:numId w:val="903"/>
        </w:numPr>
        <w:spacing w:before="0" w:after="160" w:line="240" w:lineRule="auto"/>
        <w:jc w:val="both"/>
      </w:pPr>
      <w:r>
        <w:rPr>
          <w:rFonts w:ascii="Century Gothic" w:hAnsi="Century Gothic" w:cs="Century Gothic" w:eastAsia="Century Gothic"/>
          <w:b/>
          <w:i w:val="0"/>
          <w:sz w:val="20"/>
        </w:rPr>
        <w:t>Coherencia, E4, criterio 1 / Producto 14 y su rúbrica.</w:t>
      </w:r>
      <w:r>
        <w:rPr>
          <w:rFonts w:ascii="Century Gothic" w:hAnsi="Century Gothic" w:cs="Century Gothic" w:eastAsia="Century Gothic"/>
          <w:b w:val="0"/>
          <w:i w:val="0"/>
          <w:sz w:val="20"/>
        </w:rPr>
        <w:t xml:space="preserve"> El Producto 14 se llama 'Papel de trabajo de comprobación y verificación de saldos', pero su rúbrica sigue titulada 'Cédula de deficiencias' y evalúa detección de deficiencias y asientos de corrección, que corresponden al producto anterior al cambio. Ajustar el título y los criterios de la rúbrica al papel de trabajo de verificación de saldos, o el producto a la cédula de deficiencias.</w:t>
      </w:r>
    </w:p>
    <w:p>
      <w:pPr>
        <w:numPr>
          <w:ilvl w:val="0"/>
          <w:numId w:val="903"/>
        </w:numPr>
        <w:spacing w:before="0" w:after="160" w:line="240" w:lineRule="auto"/>
        <w:jc w:val="both"/>
      </w:pPr>
      <w:r>
        <w:rPr>
          <w:rFonts w:ascii="Century Gothic" w:hAnsi="Century Gothic" w:cs="Century Gothic" w:eastAsia="Century Gothic"/>
          <w:b/>
          <w:i w:val="0"/>
          <w:sz w:val="20"/>
        </w:rPr>
        <w:t>Coherencia, E5, criterio 1, evidencia 1.2 / Producto 18.</w:t>
      </w:r>
      <w:r>
        <w:rPr>
          <w:rFonts w:ascii="Century Gothic" w:hAnsi="Century Gothic" w:cs="Century Gothic" w:eastAsia="Century Gothic"/>
          <w:b w:val="0"/>
          <w:i w:val="0"/>
          <w:sz w:val="20"/>
        </w:rPr>
        <w:t xml:space="preserve"> La rúbrica del Producto 18 incluye el criterio 'Presentación oral', pero la evidencia 1.2 es 'Prepara en aula' el estado y las notas, sin exposición ante el curso. Cambiar el criterio por uno propio del estado de evolución del patrimonio y de las notas, o incorporar la exposición en la evidencia.</w:t>
      </w:r>
    </w:p>
    <w:p>
      <w:pPr>
        <w:numPr>
          <w:ilvl w:val="0"/>
          <w:numId w:val="903"/>
        </w:numPr>
        <w:spacing w:before="0" w:after="160" w:line="240" w:lineRule="auto"/>
        <w:jc w:val="both"/>
      </w:pPr>
      <w:r>
        <w:rPr>
          <w:rFonts w:ascii="Century Gothic" w:hAnsi="Century Gothic" w:cs="Century Gothic" w:eastAsia="Century Gothic"/>
          <w:b/>
          <w:i w:val="0"/>
          <w:sz w:val="20"/>
        </w:rPr>
        <w:t>Coherencia, E6, criterio 1, evidencia 1.2 / Producto 22.</w:t>
      </w:r>
      <w:r>
        <w:rPr>
          <w:rFonts w:ascii="Century Gothic" w:hAnsi="Century Gothic" w:cs="Century Gothic" w:eastAsia="Century Gothic"/>
          <w:b w:val="0"/>
          <w:i w:val="0"/>
          <w:sz w:val="20"/>
        </w:rPr>
        <w:t xml:space="preserve"> El producto es 'Carpeta de evidencias del ciclo contable' y la rúbrica se titula 'Portafolio' y evalúa 'Uso del sistema' (registro en sistema contable), que la evidencia 1.2 no exige. Unificar el nombre del producto y explicitar el registro en sistema contable en la evidencia o retirar ese criterio.</w:t>
      </w:r>
    </w:p>
    <w:p>
      <w:pPr>
        <w:numPr>
          <w:ilvl w:val="0"/>
          <w:numId w:val="903"/>
        </w:numPr>
        <w:spacing w:before="0" w:after="160" w:line="240" w:lineRule="auto"/>
        <w:jc w:val="both"/>
      </w:pPr>
      <w:r>
        <w:rPr>
          <w:rFonts w:ascii="Century Gothic" w:hAnsi="Century Gothic" w:cs="Century Gothic" w:eastAsia="Century Gothic"/>
          <w:b/>
          <w:i w:val="0"/>
          <w:sz w:val="20"/>
        </w:rPr>
        <w:t>Coherencia, E4, criterio 1, evidencia 1.2.</w:t>
      </w:r>
      <w:r>
        <w:rPr>
          <w:rFonts w:ascii="Century Gothic" w:hAnsi="Century Gothic" w:cs="Century Gothic" w:eastAsia="Century Gothic"/>
          <w:b w:val="0"/>
          <w:i w:val="0"/>
          <w:sz w:val="20"/>
        </w:rPr>
        <w:t xml:space="preserve"> La evidencia 'Verifica en equipo la comprobación y verificación de saldos' es circular y no nombra la acción observable ni el objeto (libro diario, mayores). Redactar como 'Verifica en equipo los saldos del balance de comprobación contra el diario y los mayores'.</w:t>
      </w:r>
    </w:p>
    <w:p>
      <w:pPr>
        <w:numPr>
          <w:ilvl w:val="0"/>
          <w:numId w:val="903"/>
        </w:numPr>
        <w:spacing w:before="0" w:after="160" w:line="240" w:lineRule="auto"/>
        <w:jc w:val="both"/>
      </w:pPr>
      <w:r>
        <w:rPr>
          <w:rFonts w:ascii="Century Gothic" w:hAnsi="Century Gothic" w:cs="Century Gothic" w:eastAsia="Century Gothic"/>
          <w:b/>
          <w:i w:val="0"/>
          <w:sz w:val="20"/>
        </w:rPr>
        <w:t>Coherencia, E2 (Productos 7 y 8) y E6 (Productos 23 y 24).</w:t>
      </w:r>
      <w:r>
        <w:rPr>
          <w:rFonts w:ascii="Century Gothic" w:hAnsi="Century Gothic" w:cs="Century Gothic" w:eastAsia="Century Gothic"/>
          <w:b w:val="0"/>
          <w:i w:val="0"/>
          <w:sz w:val="20"/>
        </w:rPr>
        <w:t xml:space="preserve"> El plan de cuentas se evalúa dos veces: Producto 8 'Plan codificado de las cuentas' y Producto 23 'Plan de cuentas de una empresa comercial'; los contenidos de Tema 5 y Tema 19 también se superponen. Concentrar el plan de cuentas en un solo elemento y dejar en E6 solo su configuración en el sistema.</w:t>
      </w:r>
    </w:p>
    <w:p>
      <w:pPr>
        <w:numPr>
          <w:ilvl w:val="0"/>
          <w:numId w:val="903"/>
        </w:numPr>
        <w:spacing w:before="0" w:after="160" w:line="240" w:lineRule="auto"/>
        <w:jc w:val="both"/>
      </w:pPr>
      <w:r>
        <w:rPr>
          <w:rFonts w:ascii="Century Gothic" w:hAnsi="Century Gothic" w:cs="Century Gothic" w:eastAsia="Century Gothic"/>
          <w:b/>
          <w:i w:val="0"/>
          <w:sz w:val="20"/>
        </w:rPr>
        <w:t>Contenido técnico, E5, contenidos (Tema 12, cualidades).</w:t>
      </w:r>
      <w:r>
        <w:rPr>
          <w:rFonts w:ascii="Century Gothic" w:hAnsi="Century Gothic" w:cs="Century Gothic" w:eastAsia="Century Gothic"/>
          <w:b w:val="0"/>
          <w:i w:val="0"/>
          <w:sz w:val="20"/>
        </w:rPr>
        <w:t xml:space="preserve"> La lista de cualidades mezcla términos del marco anterior ('fiabilidad', 'compensación', 'uniformidad') con los del Marco Conceptual vigente (representación fiel), sin distinguir características fundamentales y de mejora. Ordenar según el Marco Conceptual 2018: relevancia y representación fiel como fundamentales; comparabilidad, verificabilidad, oportunidad y comprensibilidad como de mejora; y señalar aparte las NC bolivianas.</w:t>
      </w:r>
    </w:p>
    <w:p>
      <w:pPr>
        <w:numPr>
          <w:ilvl w:val="0"/>
          <w:numId w:val="903"/>
        </w:numPr>
        <w:spacing w:before="0" w:after="160" w:line="240" w:lineRule="auto"/>
        <w:jc w:val="both"/>
      </w:pPr>
      <w:r>
        <w:rPr>
          <w:rFonts w:ascii="Century Gothic" w:hAnsi="Century Gothic" w:cs="Century Gothic" w:eastAsia="Century Gothic"/>
          <w:b/>
          <w:i w:val="0"/>
          <w:sz w:val="20"/>
        </w:rPr>
        <w:t>Contenido técnico, E3, conocimientos circunstanciales.</w:t>
      </w:r>
      <w:r>
        <w:rPr>
          <w:rFonts w:ascii="Century Gothic" w:hAnsi="Century Gothic" w:cs="Century Gothic" w:eastAsia="Century Gothic"/>
          <w:b w:val="0"/>
          <w:i w:val="0"/>
          <w:sz w:val="20"/>
        </w:rPr>
        <w:t xml:space="preserve"> Se atribuye al SIN un plazo de conservación de 5 años; ese plazo es el del Código de Comercio (art. 52), mientras que el Código Tributario (art. 70, num. 8) exige conservar durante el término de prescripción, que tras la Ley 812 es de ocho años. Separar el plazo comercial del tributario y citar el art. 70 de la Ley 2492.</w:t>
      </w:r>
    </w:p>
    <w:p>
      <w:pPr>
        <w:numPr>
          <w:ilvl w:val="0"/>
          <w:numId w:val="903"/>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'Ley N° 1606.' aparece sin título ni fecha, y 'Código de Comercio' y 'Código Tributario' sin año; la Ley 1606 ya está incorporada en el texto ordenado de la Ley 843 que también se cita. Completar las referencias (autor, año, título) o retirar la Ley 1606 por redundante.</w:t>
      </w:r>
    </w:p>
    <w:p>
      <w:pPr>
        <w:numPr>
          <w:ilvl w:val="0"/>
          <w:numId w:val="903"/>
        </w:numPr>
        <w:spacing w:before="0" w:after="160" w:line="240" w:lineRule="auto"/>
        <w:jc w:val="both"/>
      </w:pPr>
      <w:r>
        <w:rPr>
          <w:rFonts w:ascii="Century Gothic" w:hAnsi="Century Gothic" w:cs="Century Gothic" w:eastAsia="Century Gothic"/>
          <w:b/>
          <w:i w:val="0"/>
          <w:sz w:val="20"/>
        </w:rPr>
        <w:t>Marcas de saber, E1, Tema 1: 'Sistema de registro contable, teoría contable, diseño de sistemas contables… auditoría financiera, operativa y social. (C, P, T)'.</w:t>
      </w:r>
      <w:r>
        <w:rPr>
          <w:rFonts w:ascii="Century Gothic" w:hAnsi="Century Gothic" w:cs="Century Gothic" w:eastAsia="Century Gothic"/>
          <w:b w:val="0"/>
          <w:i w:val="0"/>
          <w:sz w:val="20"/>
        </w:rPr>
        <w:t xml:space="preserve"> Contenido descriptivo; no exige operar herramienta ni ejecutar un procedimiento, por lo que (P, T) no se sustenta.</w:t>
      </w:r>
    </w:p>
    <w:p>
      <w:pPr>
        <w:numPr>
          <w:ilvl w:val="0"/>
          <w:numId w:val="903"/>
        </w:numPr>
        <w:spacing w:before="0" w:after="160" w:line="240" w:lineRule="auto"/>
        <w:jc w:val="both"/>
      </w:pPr>
      <w:r>
        <w:rPr>
          <w:rFonts w:ascii="Century Gothic" w:hAnsi="Century Gothic" w:cs="Century Gothic" w:eastAsia="Century Gothic"/>
          <w:b/>
          <w:i w:val="0"/>
          <w:sz w:val="20"/>
        </w:rPr>
        <w:t>Marcas de saber, E1, Tema 1: 'Clasificación de la contabilidad… relación con… la informática. (C, T)'.</w:t>
      </w:r>
      <w:r>
        <w:rPr>
          <w:rFonts w:ascii="Century Gothic" w:hAnsi="Century Gothic" w:cs="Century Gothic" w:eastAsia="Century Gothic"/>
          <w:b w:val="0"/>
          <w:i w:val="0"/>
          <w:sz w:val="20"/>
        </w:rPr>
        <w:t xml:space="preserve"> (T) solo porque se menciona la informática; es cognitivo.</w:t>
      </w:r>
    </w:p>
    <w:p>
      <w:pPr>
        <w:numPr>
          <w:ilvl w:val="0"/>
          <w:numId w:val="903"/>
        </w:numPr>
        <w:spacing w:before="0" w:after="160" w:line="240" w:lineRule="auto"/>
        <w:jc w:val="both"/>
      </w:pPr>
      <w:r>
        <w:rPr>
          <w:rFonts w:ascii="Century Gothic" w:hAnsi="Century Gothic" w:cs="Century Gothic" w:eastAsia="Century Gothic"/>
          <w:b/>
          <w:i w:val="0"/>
          <w:sz w:val="20"/>
        </w:rPr>
        <w:t>Marcas de saber, E2, Tema 5: 'Naturaleza de las cuentas: código, requisitos para codificar… (C,P,A)'.</w:t>
      </w:r>
      <w:r>
        <w:rPr>
          <w:rFonts w:ascii="Century Gothic" w:hAnsi="Century Gothic" w:cs="Century Gothic" w:eastAsia="Century Gothic"/>
          <w:b w:val="0"/>
          <w:i w:val="0"/>
          <w:sz w:val="20"/>
        </w:rPr>
        <w:t xml:space="preserve"> (A) sin conducta esperada ni evidencia que la observe.</w:t>
      </w:r>
    </w:p>
    <w:p>
      <w:pPr>
        <w:numPr>
          <w:ilvl w:val="0"/>
          <w:numId w:val="903"/>
        </w:numPr>
        <w:spacing w:before="0" w:after="160" w:line="240" w:lineRule="auto"/>
        <w:jc w:val="both"/>
      </w:pPr>
      <w:r>
        <w:rPr>
          <w:rFonts w:ascii="Century Gothic" w:hAnsi="Century Gothic" w:cs="Century Gothic" w:eastAsia="Century Gothic"/>
          <w:b/>
          <w:i w:val="0"/>
          <w:sz w:val="20"/>
        </w:rPr>
        <w:t>Marcas de saber, E5, Tema 12: 'Cualidades: oportunidad, comprensibilidad… (C, A)'.</w:t>
      </w:r>
      <w:r>
        <w:rPr>
          <w:rFonts w:ascii="Century Gothic" w:hAnsi="Century Gothic" w:cs="Century Gothic" w:eastAsia="Century Gothic"/>
          <w:b w:val="0"/>
          <w:i w:val="0"/>
          <w:sz w:val="20"/>
        </w:rPr>
        <w:t xml:space="preserve"> Enumera cualidades de la información sin conducta observable; corresponde (C).</w:t>
      </w:r>
    </w:p>
    <w:p>
      <w:pPr>
        <w:numPr>
          <w:ilvl w:val="0"/>
          <w:numId w:val="903"/>
        </w:numPr>
        <w:spacing w:before="0" w:after="160" w:line="240" w:lineRule="auto"/>
        <w:jc w:val="both"/>
      </w:pPr>
      <w:r>
        <w:rPr>
          <w:rFonts w:ascii="Century Gothic" w:hAnsi="Century Gothic" w:cs="Century Gothic" w:eastAsia="Century Gothic"/>
          <w:b/>
          <w:i w:val="0"/>
          <w:sz w:val="20"/>
        </w:rPr>
        <w:t>Circunstanciales, E4, conocimientos circunstanciales.</w:t>
      </w:r>
      <w:r>
        <w:rPr>
          <w:rFonts w:ascii="Century Gothic" w:hAnsi="Century Gothic" w:cs="Century Gothic" w:eastAsia="Century Gothic"/>
          <w:b w:val="0"/>
          <w:i w:val="0"/>
          <w:sz w:val="20"/>
        </w:rPr>
        <w:t xml:space="preserve"> 'Estimaciones y provisiones por incertidumbre comercial', 'Devengamiento del tiempo en contratos' y 'Hechos acumulados no facturados' son contenidos contables propios de la asignatura y de CPA-201 (previsiones, pagos e ingresos anticipados), no conocimientos circunstanciales; además 'desgaste físico y obsolescencia' y 'uso y desgaste de activos a largo plazo' se repiten.</w:t>
      </w:r>
    </w:p>
    <w:p>
      <w:pPr>
        <w:numPr>
          <w:ilvl w:val="0"/>
          <w:numId w:val="903"/>
        </w:numPr>
        <w:spacing w:before="0" w:after="160" w:line="240" w:lineRule="auto"/>
        <w:jc w:val="both"/>
      </w:pPr>
      <w:r>
        <w:rPr>
          <w:rFonts w:ascii="Century Gothic" w:hAnsi="Century Gothic" w:cs="Century Gothic" w:eastAsia="Century Gothic"/>
          <w:b/>
          <w:i w:val="0"/>
          <w:sz w:val="20"/>
        </w:rPr>
        <w:t>Circunstanciales, E2 y E5, conocimientos circunstanciales.</w:t>
      </w:r>
      <w:r>
        <w:rPr>
          <w:rFonts w:ascii="Century Gothic" w:hAnsi="Century Gothic" w:cs="Century Gothic" w:eastAsia="Century Gothic"/>
          <w:b w:val="0"/>
          <w:i w:val="0"/>
          <w:sz w:val="20"/>
        </w:rPr>
        <w:t xml:space="preserve"> La jerarquización de códigos para 'parametrización en sistemas informáticos' y los 'formatos digitales en PDF/hoja de cálculo' se dictan en CPA-102 Tecnologías de Información y Herramientas Digitales y CPA-305 Sistemas Contables ERP.</w:t>
      </w:r>
    </w:p>
    <w:p>
      <w:pPr>
        <w:numPr>
          <w:ilvl w:val="0"/>
          <w:numId w:val="903"/>
        </w:numPr>
        <w:spacing w:before="0" w:after="160" w:line="240" w:lineRule="auto"/>
        <w:jc w:val="both"/>
      </w:pPr>
      <w:r>
        <w:rPr>
          <w:rFonts w:ascii="Century Gothic" w:hAnsi="Century Gothic" w:cs="Century Gothic" w:eastAsia="Century Gothic"/>
          <w:b/>
          <w:i w:val="0"/>
          <w:sz w:val="20"/>
        </w:rPr>
        <w:t>Circunstanciales, E3, conocimientos circunstanciales.</w:t>
      </w:r>
      <w:r>
        <w:rPr>
          <w:rFonts w:ascii="Century Gothic" w:hAnsi="Century Gothic" w:cs="Century Gothic" w:eastAsia="Century Gothic"/>
          <w:b w:val="0"/>
          <w:i w:val="0"/>
          <w:sz w:val="20"/>
        </w:rPr>
        <w:t xml:space="preserve"> Los deberes formales de los libros de comercio (Código de Comercio arts. 44 y 52) se dictan en DER-101 Derecho Comercial y Corporativo, y los deberes formales ante el SIN en DER-201 Derecho Tributario.</w:t>
      </w:r>
    </w:p>
    <w:p>
      <w:pPr>
        <w:numPr>
          <w:ilvl w:val="0"/>
          <w:numId w:val="903"/>
        </w:numPr>
        <w:spacing w:before="0" w:after="160" w:line="240" w:lineRule="auto"/>
        <w:jc w:val="both"/>
      </w:pPr>
      <w:r>
        <w:rPr>
          <w:rFonts w:ascii="Century Gothic" w:hAnsi="Century Gothic" w:cs="Century Gothic" w:eastAsia="Century Gothic"/>
          <w:b/>
          <w:i w:val="0"/>
          <w:sz w:val="20"/>
        </w:rPr>
        <w:t>Incoherencia interna, Datos generales, carga horaria.</w:t>
      </w:r>
      <w:r>
        <w:rPr>
          <w:rFonts w:ascii="Century Gothic" w:hAnsi="Century Gothic" w:cs="Century Gothic" w:eastAsia="Century Gothic"/>
          <w:b w:val="0"/>
          <w:i w:val="0"/>
          <w:sz w:val="20"/>
        </w:rPr>
        <w:t xml:space="preserve"> Se llenaron las horas (160, 120, 40, 40, 4) pese a que la guía pide dejarlas en blanco; además suman 364 y no el TOTAL de 360 indicado, y el total contradice las 160 h/año de la malla.</w:t>
      </w:r>
    </w:p>
    <w:p>
      <w:pPr>
        <w:numPr>
          <w:ilvl w:val="0"/>
          <w:numId w:val="903"/>
        </w:numPr>
        <w:spacing w:before="0" w:after="160" w:line="240" w:lineRule="auto"/>
        <w:jc w:val="both"/>
      </w:pPr>
      <w:r>
        <w:rPr>
          <w:rFonts w:ascii="Century Gothic" w:hAnsi="Century Gothic" w:cs="Century Gothic" w:eastAsia="Century Gothic"/>
          <w:b/>
          <w:i w:val="0"/>
          <w:sz w:val="20"/>
        </w:rPr>
        <w:t>Incoherencia interna, Rúbricas de los Productos 8 y 14.</w:t>
      </w:r>
      <w:r>
        <w:rPr>
          <w:rFonts w:ascii="Century Gothic" w:hAnsi="Century Gothic" w:cs="Century Gothic" w:eastAsia="Century Gothic"/>
          <w:b w:val="0"/>
          <w:i w:val="0"/>
          <w:sz w:val="20"/>
        </w:rPr>
        <w:t xml:space="preserve"> Los títulos de rúbrica conservan los nombres anteriores ('Catálogo codificado de cuentas', 'Cédula de deficiencias') distintos de las evidencias de producto (Plan codificado de las cuentas; Papel de trabajo de comprobación).</w:t>
      </w:r>
    </w:p>
    <w:p>
      <w:pPr>
        <w:numPr>
          <w:ilvl w:val="0"/>
          <w:numId w:val="903"/>
        </w:numPr>
        <w:spacing w:before="0" w:after="160" w:line="240" w:lineRule="auto"/>
        <w:jc w:val="both"/>
      </w:pPr>
      <w:r>
        <w:rPr>
          <w:rFonts w:ascii="Century Gothic" w:hAnsi="Century Gothic" w:cs="Century Gothic" w:eastAsia="Century Gothic"/>
          <w:b/>
          <w:i w:val="0"/>
          <w:sz w:val="20"/>
        </w:rPr>
        <w:t>Incoherencia interna, E4, criterios de desempeño.</w:t>
      </w:r>
      <w:r>
        <w:rPr>
          <w:rFonts w:ascii="Century Gothic" w:hAnsi="Century Gothic" w:cs="Century Gothic" w:eastAsia="Century Gothic"/>
          <w:b w:val="0"/>
          <w:i w:val="0"/>
          <w:sz w:val="20"/>
        </w:rPr>
        <w:t xml:space="preserve"> Los dos criterios del E4 no llevan numeración 1. y 2., a diferencia del resto del documento.</w:t>
      </w:r>
    </w:p>
    <w:p>
      <w:pPr>
        <w:numPr>
          <w:ilvl w:val="0"/>
          <w:numId w:val="903"/>
        </w:numPr>
        <w:spacing w:before="0" w:after="160" w:line="240" w:lineRule="auto"/>
        <w:jc w:val="both"/>
      </w:pPr>
      <w:r>
        <w:rPr>
          <w:rFonts w:ascii="Century Gothic" w:hAnsi="Century Gothic" w:cs="Century Gothic" w:eastAsia="Century Gothic"/>
          <w:b/>
          <w:i w:val="0"/>
          <w:sz w:val="20"/>
        </w:rPr>
        <w:t>Incoherencia interna, E3, contenidos.</w:t>
      </w:r>
      <w:r>
        <w:rPr>
          <w:rFonts w:ascii="Century Gothic" w:hAnsi="Century Gothic" w:cs="Century Gothic" w:eastAsia="Century Gothic"/>
          <w:b w:val="0"/>
          <w:i w:val="0"/>
          <w:sz w:val="20"/>
        </w:rPr>
        <w:t xml:space="preserve"> El contenido del Código de Ética del IESBA aparece precedido por un número suelto '13.' que no corresponde a la lista.</w:t>
      </w:r>
    </w:p>
    <w:p>
      <w:pPr>
        <w:numPr>
          <w:ilvl w:val="0"/>
          <w:numId w:val="903"/>
        </w:numPr>
        <w:spacing w:before="0" w:after="200" w:line="240" w:lineRule="auto"/>
        <w:jc w:val="both"/>
      </w:pPr>
      <w:r>
        <w:rPr>
          <w:rFonts w:ascii="Century Gothic" w:hAnsi="Century Gothic" w:cs="Century Gothic" w:eastAsia="Century Gothic"/>
          <w:b/>
          <w:i w:val="0"/>
          <w:sz w:val="20"/>
        </w:rPr>
        <w:t>Incoherencia interna, Estrategias de evaluación, sumativa.</w:t>
      </w:r>
      <w:r>
        <w:rPr>
          <w:rFonts w:ascii="Century Gothic" w:hAnsi="Century Gothic" w:cs="Century Gothic" w:eastAsia="Century Gothic"/>
          <w:b w:val="0"/>
          <w:i w:val="0"/>
          <w:sz w:val="20"/>
        </w:rPr>
        <w:t xml:space="preserve"> Incluye 'asistencia' como componente sumativo, mientras que los criterios de calificación asignan el 100 % a los productos.</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de la subcomisión de Información Financiera General explica la nueva unidad de competencia, el paso de 'Explica' a 'Analiza' en el E1, la renombración de productos (Matriz de ecuaciones, Esquema de clasificación, Plan codificado, Papel de trabajo, Asientos de ajuste en comprobantes de traspaso) y la depuración de la bibliografía complementaria; no hay cambio de nombre de la asignatura. También registra el desglose de horas 'HP: 160, HAA: 120, HTG: 40, HIP: 40, HE: 4 (Total: 360 horas)', que contradice la guía (horas en blanco) y cuya suma real es 364; los títulos de las rúbricas de los Productos 8 y 14 no se actualizaron según ese informe.</w:t>
      </w:r>
    </w:p>
    <w:p>
      <w:pPr>
        <w:spacing w:before="0" w:after="200" w:line="240" w:lineRule="auto"/>
        <w:jc w:val="both"/>
      </w:pPr>
      <w:r>
        <w:rPr>
          <w:rFonts w:ascii="Century Gothic" w:hAnsi="Century Gothic" w:cs="Century Gothic" w:eastAsia="Century Gothic"/>
          <w:b w:val="0"/>
          <w:i w:val="0"/>
          <w:sz w:val="20"/>
        </w:rPr>
        <w:t>Se aplicaron 23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7.2</w:t>
        <w:tab/>
      </w:r>
      <w:r>
        <w:rPr>
          <w:rFonts w:ascii="Century Gothic" w:hAnsi="Century Gothic" w:cs="Century Gothic" w:eastAsia="Century Gothic"/>
          <w:b/>
          <w:i w:val="0"/>
          <w:sz w:val="22"/>
        </w:rPr>
        <w:t>CPA-102 Tecnologías de Información y Herramientas Digitales</w:t>
      </w:r>
    </w:p>
    <w:p>
      <w:pPr>
        <w:spacing w:before="0" w:after="200" w:line="240" w:lineRule="auto"/>
        <w:jc w:val="both"/>
      </w:pPr>
      <w:r>
        <w:rPr>
          <w:rFonts w:ascii="Century Gothic" w:hAnsi="Century Gothic" w:cs="Century Gothic" w:eastAsia="Century Gothic"/>
          <w:b w:val="0"/>
          <w:i w:val="0"/>
          <w:sz w:val="20"/>
        </w:rPr>
        <w:t xml:space="preserve">Archivo: CPA-102 Herramientas DIgitales en la Contaduría Pública.docx. Cumple 14 de 23 controles, 4 de forma parcial y no cumple 5.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Los contenidos de hoja de cálculo, macros y bases de datos son sólidos y pertinentes para primer año, pero la cadena criterio-evidencia-producto está desordenada: productos invertidos en el E1, criterios sin numerar y un producto mal nombrado en el E2. Faltan contenidos actitudinales, la IA queda sin evidencia y el nombre y las horas no coinciden con la malla.</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Datos generales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nombre «Herramientas Digitales en la Contaduría Pública» frente a «Tecnologías de Información y Herramientas Digitales» en la malla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(80, 10, 10, 10, 10, 120)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Créditos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créditos llenados: 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 sin condiciones de calidad explícitas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de desempeño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E2: 4 evidencias, sin numeración completa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Saberes A y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contenidos actitudinales (A)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5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04"/>
        </w:numPr>
        <w:spacing w:before="0" w:after="160" w:line="240" w:lineRule="auto"/>
        <w:jc w:val="both"/>
      </w:pPr>
      <w:r>
        <w:rPr>
          <w:rFonts w:ascii="Century Gothic" w:hAnsi="Century Gothic" w:cs="Century Gothic" w:eastAsia="Century Gothic"/>
          <w:b/>
          <w:i w:val="0"/>
          <w:sz w:val="20"/>
        </w:rPr>
        <w:t>Coherencia, E1, criterio 2, evidencias 2.1 y 2.2 / Productos 3 y 4.</w:t>
      </w:r>
      <w:r>
        <w:rPr>
          <w:rFonts w:ascii="Century Gothic" w:hAnsi="Century Gothic" w:cs="Century Gothic" w:eastAsia="Century Gothic"/>
          <w:b w:val="0"/>
          <w:i w:val="0"/>
          <w:sz w:val="20"/>
        </w:rPr>
        <w:t xml:space="preserve"> Los productos están invertidos: 2.1 (clasifica tipos de datos y variables) lleva el Producto 3 'Diagramas de flujo, pseudocódigo', y 2.2 (resuelve algoritmos) lleva el Producto 4 'Uso de herramientas computacionales', que no es un resultado tangible. Las rúbricas dicen lo contrario: P3 'Diagrama de flujo de un algoritmo' y P4 'Práctico de tipos de datos y variables'. Asignar el Producto 3 a 2.2 y el Producto 4 'Práctico de tipos de datos, operadores y variables' a 2.1, con los mismos nombres en la tabla y en las rúbricas.</w:t>
      </w:r>
    </w:p>
    <w:p>
      <w:pPr>
        <w:numPr>
          <w:ilvl w:val="0"/>
          <w:numId w:val="904"/>
        </w:numPr>
        <w:spacing w:before="0" w:after="160" w:line="240" w:lineRule="auto"/>
        <w:jc w:val="both"/>
      </w:pPr>
      <w:r>
        <w:rPr>
          <w:rFonts w:ascii="Century Gothic" w:hAnsi="Century Gothic" w:cs="Century Gothic" w:eastAsia="Century Gothic"/>
          <w:b/>
          <w:i w:val="0"/>
          <w:sz w:val="20"/>
        </w:rPr>
        <w:t>Coherencia, E1, criterio 1, evidencia 1.1 / Producto 1.</w:t>
      </w:r>
      <w:r>
        <w:rPr>
          <w:rFonts w:ascii="Century Gothic" w:hAnsi="Century Gothic" w:cs="Century Gothic" w:eastAsia="Century Gothic"/>
          <w:b w:val="0"/>
          <w:i w:val="0"/>
          <w:sz w:val="20"/>
        </w:rPr>
        <w:t xml:space="preserve"> Exponer ante el curso la importancia de la gestión de datos y de los procesos de negocio no deja como resultado un glosario de conceptos de informática. Cambiar la evidencia a 'Elabora un glosario…' o el producto a 'Presentación sobre la gestión de datos…'.</w:t>
      </w:r>
    </w:p>
    <w:p>
      <w:pPr>
        <w:numPr>
          <w:ilvl w:val="0"/>
          <w:numId w:val="904"/>
        </w:numPr>
        <w:spacing w:before="0" w:after="160" w:line="240" w:lineRule="auto"/>
        <w:jc w:val="both"/>
      </w:pPr>
      <w:r>
        <w:rPr>
          <w:rFonts w:ascii="Century Gothic" w:hAnsi="Century Gothic" w:cs="Century Gothic" w:eastAsia="Century Gothic"/>
          <w:b/>
          <w:i w:val="0"/>
          <w:sz w:val="20"/>
        </w:rPr>
        <w:t>Coherencia, E1, Producto 2 (rúbrica).</w:t>
      </w:r>
      <w:r>
        <w:rPr>
          <w:rFonts w:ascii="Century Gothic" w:hAnsi="Century Gothic" w:cs="Century Gothic" w:eastAsia="Century Gothic"/>
          <w:b w:val="0"/>
          <w:i w:val="0"/>
          <w:sz w:val="20"/>
        </w:rPr>
        <w:t xml:space="preserve"> La rúbrica de la ficha técnica evalúa 'Riesgos' y 'Controles' de seguridad del equipo. Ni la evidencia 1.2 ni los contenidos piden eso: solo identificar hardware y software. Usar criterios propios de la ficha (componentes, especificaciones, software instalado) o añadir a la evidencia la identificación de riesgos.</w:t>
      </w:r>
    </w:p>
    <w:p>
      <w:pPr>
        <w:numPr>
          <w:ilvl w:val="0"/>
          <w:numId w:val="904"/>
        </w:numPr>
        <w:spacing w:before="0" w:after="160" w:line="240" w:lineRule="auto"/>
        <w:jc w:val="both"/>
      </w:pPr>
      <w:r>
        <w:rPr>
          <w:rFonts w:ascii="Century Gothic" w:hAnsi="Century Gothic" w:cs="Century Gothic" w:eastAsia="Century Gothic"/>
          <w:b/>
          <w:i w:val="0"/>
          <w:sz w:val="20"/>
        </w:rPr>
        <w:t>Coherencia, E2, criterios y evidencias.</w:t>
      </w:r>
      <w:r>
        <w:rPr>
          <w:rFonts w:ascii="Century Gothic" w:hAnsi="Century Gothic" w:cs="Century Gothic" w:eastAsia="Century Gothic"/>
          <w:b w:val="0"/>
          <w:i w:val="0"/>
          <w:sz w:val="20"/>
        </w:rPr>
        <w:t xml:space="preserve"> Los criterios y las evidencias no están numerados ni emparejados (2 criterios con 4 evidencias sin 1.1/1.2/2.1/2.2). La cuarta evidencia, 'Construye bases de datos', no tiene criterio que la sustente: ningún criterio habla de bases de datos aunque el elemento las exige. Reformular el criterio 2 como 'Automatiza procesos con macros y estructura bases de datos relacionales…' y numerar las evidencias.</w:t>
      </w:r>
    </w:p>
    <w:p>
      <w:pPr>
        <w:numPr>
          <w:ilvl w:val="0"/>
          <w:numId w:val="904"/>
        </w:numPr>
        <w:spacing w:before="0" w:after="160" w:line="240" w:lineRule="auto"/>
        <w:jc w:val="both"/>
      </w:pPr>
      <w:r>
        <w:rPr>
          <w:rFonts w:ascii="Century Gothic" w:hAnsi="Century Gothic" w:cs="Century Gothic" w:eastAsia="Century Gothic"/>
          <w:b/>
          <w:i w:val="0"/>
          <w:sz w:val="20"/>
        </w:rPr>
        <w:t>Coherencia, E2, Producto 8.</w:t>
      </w:r>
      <w:r>
        <w:rPr>
          <w:rFonts w:ascii="Century Gothic" w:hAnsi="Century Gothic" w:cs="Century Gothic" w:eastAsia="Century Gothic"/>
          <w:b w:val="0"/>
          <w:i w:val="0"/>
          <w:sz w:val="20"/>
        </w:rPr>
        <w:t xml:space="preserve"> El producto se llama 'Cuadro de mando en Excel con bases de datos', pero su rúbrica evalúa el modelo conceptual y lógico, las claves y las consultas SQL de una base relacional. No es un cuadro de mando. Renombrar: 'Base de datos relacional con sus tablas, relaciones y consultas SQL'.</w:t>
      </w:r>
    </w:p>
    <w:p>
      <w:pPr>
        <w:numPr>
          <w:ilvl w:val="0"/>
          <w:numId w:val="904"/>
        </w:numPr>
        <w:spacing w:before="0" w:after="160" w:line="240" w:lineRule="auto"/>
        <w:jc w:val="both"/>
      </w:pPr>
      <w:r>
        <w:rPr>
          <w:rFonts w:ascii="Century Gothic" w:hAnsi="Century Gothic" w:cs="Century Gothic" w:eastAsia="Century Gothic"/>
          <w:b/>
          <w:i w:val="0"/>
          <w:sz w:val="20"/>
        </w:rPr>
        <w:t>Coherencia, E2, Producto 5 (rúbrica) frente a Productos 6 y 7.</w:t>
      </w:r>
      <w:r>
        <w:rPr>
          <w:rFonts w:ascii="Century Gothic" w:hAnsi="Century Gothic" w:cs="Century Gothic" w:eastAsia="Century Gothic"/>
          <w:b w:val="0"/>
          <w:i w:val="0"/>
          <w:sz w:val="20"/>
        </w:rPr>
        <w:t xml:space="preserve"> La rúbrica del P5 (fórmulas) también evalúa tablas dinámicas y macros, y repite el descriptor del P7 ('La macro maneja errores y es reutilizable'). Se evalúa dos veces lo mismo. Limitar la rúbrica del P5 a fórmulas, funciones financieras y auditoría de fórmulas.</w:t>
      </w:r>
    </w:p>
    <w:p>
      <w:pPr>
        <w:numPr>
          <w:ilvl w:val="0"/>
          <w:numId w:val="904"/>
        </w:numPr>
        <w:spacing w:before="0" w:after="160" w:line="240" w:lineRule="auto"/>
        <w:jc w:val="both"/>
      </w:pPr>
      <w:r>
        <w:rPr>
          <w:rFonts w:ascii="Century Gothic" w:hAnsi="Century Gothic" w:cs="Century Gothic" w:eastAsia="Century Gothic"/>
          <w:b/>
          <w:i w:val="0"/>
          <w:sz w:val="20"/>
        </w:rPr>
        <w:t>Coherencia, E2, Producto 6, criterio 'Diseño de tablas'.</w:t>
      </w:r>
      <w:r>
        <w:rPr>
          <w:rFonts w:ascii="Century Gothic" w:hAnsi="Century Gothic" w:cs="Century Gothic" w:eastAsia="Century Gothic"/>
          <w:b w:val="0"/>
          <w:i w:val="0"/>
          <w:sz w:val="20"/>
        </w:rPr>
        <w:t xml:space="preserve"> El nivel Suficiente dice 'Define atajos basados en el uso de teclado', que no tiene relación con el diseño de tablas dinámicas. Por ejemplo: 'Diseña la tabla dinámica con campos, filtros y valores pertinentes'.</w:t>
      </w:r>
    </w:p>
    <w:p>
      <w:pPr>
        <w:numPr>
          <w:ilvl w:val="0"/>
          <w:numId w:val="904"/>
        </w:numPr>
        <w:spacing w:before="0" w:after="160" w:line="240" w:lineRule="auto"/>
        <w:jc w:val="both"/>
      </w:pPr>
      <w:r>
        <w:rPr>
          <w:rFonts w:ascii="Century Gothic" w:hAnsi="Century Gothic" w:cs="Century Gothic" w:eastAsia="Century Gothic"/>
          <w:b/>
          <w:i w:val="0"/>
          <w:sz w:val="20"/>
        </w:rPr>
        <w:t>Coherencia, E2, Tema 5 (inteligencia artificial).</w:t>
      </w:r>
      <w:r>
        <w:rPr>
          <w:rFonts w:ascii="Century Gothic" w:hAnsi="Century Gothic" w:cs="Century Gothic" w:eastAsia="Century Gothic"/>
          <w:b w:val="0"/>
          <w:i w:val="0"/>
          <w:sz w:val="20"/>
        </w:rPr>
        <w:t xml:space="preserve"> Los contenidos de IA generativa no tienen elemento, criterio, evidencia ni producto. Tampoco se acompañan de verificación de resultados, como pide la guía. Integrar la IA en un criterio (por ejemplo, uso verificado de IA para fórmulas o macros) o retirarla. Añadir la verificación de resultados y la responsabilidad profesional.</w:t>
      </w:r>
    </w:p>
    <w:p>
      <w:pPr>
        <w:numPr>
          <w:ilvl w:val="0"/>
          <w:numId w:val="904"/>
        </w:numPr>
        <w:spacing w:before="0" w:after="160" w:line="240" w:lineRule="auto"/>
        <w:jc w:val="both"/>
      </w:pPr>
      <w:r>
        <w:rPr>
          <w:rFonts w:ascii="Century Gothic" w:hAnsi="Century Gothic" w:cs="Century Gothic" w:eastAsia="Century Gothic"/>
          <w:b/>
          <w:i w:val="0"/>
          <w:sz w:val="20"/>
        </w:rPr>
        <w:t>Contenido técnico, Bibliografía complementaria.</w:t>
      </w:r>
      <w:r>
        <w:rPr>
          <w:rFonts w:ascii="Century Gothic" w:hAnsi="Century Gothic" w:cs="Century Gothic" w:eastAsia="Century Gothic"/>
          <w:b w:val="0"/>
          <w:i w:val="0"/>
          <w:sz w:val="20"/>
        </w:rPr>
        <w:t xml:space="preserve"> 'Alcande, E., García, M. y Peñuelas, S. (s.f.). Informática básica' tiene probablemente una errata en el apellido: la obra es de Alcalde, García y Peñuelas. Corregir a 'Alcalde, E.' y completar año y editorial.</w:t>
      </w:r>
    </w:p>
    <w:p>
      <w:pPr>
        <w:numPr>
          <w:ilvl w:val="0"/>
          <w:numId w:val="904"/>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Hay ediciones antiguas o sin año: De Miguel y otros (1999), Laudon (2016, 14.ª ed.) y Mayes y Shank '(s.f.) 5ta. edición'. Actualizar a las ediciones vigentes y completar el año.</w:t>
      </w:r>
    </w:p>
    <w:p>
      <w:pPr>
        <w:numPr>
          <w:ilvl w:val="0"/>
          <w:numId w:val="904"/>
        </w:numPr>
        <w:spacing w:before="0" w:after="160" w:line="240" w:lineRule="auto"/>
        <w:jc w:val="both"/>
      </w:pPr>
      <w:r>
        <w:rPr>
          <w:rFonts w:ascii="Century Gothic" w:hAnsi="Century Gothic" w:cs="Century Gothic" w:eastAsia="Century Gothic"/>
          <w:b/>
          <w:i w:val="0"/>
          <w:sz w:val="20"/>
        </w:rPr>
        <w:t>Marcas de saber, Toda la asignatura.</w:t>
      </w:r>
      <w:r>
        <w:rPr>
          <w:rFonts w:ascii="Century Gothic" w:hAnsi="Century Gothic" w:cs="Century Gothic" w:eastAsia="Century Gothic"/>
          <w:b w:val="0"/>
          <w:i w:val="0"/>
          <w:sz w:val="20"/>
        </w:rPr>
        <w:t xml:space="preserve"> No hay ningún contenido con (A). 'Importancia de la confidencialidad, integridad y disponibilidad de los datos. (C)' es el candidato natural, aunque la unidad de competencia exige confidencialidad.</w:t>
      </w:r>
    </w:p>
    <w:p>
      <w:pPr>
        <w:numPr>
          <w:ilvl w:val="0"/>
          <w:numId w:val="904"/>
        </w:numPr>
        <w:spacing w:before="0" w:after="160" w:line="240" w:lineRule="auto"/>
        <w:jc w:val="both"/>
      </w:pPr>
      <w:r>
        <w:rPr>
          <w:rFonts w:ascii="Century Gothic" w:hAnsi="Century Gothic" w:cs="Century Gothic" w:eastAsia="Century Gothic"/>
          <w:b/>
          <w:i w:val="0"/>
          <w:sz w:val="20"/>
        </w:rPr>
        <w:t>Marcas de saber, E1, contenidos.</w:t>
      </w:r>
      <w:r>
        <w:rPr>
          <w:rFonts w:ascii="Century Gothic" w:hAnsi="Century Gothic" w:cs="Century Gothic" w:eastAsia="Century Gothic"/>
          <w:b w:val="0"/>
          <w:i w:val="0"/>
          <w:sz w:val="20"/>
        </w:rPr>
        <w:t xml:space="preserve"> Las evidencias 1.2 y 2.2 se hacen en el laboratorio, pero ningún contenido del E1 lleva (T).</w:t>
      </w:r>
    </w:p>
    <w:p>
      <w:pPr>
        <w:numPr>
          <w:ilvl w:val="0"/>
          <w:numId w:val="904"/>
        </w:numPr>
        <w:spacing w:before="0" w:after="160" w:line="240" w:lineRule="auto"/>
        <w:jc w:val="both"/>
      </w:pPr>
      <w:r>
        <w:rPr>
          <w:rFonts w:ascii="Century Gothic" w:hAnsi="Century Gothic" w:cs="Century Gothic" w:eastAsia="Century Gothic"/>
          <w:b/>
          <w:i w:val="0"/>
          <w:sz w:val="20"/>
        </w:rPr>
        <w:t>Circunstanciales, E2, conocimientos circunstanciales.</w:t>
      </w:r>
      <w:r>
        <w:rPr>
          <w:rFonts w:ascii="Century Gothic" w:hAnsi="Century Gothic" w:cs="Century Gothic" w:eastAsia="Century Gothic"/>
          <w:b w:val="0"/>
          <w:i w:val="0"/>
          <w:sz w:val="20"/>
        </w:rPr>
        <w:t xml:space="preserve"> Los tres puntos ('diseño visual', 'digitación y atajos de teclado', 'suites ofimáticas alternativas') no son necesarios para los contenidos de la asignatura.</w:t>
      </w:r>
    </w:p>
    <w:p>
      <w:pPr>
        <w:numPr>
          <w:ilvl w:val="0"/>
          <w:numId w:val="904"/>
        </w:numPr>
        <w:spacing w:before="0" w:after="160" w:line="240" w:lineRule="auto"/>
        <w:jc w:val="both"/>
      </w:pPr>
      <w:r>
        <w:rPr>
          <w:rFonts w:ascii="Century Gothic" w:hAnsi="Century Gothic" w:cs="Century Gothic" w:eastAsia="Century Gothic"/>
          <w:b/>
          <w:i w:val="0"/>
          <w:sz w:val="20"/>
        </w:rPr>
        <w:t>Incoherencia interna, Datos generales.</w:t>
      </w:r>
      <w:r>
        <w:rPr>
          <w:rFonts w:ascii="Century Gothic" w:hAnsi="Century Gothic" w:cs="Century Gothic" w:eastAsia="Century Gothic"/>
          <w:b w:val="0"/>
          <w:i w:val="0"/>
          <w:sz w:val="20"/>
        </w:rPr>
        <w:t xml:space="preserve"> El nombre 'Herramientas Digitales en la Contaduría Pública' no coincide con la malla: 'Tecnologías de Información y Herramientas Digitales'.</w:t>
      </w:r>
    </w:p>
    <w:p>
      <w:pPr>
        <w:numPr>
          <w:ilvl w:val="0"/>
          <w:numId w:val="904"/>
        </w:numPr>
        <w:spacing w:before="0" w:after="160" w:line="240" w:lineRule="auto"/>
        <w:jc w:val="both"/>
      </w:pPr>
      <w:r>
        <w:rPr>
          <w:rFonts w:ascii="Century Gothic" w:hAnsi="Century Gothic" w:cs="Century Gothic" w:eastAsia="Century Gothic"/>
          <w:b/>
          <w:i w:val="0"/>
          <w:sz w:val="20"/>
        </w:rPr>
        <w:t>Incoherencia interna, Carga horaria y créditos.</w:t>
      </w:r>
      <w:r>
        <w:rPr>
          <w:rFonts w:ascii="Century Gothic" w:hAnsi="Century Gothic" w:cs="Century Gothic" w:eastAsia="Century Gothic"/>
          <w:b w:val="0"/>
          <w:i w:val="0"/>
          <w:sz w:val="20"/>
        </w:rPr>
        <w:t xml:space="preserve"> Están llenados (HP 80, TOTAL 120, 6 créditos) cuando deben quedar en blanco, y contradicen la malla (2 h/sem, 80 h/año, 8 créditos). El valor '6' aparece además en la fila de siglas.</w:t>
      </w:r>
    </w:p>
    <w:p>
      <w:pPr>
        <w:numPr>
          <w:ilvl w:val="0"/>
          <w:numId w:val="904"/>
        </w:numPr>
        <w:spacing w:before="0" w:after="160" w:line="240" w:lineRule="auto"/>
        <w:jc w:val="both"/>
      </w:pPr>
      <w:r>
        <w:rPr>
          <w:rFonts w:ascii="Century Gothic" w:hAnsi="Century Gothic" w:cs="Century Gothic" w:eastAsia="Century Gothic"/>
          <w:b/>
          <w:i w:val="0"/>
          <w:sz w:val="20"/>
        </w:rPr>
        <w:t>Incoherencia interna, Actividades.</w:t>
      </w:r>
      <w:r>
        <w:rPr>
          <w:rFonts w:ascii="Century Gothic" w:hAnsi="Century Gothic" w:cs="Century Gothic" w:eastAsia="Century Gothic"/>
          <w:b w:val="0"/>
          <w:i w:val="0"/>
          <w:sz w:val="20"/>
        </w:rPr>
        <w:t xml:space="preserve"> Las actividades mencionan Power BI, Access, procesador de texto, presentador y Big Data, que no figuran en los contenidos.</w:t>
      </w:r>
    </w:p>
    <w:p>
      <w:pPr>
        <w:numPr>
          <w:ilvl w:val="0"/>
          <w:numId w:val="904"/>
        </w:numPr>
        <w:spacing w:before="0" w:after="200" w:line="240" w:lineRule="auto"/>
        <w:jc w:val="both"/>
      </w:pPr>
      <w:r>
        <w:rPr>
          <w:rFonts w:ascii="Century Gothic" w:hAnsi="Century Gothic" w:cs="Century Gothic" w:eastAsia="Century Gothic"/>
          <w:b/>
          <w:i w:val="0"/>
          <w:sz w:val="20"/>
        </w:rPr>
        <w:t>Incoherencia interna, E2, contenidos (Power Pivot/Power Query, SQL, modelo relacional).</w:t>
      </w:r>
      <w:r>
        <w:rPr>
          <w:rFonts w:ascii="Century Gothic" w:hAnsi="Century Gothic" w:cs="Century Gothic" w:eastAsia="Century Gothic"/>
          <w:b w:val="0"/>
          <w:i w:val="0"/>
          <w:sz w:val="20"/>
        </w:rPr>
        <w:t xml:space="preserve"> Hay solapamiento con CPA-505 E1 (modelo relacional, claves, integridad referencial, SQL, con la misma obra de De Miguel y otros). Además, en análisis de datos CPA-102 llega más lejos que CPA-305.</w:t>
      </w:r>
    </w:p>
    <w:p>
      <w:pPr>
        <w:spacing w:before="0" w:after="200" w:line="240" w:lineRule="auto"/>
        <w:jc w:val="both"/>
      </w:pPr>
      <w:r>
        <w:rPr>
          <w:rFonts w:ascii="Century Gothic" w:hAnsi="Century Gothic" w:cs="Century Gothic" w:eastAsia="Century Gothic"/>
          <w:b w:val="0"/>
          <w:i w:val="0"/>
          <w:sz w:val="20"/>
        </w:rPr>
        <w:t>Se aplicaron 6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7.3</w:t>
        <w:tab/>
      </w:r>
      <w:r>
        <w:rPr>
          <w:rFonts w:ascii="Century Gothic" w:hAnsi="Century Gothic" w:cs="Century Gothic" w:eastAsia="Century Gothic"/>
          <w:b/>
          <w:i w:val="0"/>
          <w:sz w:val="22"/>
        </w:rPr>
        <w:t>ADM-101 Administración General</w:t>
      </w:r>
    </w:p>
    <w:p>
      <w:pPr>
        <w:spacing w:before="0" w:after="200" w:line="240" w:lineRule="auto"/>
        <w:jc w:val="both"/>
      </w:pPr>
      <w:r>
        <w:rPr>
          <w:rFonts w:ascii="Century Gothic" w:hAnsi="Century Gothic" w:cs="Century Gothic" w:eastAsia="Century Gothic"/>
          <w:b w:val="0"/>
          <w:i w:val="0"/>
          <w:sz w:val="20"/>
        </w:rPr>
        <w:t xml:space="preserve">Archivo: ADM 101.pdf. Cumple 16 de 23 controles, 4 de forma parcial y no cumple 3.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La estructura es correcta: 2 elementos, 8 productos con rúbricas propias y bien redactadas, y pesos enteros que suman 100 %. Los puntos débiles son una unidad de competencia sin contexto boliviano, un elemento 2 que repite la unidad, algunos productos genéricos o que no salen de su evidencia, y un predominio de contenidos solo cognitivos en la función de dirección.</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 , , ,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 de 75 contenidos sin marca C, P, A o T; 1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de 4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entregado en PDF y no en Word editable; algunos textos en otra fuente (Arial)</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05"/>
        </w:numPr>
        <w:spacing w:before="0" w:after="160" w:line="240" w:lineRule="auto"/>
        <w:jc w:val="both"/>
      </w:pPr>
      <w:r>
        <w:rPr>
          <w:rFonts w:ascii="Century Gothic" w:hAnsi="Century Gothic" w:cs="Century Gothic" w:eastAsia="Century Gothic"/>
          <w:b/>
          <w:i w:val="0"/>
          <w:sz w:val="20"/>
        </w:rPr>
        <w:t>Coherencia, Unidad de competencia.</w:t>
      </w:r>
      <w:r>
        <w:rPr>
          <w:rFonts w:ascii="Century Gothic" w:hAnsi="Century Gothic" w:cs="Century Gothic" w:eastAsia="Century Gothic"/>
          <w:b w:val="0"/>
          <w:i w:val="0"/>
          <w:sz w:val="20"/>
        </w:rPr>
        <w:t xml:space="preserve"> No menciona el contexto boliviano ni se vincula con el perfil del contador público; es un enunciado genérico de administración. Añadir el contexto de organizaciones públicas y privadas bolivianas y la utilidad del proceso administrativo para la información y el control que usa el contador.</w:t>
      </w:r>
    </w:p>
    <w:p>
      <w:pPr>
        <w:numPr>
          <w:ilvl w:val="0"/>
          <w:numId w:val="905"/>
        </w:numPr>
        <w:spacing w:before="0" w:after="160" w:line="240" w:lineRule="auto"/>
        <w:jc w:val="both"/>
      </w:pPr>
      <w:r>
        <w:rPr>
          <w:rFonts w:ascii="Century Gothic" w:hAnsi="Century Gothic" w:cs="Century Gothic" w:eastAsia="Century Gothic"/>
          <w:b/>
          <w:i w:val="0"/>
          <w:sz w:val="20"/>
        </w:rPr>
        <w:t>Coherencia, Elemento 2 frente a la unidad de competencia.</w:t>
      </w:r>
      <w:r>
        <w:rPr>
          <w:rFonts w:ascii="Century Gothic" w:hAnsi="Century Gothic" w:cs="Century Gothic" w:eastAsia="Century Gothic"/>
          <w:b w:val="0"/>
          <w:i w:val="0"/>
          <w:sz w:val="20"/>
        </w:rPr>
        <w:t xml:space="preserve"> El elemento 2 repite casi literalmente la unidad de competencia («Diseña el proceso administrativo de una organización, planificando…, estructurando…, dirigiendo y controlando…»), por lo que no es una parte de ella. Redactar el elemento 2 como una parte delimitada (por ejemplo, planificación y organización) o formular la unidad de forma más integradora.</w:t>
      </w:r>
    </w:p>
    <w:p>
      <w:pPr>
        <w:numPr>
          <w:ilvl w:val="0"/>
          <w:numId w:val="905"/>
        </w:numPr>
        <w:spacing w:before="0" w:after="160" w:line="240" w:lineRule="auto"/>
        <w:jc w:val="both"/>
      </w:pPr>
      <w:r>
        <w:rPr>
          <w:rFonts w:ascii="Century Gothic" w:hAnsi="Century Gothic" w:cs="Century Gothic" w:eastAsia="Century Gothic"/>
          <w:b/>
          <w:i w:val="0"/>
          <w:sz w:val="20"/>
        </w:rPr>
        <w:t>Coherencia, E1, criterio 2 / evidencias 2.1 y 2.2.</w:t>
      </w:r>
      <w:r>
        <w:rPr>
          <w:rFonts w:ascii="Century Gothic" w:hAnsi="Century Gothic" w:cs="Century Gothic" w:eastAsia="Century Gothic"/>
          <w:b w:val="0"/>
          <w:i w:val="0"/>
          <w:sz w:val="20"/>
        </w:rPr>
        <w:t xml:space="preserve"> El criterio exige examinar la interdependencia de la administración con otras disciplinas, pero ninguna evidencia ni producto la demuestra; 2.1 trata PESTEL y 2.2 un dilema ético. Incluir la interdependencia disciplinaria en una evidencia o quitarla del criterio.</w:t>
      </w:r>
    </w:p>
    <w:p>
      <w:pPr>
        <w:numPr>
          <w:ilvl w:val="0"/>
          <w:numId w:val="905"/>
        </w:numPr>
        <w:spacing w:before="0" w:after="160" w:line="240" w:lineRule="auto"/>
        <w:jc w:val="both"/>
      </w:pPr>
      <w:r>
        <w:rPr>
          <w:rFonts w:ascii="Century Gothic" w:hAnsi="Century Gothic" w:cs="Century Gothic" w:eastAsia="Century Gothic"/>
          <w:b/>
          <w:i w:val="0"/>
          <w:sz w:val="20"/>
        </w:rPr>
        <w:t>Coherencia, E1, evidencia 2.2 / Producto 4.</w:t>
      </w:r>
      <w:r>
        <w:rPr>
          <w:rFonts w:ascii="Century Gothic" w:hAnsi="Century Gothic" w:cs="Century Gothic" w:eastAsia="Century Gothic"/>
          <w:b w:val="0"/>
          <w:i w:val="0"/>
          <w:sz w:val="20"/>
        </w:rPr>
        <w:t xml:space="preserve"> La acción es resolver y defender un dilema ético, pero el producto es un código de ética y un plan de RSE, que no es el resultado tangible de esa acción. Usar como producto el análisis escrito del dilema con la alternativa elegida, o cambiar la evidencia a «Elabora en equipo el código de ética…».</w:t>
      </w:r>
    </w:p>
    <w:p>
      <w:pPr>
        <w:numPr>
          <w:ilvl w:val="0"/>
          <w:numId w:val="905"/>
        </w:numPr>
        <w:spacing w:before="0" w:after="160" w:line="240" w:lineRule="auto"/>
        <w:jc w:val="both"/>
      </w:pPr>
      <w:r>
        <w:rPr>
          <w:rFonts w:ascii="Century Gothic" w:hAnsi="Century Gothic" w:cs="Century Gothic" w:eastAsia="Century Gothic"/>
          <w:b/>
          <w:i w:val="0"/>
          <w:sz w:val="20"/>
        </w:rPr>
        <w:t>Coherencia, E2, evidencia 1.2 / Producto 6.</w:t>
      </w:r>
      <w:r>
        <w:rPr>
          <w:rFonts w:ascii="Century Gothic" w:hAnsi="Century Gothic" w:cs="Century Gothic" w:eastAsia="Century Gothic"/>
          <w:b w:val="0"/>
          <w:i w:val="0"/>
          <w:sz w:val="20"/>
        </w:rPr>
        <w:t xml:space="preserve"> El Producto 6 tiene nombre genérico («Documento formal de aplicación de los conocimientos básicos del proceso administrativo»), su descripción está redactada como acción («Aplica herramientas…») y se superpone con el Producto 5; su rúbrica incluye un criterio genérico («Calidad de la documentación»). Nombrar el documento concreto (por ejemplo, «Plan operativo con su matriz de control de gestión del caso») y ajustar la rúbrica a ese contenido.</w:t>
      </w:r>
    </w:p>
    <w:p>
      <w:pPr>
        <w:numPr>
          <w:ilvl w:val="0"/>
          <w:numId w:val="905"/>
        </w:numPr>
        <w:spacing w:before="0" w:after="160" w:line="240" w:lineRule="auto"/>
        <w:jc w:val="both"/>
      </w:pPr>
      <w:r>
        <w:rPr>
          <w:rFonts w:ascii="Century Gothic" w:hAnsi="Century Gothic" w:cs="Century Gothic" w:eastAsia="Century Gothic"/>
          <w:b/>
          <w:i w:val="0"/>
          <w:sz w:val="20"/>
        </w:rPr>
        <w:t>Coherencia, E2, evidencia 2.2 / Producto 8.</w:t>
      </w:r>
      <w:r>
        <w:rPr>
          <w:rFonts w:ascii="Century Gothic" w:hAnsi="Century Gothic" w:cs="Century Gothic" w:eastAsia="Century Gothic"/>
          <w:b w:val="0"/>
          <w:i w:val="0"/>
          <w:sz w:val="20"/>
        </w:rPr>
        <w:t xml:space="preserve"> «Resolución de casos» nombra una actividad, no el documento; la descripción sí identifica un documento concreto (bitácora de decisiones con acta y plan de comunicación). Renombrar como «Bitácora de decisiones con acta de reunión directiva y plan de comunicación interna».</w:t>
      </w:r>
    </w:p>
    <w:p>
      <w:pPr>
        <w:numPr>
          <w:ilvl w:val="0"/>
          <w:numId w:val="905"/>
        </w:numPr>
        <w:spacing w:before="0" w:after="160" w:line="240" w:lineRule="auto"/>
        <w:jc w:val="both"/>
      </w:pPr>
      <w:r>
        <w:rPr>
          <w:rFonts w:ascii="Century Gothic" w:hAnsi="Century Gothic" w:cs="Century Gothic" w:eastAsia="Century Gothic"/>
          <w:b/>
          <w:i w:val="0"/>
          <w:sz w:val="20"/>
        </w:rPr>
        <w:t>Coherencia, E1 y E2, evidencias y Productos 3 y 5.</w:t>
      </w:r>
      <w:r>
        <w:rPr>
          <w:rFonts w:ascii="Century Gothic" w:hAnsi="Century Gothic" w:cs="Century Gothic" w:eastAsia="Century Gothic"/>
          <w:b w:val="0"/>
          <w:i w:val="0"/>
          <w:sz w:val="20"/>
        </w:rPr>
        <w:t xml:space="preserve"> El análisis PESTEL se evalúa dos veces (Producto 3 y diagnóstico FODA/PESTEL del Producto 5). Reutilizar el PESTEL del Producto 3 como insumo del Producto 5 y evaluar en este solo el FODA y la filosofía organizacional.</w:t>
      </w:r>
    </w:p>
    <w:p>
      <w:pPr>
        <w:numPr>
          <w:ilvl w:val="0"/>
          <w:numId w:val="905"/>
        </w:numPr>
        <w:spacing w:before="0" w:after="160" w:line="240" w:lineRule="auto"/>
        <w:jc w:val="both"/>
      </w:pPr>
      <w:r>
        <w:rPr>
          <w:rFonts w:ascii="Century Gothic" w:hAnsi="Century Gothic" w:cs="Century Gothic" w:eastAsia="Century Gothic"/>
          <w:b/>
          <w:i w:val="0"/>
          <w:sz w:val="20"/>
        </w:rPr>
        <w:t>Coherencia, E1 contenido 14 y E2 contenido 24 / evidencias y rúbricas.</w:t>
      </w:r>
      <w:r>
        <w:rPr>
          <w:rFonts w:ascii="Century Gothic" w:hAnsi="Century Gothic" w:cs="Century Gothic" w:eastAsia="Century Gothic"/>
          <w:b w:val="0"/>
          <w:i w:val="0"/>
          <w:sz w:val="20"/>
        </w:rPr>
        <w:t xml:space="preserve"> Los dos contenidos (P, T) sobre hoja de cálculo e IA no se reflejan en ninguna evidencia ni criterio de rúbrica. Pedir en alguna evidencia (por ejemplo, 2.1 de E2 o el Producto 5) el uso de hoja de cálculo o IA con verificación, y evaluarlo en la rúbrica.</w:t>
      </w:r>
    </w:p>
    <w:p>
      <w:pPr>
        <w:numPr>
          <w:ilvl w:val="0"/>
          <w:numId w:val="905"/>
        </w:numPr>
        <w:spacing w:before="0" w:after="160" w:line="240" w:lineRule="auto"/>
        <w:jc w:val="both"/>
      </w:pPr>
      <w:r>
        <w:rPr>
          <w:rFonts w:ascii="Century Gothic" w:hAnsi="Century Gothic" w:cs="Century Gothic" w:eastAsia="Century Gothic"/>
          <w:b/>
          <w:i w:val="0"/>
          <w:sz w:val="20"/>
        </w:rPr>
        <w:t>Contenido técnico, Bibliografía complementaria, Stoner.</w:t>
      </w:r>
      <w:r>
        <w:rPr>
          <w:rFonts w:ascii="Century Gothic" w:hAnsi="Century Gothic" w:cs="Century Gothic" w:eastAsia="Century Gothic"/>
          <w:b w:val="0"/>
          <w:i w:val="0"/>
          <w:sz w:val="20"/>
        </w:rPr>
        <w:t xml:space="preserve"> La obra de Stoner, Freeman y Gilbert se titula «Administración» (Prentice Hall/Pearson); «Administración: una perspectiva global» y McGraw-Hill corresponden a Koontz y Weihrich, que aparecen en la línea anterior. Corregir título, editorial y año de la referencia de Stoner, Freeman y Gilbert.</w:t>
      </w:r>
    </w:p>
    <w:p>
      <w:pPr>
        <w:numPr>
          <w:ilvl w:val="0"/>
          <w:numId w:val="905"/>
        </w:numPr>
        <w:spacing w:before="0" w:after="160" w:line="240" w:lineRule="auto"/>
        <w:jc w:val="both"/>
      </w:pPr>
      <w:r>
        <w:rPr>
          <w:rFonts w:ascii="Century Gothic" w:hAnsi="Century Gothic" w:cs="Century Gothic" w:eastAsia="Century Gothic"/>
          <w:b/>
          <w:i w:val="0"/>
          <w:sz w:val="20"/>
        </w:rPr>
        <w:t>Contenido técnico, Bibliografía básica, Hernández y Rodríguez.</w:t>
      </w:r>
      <w:r>
        <w:rPr>
          <w:rFonts w:ascii="Century Gothic" w:hAnsi="Century Gothic" w:cs="Century Gothic" w:eastAsia="Century Gothic"/>
          <w:b w:val="0"/>
          <w:i w:val="0"/>
          <w:sz w:val="20"/>
        </w:rPr>
        <w:t xml:space="preserve"> «Hernández y Rodríguez» es el apellido compuesto de un solo autor (Sergio Hernández y Rodríguez); la cita «Hernández, S. y Rodríguez, G.» parece desdoblarlo en dos autores (el coautor de la edición de McGraw-Hill es G. Palafox de Anda). Verificar y citar como «Hernández y Rodríguez, S. y Palafox de Anda, G. (2012). Administración…».</w:t>
      </w:r>
    </w:p>
    <w:p>
      <w:pPr>
        <w:numPr>
          <w:ilvl w:val="0"/>
          <w:numId w:val="905"/>
        </w:numPr>
        <w:spacing w:before="0" w:after="160" w:line="240" w:lineRule="auto"/>
        <w:jc w:val="both"/>
      </w:pPr>
      <w:r>
        <w:rPr>
          <w:rFonts w:ascii="Century Gothic" w:hAnsi="Century Gothic" w:cs="Century Gothic" w:eastAsia="Century Gothic"/>
          <w:b/>
          <w:i w:val="0"/>
          <w:sz w:val="20"/>
        </w:rPr>
        <w:t>Marcas de saber, E2, Tema 9 (Dirección), contenidos 25 a 34.</w:t>
      </w:r>
      <w:r>
        <w:rPr>
          <w:rFonts w:ascii="Century Gothic" w:hAnsi="Century Gothic" w:cs="Century Gothic" w:eastAsia="Century Gothic"/>
          <w:b w:val="0"/>
          <w:i w:val="0"/>
          <w:sz w:val="20"/>
        </w:rPr>
        <w:t xml:space="preserve"> Los diez contenidos de dirección están solo en (C), aunque la evidencia 2.2 pide conducir una reunión directiva; en E2, 27 de 39 contenidos son solo (C).</w:t>
      </w:r>
    </w:p>
    <w:p>
      <w:pPr>
        <w:numPr>
          <w:ilvl w:val="0"/>
          <w:numId w:val="905"/>
        </w:numPr>
        <w:spacing w:before="0" w:after="160" w:line="240" w:lineRule="auto"/>
        <w:jc w:val="both"/>
      </w:pPr>
      <w:r>
        <w:rPr>
          <w:rFonts w:ascii="Century Gothic" w:hAnsi="Century Gothic" w:cs="Century Gothic" w:eastAsia="Century Gothic"/>
          <w:b/>
          <w:i w:val="0"/>
          <w:sz w:val="20"/>
        </w:rPr>
        <w:t>Marcas de saber, E1, contenido 5.</w:t>
      </w:r>
      <w:r>
        <w:rPr>
          <w:rFonts w:ascii="Century Gothic" w:hAnsi="Century Gothic" w:cs="Century Gothic" w:eastAsia="Century Gothic"/>
          <w:b w:val="0"/>
          <w:i w:val="0"/>
          <w:sz w:val="20"/>
        </w:rPr>
        <w:t xml:space="preserve"> «Liderazgo: valores, principios y motivaciones. (C, A)» solo describe el tema, sin conducta observable que justifique (A).</w:t>
      </w:r>
    </w:p>
    <w:p>
      <w:pPr>
        <w:numPr>
          <w:ilvl w:val="0"/>
          <w:numId w:val="905"/>
        </w:numPr>
        <w:spacing w:before="0" w:after="160" w:line="240" w:lineRule="auto"/>
        <w:jc w:val="both"/>
      </w:pPr>
      <w:r>
        <w:rPr>
          <w:rFonts w:ascii="Century Gothic" w:hAnsi="Century Gothic" w:cs="Century Gothic" w:eastAsia="Century Gothic"/>
          <w:b/>
          <w:i w:val="0"/>
          <w:sz w:val="20"/>
        </w:rPr>
        <w:t>Marcas de saber, E2, contenido 1.</w:t>
      </w:r>
      <w:r>
        <w:rPr>
          <w:rFonts w:ascii="Century Gothic" w:hAnsi="Century Gothic" w:cs="Century Gothic" w:eastAsia="Century Gothic"/>
          <w:b w:val="0"/>
          <w:i w:val="0"/>
          <w:sz w:val="20"/>
        </w:rPr>
        <w:t xml:space="preserve"> «Universalidad, principios y beneficios de la aplicación del proceso administrativo. (C, P)» es conceptual; la marca (P) no tiene sustento.</w:t>
      </w:r>
    </w:p>
    <w:p>
      <w:pPr>
        <w:numPr>
          <w:ilvl w:val="0"/>
          <w:numId w:val="905"/>
        </w:numPr>
        <w:spacing w:before="0" w:after="160" w:line="240" w:lineRule="auto"/>
        <w:jc w:val="both"/>
      </w:pPr>
      <w:r>
        <w:rPr>
          <w:rFonts w:ascii="Century Gothic" w:hAnsi="Century Gothic" w:cs="Century Gothic" w:eastAsia="Century Gothic"/>
          <w:b/>
          <w:i w:val="0"/>
          <w:sz w:val="20"/>
        </w:rPr>
        <w:t>Circunstanciales, E2, conocimientos circunstanciales.</w:t>
      </w:r>
      <w:r>
        <w:rPr>
          <w:rFonts w:ascii="Century Gothic" w:hAnsi="Century Gothic" w:cs="Century Gothic" w:eastAsia="Century Gothic"/>
          <w:b w:val="0"/>
          <w:i w:val="0"/>
          <w:sz w:val="20"/>
        </w:rPr>
        <w:t xml:space="preserve"> «Simulación del proceso administrativo…» es una actividad del propio curso y «Modelos básicos de organización» repite los contenidos 15 y 16; ninguno es un conocimiento externo que la asignatura necesite.</w:t>
      </w:r>
    </w:p>
    <w:p>
      <w:pPr>
        <w:numPr>
          <w:ilvl w:val="0"/>
          <w:numId w:val="905"/>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Se llenaron HP = 160 y TOTAL = 240: además de que deben ir en blanco, el total no coincide con la suma de las columnas llenas (160) ni con las 160 h/año de la malla.</w:t>
      </w:r>
    </w:p>
    <w:p>
      <w:pPr>
        <w:numPr>
          <w:ilvl w:val="0"/>
          <w:numId w:val="905"/>
        </w:numPr>
        <w:spacing w:before="0" w:after="160" w:line="240" w:lineRule="auto"/>
        <w:jc w:val="both"/>
      </w:pPr>
      <w:r>
        <w:rPr>
          <w:rFonts w:ascii="Century Gothic" w:hAnsi="Century Gothic" w:cs="Century Gothic" w:eastAsia="Century Gothic"/>
          <w:b/>
          <w:i w:val="0"/>
          <w:sz w:val="20"/>
        </w:rPr>
        <w:t>Incoherencia interna, Verificación manual de estructura.</w:t>
      </w:r>
      <w:r>
        <w:rPr>
          <w:rFonts w:ascii="Century Gothic" w:hAnsi="Century Gothic" w:cs="Century Gothic" w:eastAsia="Century Gothic"/>
          <w:b w:val="0"/>
          <w:i w:val="0"/>
          <w:sz w:val="20"/>
        </w:rPr>
        <w:t xml:space="preserve"> Dos elementos, cada uno con 2 criterios, 4 evidencias (1.1, 1.2, 2.1, 2.2) y 4 productos (Productos 1 a 8). Las 8 rúbricas tienen 3 criterios y niveles 1–50, 51–80 y 81–100. Pesos enteros: 9 + 9 + 9 + 8 + 17 + 16 + 16 + 16 = 100 %. Todos los contenidos (14 en E1 y 39 en E2) llevan marca; el aviso automático de «22 de 75 contenidos sin marca» es un error de conversión del PDF.</w:t>
      </w:r>
    </w:p>
    <w:p>
      <w:pPr>
        <w:numPr>
          <w:ilvl w:val="0"/>
          <w:numId w:val="905"/>
        </w:numPr>
        <w:spacing w:before="0" w:after="160" w:line="240" w:lineRule="auto"/>
        <w:jc w:val="both"/>
      </w:pPr>
      <w:r>
        <w:rPr>
          <w:rFonts w:ascii="Century Gothic" w:hAnsi="Century Gothic" w:cs="Century Gothic" w:eastAsia="Century Gothic"/>
          <w:b/>
          <w:i w:val="0"/>
          <w:sz w:val="20"/>
        </w:rPr>
        <w:t>Incoherencia interna, E2, contenidos frente a ADM-201.</w:t>
      </w:r>
      <w:r>
        <w:rPr>
          <w:rFonts w:ascii="Century Gothic" w:hAnsi="Century Gothic" w:cs="Century Gothic" w:eastAsia="Century Gothic"/>
          <w:b w:val="0"/>
          <w:i w:val="0"/>
          <w:sz w:val="20"/>
        </w:rPr>
        <w:t xml:space="preserve"> El proceso administrativo completo (planificación, organización, integración, dirección y control) se repite casi igual en ADM-201 (Tema 3 de E1 y Temas 4 a 8 de E2), sin diferenciar la profundidad.</w:t>
      </w:r>
    </w:p>
    <w:p>
      <w:pPr>
        <w:numPr>
          <w:ilvl w:val="0"/>
          <w:numId w:val="905"/>
        </w:numPr>
        <w:spacing w:before="0" w:after="160" w:line="240" w:lineRule="auto"/>
        <w:jc w:val="both"/>
      </w:pPr>
      <w:r>
        <w:rPr>
          <w:rFonts w:ascii="Century Gothic" w:hAnsi="Century Gothic" w:cs="Century Gothic" w:eastAsia="Century Gothic"/>
          <w:b/>
          <w:i w:val="0"/>
          <w:sz w:val="20"/>
        </w:rPr>
        <w:t>Incoherencia interna, Bibliografía básica.</w:t>
      </w:r>
      <w:r>
        <w:rPr>
          <w:rFonts w:ascii="Century Gothic" w:hAnsi="Century Gothic" w:cs="Century Gothic" w:eastAsia="Century Gothic"/>
          <w:b w:val="0"/>
          <w:i w:val="0"/>
          <w:sz w:val="20"/>
        </w:rPr>
        <w:t xml:space="preserve"> La Ley N.º 1178 figura en la bibliografía básica, pero ningún contenido trata la administración y el control gubernamental.</w:t>
      </w:r>
    </w:p>
    <w:p>
      <w:pPr>
        <w:numPr>
          <w:ilvl w:val="0"/>
          <w:numId w:val="905"/>
        </w:numPr>
        <w:spacing w:before="0" w:after="200" w:line="240" w:lineRule="auto"/>
        <w:jc w:val="both"/>
      </w:pPr>
      <w:r>
        <w:rPr>
          <w:rFonts w:ascii="Century Gothic" w:hAnsi="Century Gothic" w:cs="Century Gothic" w:eastAsia="Century Gothic"/>
          <w:b/>
          <w:i w:val="0"/>
          <w:sz w:val="20"/>
        </w:rPr>
        <w:t>Incoherencia interna, Niveles de logro.</w:t>
      </w:r>
      <w:r>
        <w:rPr>
          <w:rFonts w:ascii="Century Gothic" w:hAnsi="Century Gothic" w:cs="Century Gothic" w:eastAsia="Century Gothic"/>
          <w:b w:val="0"/>
          <w:i w:val="0"/>
          <w:sz w:val="20"/>
        </w:rPr>
        <w:t xml:space="preserve"> El formato de los porcentajes es desigual («9%» en los Productos 1 a 4 y «17 %» o «16 %» en los Productos 5 a 8).</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7.4</w:t>
        <w:tab/>
      </w:r>
      <w:r>
        <w:rPr>
          <w:rFonts w:ascii="Century Gothic" w:hAnsi="Century Gothic" w:cs="Century Gothic" w:eastAsia="Century Gothic"/>
          <w:b/>
          <w:i w:val="0"/>
          <w:sz w:val="22"/>
        </w:rPr>
        <w:t>DER-101 Derecho Comercial y Corporativo</w:t>
      </w:r>
    </w:p>
    <w:p>
      <w:pPr>
        <w:spacing w:before="0" w:after="200" w:line="240" w:lineRule="auto"/>
        <w:jc w:val="both"/>
      </w:pPr>
      <w:r>
        <w:rPr>
          <w:rFonts w:ascii="Century Gothic" w:hAnsi="Century Gothic" w:cs="Century Gothic" w:eastAsia="Century Gothic"/>
          <w:b w:val="0"/>
          <w:i w:val="0"/>
          <w:sz w:val="20"/>
        </w:rPr>
        <w:t xml:space="preserve">Archivo: FINAL DER-101 DERECHO COMERCIAL.docx. Cumple 18 de 23 controles, 2 de forma parcial y no cumple 3.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completo y bien anclado en la normativa boliviana (Código de Comercio, SEPREC, AEMP, Ley del Mercado de Valores), con buena cadena en E1 a E3. Los puntos débiles son E4, con contenidos mínimos y productos duplicados, varias rúbricas que no corresponden a su producto y marcas (T) sin operación de herramientas; el Código de Comercio no debe figurar como conocimiento circunstancial.</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(80, 8, 8, 16, 8, 120)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procesos en gerundio; 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06"/>
        </w:numPr>
        <w:spacing w:before="0" w:after="160" w:line="240" w:lineRule="auto"/>
        <w:jc w:val="both"/>
      </w:pPr>
      <w:r>
        <w:rPr>
          <w:rFonts w:ascii="Century Gothic" w:hAnsi="Century Gothic" w:cs="Century Gothic" w:eastAsia="Century Gothic"/>
          <w:b/>
          <w:i w:val="0"/>
          <w:sz w:val="20"/>
        </w:rPr>
        <w:t>Coherencia, E1, criterio 1, evidencia 1.2 / Producto 2 y su rúbrica.</w:t>
      </w:r>
      <w:r>
        <w:rPr>
          <w:rFonts w:ascii="Century Gothic" w:hAnsi="Century Gothic" w:cs="Century Gothic" w:eastAsia="Century Gothic"/>
          <w:b w:val="0"/>
          <w:i w:val="0"/>
          <w:sz w:val="20"/>
        </w:rPr>
        <w:t xml:space="preserve"> La evidencia 1.2 compara el documento electrónico con el documento comercial tradicional, pero el Producto 2 es una 'Ficha de resumen de una operación de comercio electrónico' y su rúbrica evalúa 'Bienes mercantiles' y 'Trabajo en equipo', aunque la evidencia no es en equipo ni trata bienes mercantiles. Alinear: 'Cuadro comparativo del documento electrónico y del documento comercial tradicional', con criterios de rúbrica sobre requisitos, valor probatorio y firma digital.</w:t>
      </w:r>
    </w:p>
    <w:p>
      <w:pPr>
        <w:numPr>
          <w:ilvl w:val="0"/>
          <w:numId w:val="906"/>
        </w:numPr>
        <w:spacing w:before="0" w:after="160" w:line="240" w:lineRule="auto"/>
        <w:jc w:val="both"/>
      </w:pPr>
      <w:r>
        <w:rPr>
          <w:rFonts w:ascii="Century Gothic" w:hAnsi="Century Gothic" w:cs="Century Gothic" w:eastAsia="Century Gothic"/>
          <w:b/>
          <w:i w:val="0"/>
          <w:sz w:val="20"/>
        </w:rPr>
        <w:t>Coherencia, E2, criterio 1, evidencia 1.1 / Producto 5 y su rúbrica.</w:t>
      </w:r>
      <w:r>
        <w:rPr>
          <w:rFonts w:ascii="Century Gothic" w:hAnsi="Century Gothic" w:cs="Century Gothic" w:eastAsia="Century Gothic"/>
          <w:b w:val="0"/>
          <w:i w:val="0"/>
          <w:sz w:val="20"/>
        </w:rPr>
        <w:t xml:space="preserve"> El producto se llama 'Informe de revisión...' en la evidencia y 'Informe de evaluación...' en la rúbrica; además la rúbrica incluye 'Trabajo en equipo' con un Destacado ('justifica la elección del tipo societario') ajeno a la revisión individual de un contrato social. Unificar el nombre y cambiar el tercer criterio por uno propio del producto (por ejemplo, 'Fundamento de las observaciones').</w:t>
      </w:r>
    </w:p>
    <w:p>
      <w:pPr>
        <w:numPr>
          <w:ilvl w:val="0"/>
          <w:numId w:val="906"/>
        </w:numPr>
        <w:spacing w:before="0" w:after="160" w:line="240" w:lineRule="auto"/>
        <w:jc w:val="both"/>
      </w:pPr>
      <w:r>
        <w:rPr>
          <w:rFonts w:ascii="Century Gothic" w:hAnsi="Century Gothic" w:cs="Century Gothic" w:eastAsia="Century Gothic"/>
          <w:b/>
          <w:i w:val="0"/>
          <w:sz w:val="20"/>
        </w:rPr>
        <w:t>Coherencia, E2, criterio 1, evidencia 1.2 / Producto 6.</w:t>
      </w:r>
      <w:r>
        <w:rPr>
          <w:rFonts w:ascii="Century Gothic" w:hAnsi="Century Gothic" w:cs="Century Gothic" w:eastAsia="Century Gothic"/>
          <w:b w:val="0"/>
          <w:i w:val="0"/>
          <w:sz w:val="20"/>
        </w:rPr>
        <w:t xml:space="preserve"> Se compara la asociación accidental como si fuera un tipo societario, y se omite la sociedad en comandita por acciones, que sí figura en los contenidos. Sustituir la asociación accidental por la sociedad en comandita por acciones o titular el producto 'formas asociativas'.</w:t>
      </w:r>
    </w:p>
    <w:p>
      <w:pPr>
        <w:numPr>
          <w:ilvl w:val="0"/>
          <w:numId w:val="906"/>
        </w:numPr>
        <w:spacing w:before="0" w:after="160" w:line="240" w:lineRule="auto"/>
        <w:jc w:val="both"/>
      </w:pPr>
      <w:r>
        <w:rPr>
          <w:rFonts w:ascii="Century Gothic" w:hAnsi="Century Gothic" w:cs="Century Gothic" w:eastAsia="Century Gothic"/>
          <w:b/>
          <w:i w:val="0"/>
          <w:sz w:val="20"/>
        </w:rPr>
        <w:t>Coherencia, E2, Producto 7 / rúbrica, criterio 'Ética profesional'.</w:t>
      </w:r>
      <w:r>
        <w:rPr>
          <w:rFonts w:ascii="Century Gothic" w:hAnsi="Century Gothic" w:cs="Century Gothic" w:eastAsia="Century Gothic"/>
          <w:b w:val="0"/>
          <w:i w:val="0"/>
          <w:sz w:val="20"/>
        </w:rPr>
        <w:t xml:space="preserve"> El criterio se llama 'Ética profesional' pero sus niveles evalúan la relación con el control interno, la rendición de cuentas y la sostenibilidad, no una conducta ética. Renombrarlo ('Control y rendición de cuentas') o redactar niveles con conducta ética observable.</w:t>
      </w:r>
    </w:p>
    <w:p>
      <w:pPr>
        <w:numPr>
          <w:ilvl w:val="0"/>
          <w:numId w:val="906"/>
        </w:numPr>
        <w:spacing w:before="0" w:after="160" w:line="240" w:lineRule="auto"/>
        <w:jc w:val="both"/>
      </w:pPr>
      <w:r>
        <w:rPr>
          <w:rFonts w:ascii="Century Gothic" w:hAnsi="Century Gothic" w:cs="Century Gothic" w:eastAsia="Century Gothic"/>
          <w:b/>
          <w:i w:val="0"/>
          <w:sz w:val="20"/>
        </w:rPr>
        <w:t>Coherencia, E2, criterio 2.</w:t>
      </w:r>
      <w:r>
        <w:rPr>
          <w:rFonts w:ascii="Century Gothic" w:hAnsi="Century Gothic" w:cs="Century Gothic" w:eastAsia="Century Gothic"/>
          <w:b w:val="0"/>
          <w:i w:val="0"/>
          <w:sz w:val="20"/>
        </w:rPr>
        <w:t xml:space="preserve"> El criterio exige distinguir las empresas públicas, mixtas y sociales y la protección de la empresa mercantil, pero ninguna evidencia ni producto lo trabaja (solo aparece en un Destacado de la rúbrica 8). Acotar el criterio o incluir esa distinción en la evidencia 2.2.</w:t>
      </w:r>
    </w:p>
    <w:p>
      <w:pPr>
        <w:numPr>
          <w:ilvl w:val="0"/>
          <w:numId w:val="906"/>
        </w:numPr>
        <w:spacing w:before="0" w:after="160" w:line="240" w:lineRule="auto"/>
        <w:jc w:val="both"/>
      </w:pPr>
      <w:r>
        <w:rPr>
          <w:rFonts w:ascii="Century Gothic" w:hAnsi="Century Gothic" w:cs="Century Gothic" w:eastAsia="Century Gothic"/>
          <w:b/>
          <w:i w:val="0"/>
          <w:sz w:val="20"/>
        </w:rPr>
        <w:t>Coherencia, E4, criterio 1, evidencia 1.1 / Producto 13 y su rúbrica.</w:t>
      </w:r>
      <w:r>
        <w:rPr>
          <w:rFonts w:ascii="Century Gothic" w:hAnsi="Century Gothic" w:cs="Century Gothic" w:eastAsia="Century Gothic"/>
          <w:b w:val="0"/>
          <w:i w:val="0"/>
          <w:sz w:val="20"/>
        </w:rPr>
        <w:t xml:space="preserve"> La evidencia y el producto son la revisión de un contrato, pero la rúbrica evalúa que 'Redacta las cláusulas esenciales' y que 'Usa con propiedad la terminología en inglés', propios de la redacción de un contrato internacional. Redactar criterios de revisión: identificación de cláusulas, observaciones fundadas en el Código de Comercio y propuesta de ajuste.</w:t>
      </w:r>
    </w:p>
    <w:p>
      <w:pPr>
        <w:numPr>
          <w:ilvl w:val="0"/>
          <w:numId w:val="906"/>
        </w:numPr>
        <w:spacing w:before="0" w:after="160" w:line="240" w:lineRule="auto"/>
        <w:jc w:val="both"/>
      </w:pPr>
      <w:r>
        <w:rPr>
          <w:rFonts w:ascii="Century Gothic" w:hAnsi="Century Gothic" w:cs="Century Gothic" w:eastAsia="Century Gothic"/>
          <w:b/>
          <w:i w:val="0"/>
          <w:sz w:val="20"/>
        </w:rPr>
        <w:t>Coherencia, E4, criterio 2, evidencias 2.1 y 2.2 / Productos 15 y 16.</w:t>
      </w:r>
      <w:r>
        <w:rPr>
          <w:rFonts w:ascii="Century Gothic" w:hAnsi="Century Gothic" w:cs="Century Gothic" w:eastAsia="Century Gothic"/>
          <w:b w:val="0"/>
          <w:i w:val="0"/>
          <w:sz w:val="20"/>
        </w:rPr>
        <w:t xml:space="preserve"> Los dos productos son casi idénticos (cuadro comparativo e informe de las diferencias de los tipos de contrato); la rúbrica 15 evalúa 'Claridad de la exposición' de un cuadro, y la 16 'Propone una solución equitativa al conflicto' sin que exista un conflicto en el producto. Convertir 2.2 en un caso de incumplimiento contractual (transporte o contrato bancario) con su informe de solución.</w:t>
      </w:r>
    </w:p>
    <w:p>
      <w:pPr>
        <w:numPr>
          <w:ilvl w:val="0"/>
          <w:numId w:val="906"/>
        </w:numPr>
        <w:spacing w:before="0" w:after="160" w:line="240" w:lineRule="auto"/>
        <w:jc w:val="both"/>
      </w:pPr>
      <w:r>
        <w:rPr>
          <w:rFonts w:ascii="Century Gothic" w:hAnsi="Century Gothic" w:cs="Century Gothic" w:eastAsia="Century Gothic"/>
          <w:b/>
          <w:i w:val="0"/>
          <w:sz w:val="20"/>
        </w:rPr>
        <w:t>Coherencia, E4, contenidos.</w:t>
      </w:r>
      <w:r>
        <w:rPr>
          <w:rFonts w:ascii="Century Gothic" w:hAnsi="Century Gothic" w:cs="Century Gothic" w:eastAsia="Century Gothic"/>
          <w:b w:val="0"/>
          <w:i w:val="0"/>
          <w:sz w:val="20"/>
        </w:rPr>
        <w:t xml:space="preserve"> El elemento anuncia contratos de compraventa, de transporte y bancarios, pero los contenidos se reducen a tres líneas genéricas ('Contratos comerciales', 'Obligaciones comerciales', 'Distintas modalidades de contrato') sin desarrollar esos contratos. Desglosar los contenidos por contrato (compraventa, transporte, contratos bancarios, comisión, consignación) con sus marcas.</w:t>
      </w:r>
    </w:p>
    <w:p>
      <w:pPr>
        <w:numPr>
          <w:ilvl w:val="0"/>
          <w:numId w:val="906"/>
        </w:numPr>
        <w:spacing w:before="0" w:after="160" w:line="240" w:lineRule="auto"/>
        <w:jc w:val="both"/>
      </w:pPr>
      <w:r>
        <w:rPr>
          <w:rFonts w:ascii="Century Gothic" w:hAnsi="Century Gothic" w:cs="Century Gothic" w:eastAsia="Century Gothic"/>
          <w:b/>
          <w:i w:val="0"/>
          <w:sz w:val="20"/>
        </w:rPr>
        <w:t>Contenido técnico, E2, conocimientos circunstanciales / Bibliografía básica.</w:t>
      </w:r>
      <w:r>
        <w:rPr>
          <w:rFonts w:ascii="Century Gothic" w:hAnsi="Century Gothic" w:cs="Century Gothic" w:eastAsia="Century Gothic"/>
          <w:b w:val="0"/>
          <w:i w:val="0"/>
          <w:sz w:val="20"/>
        </w:rPr>
        <w:t xml:space="preserve"> La AEMP aparece como 'Autoridad de Fiscalización de Empresas' en los circunstanciales y como 'Autoridad de Empresas' en la bibliografía. Usar en ambos lugares 'Autoridad de Fiscalización de Empresas (AEMP)'.</w:t>
      </w:r>
    </w:p>
    <w:p>
      <w:pPr>
        <w:numPr>
          <w:ilvl w:val="0"/>
          <w:numId w:val="906"/>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Incluye la Ley de Seguros N° 1883, que no corresponde a ningún contenido de la asignatura (el régimen de seguros se estudia en CPA-403); además las normas no llevan año, como pide la guía. Retirar la Ley N° 1883 y añadir el año o la versión vigente de cada norma.</w:t>
      </w:r>
    </w:p>
    <w:p>
      <w:pPr>
        <w:numPr>
          <w:ilvl w:val="0"/>
          <w:numId w:val="906"/>
        </w:numPr>
        <w:spacing w:before="0" w:after="160" w:line="240" w:lineRule="auto"/>
        <w:jc w:val="both"/>
      </w:pPr>
      <w:r>
        <w:rPr>
          <w:rFonts w:ascii="Century Gothic" w:hAnsi="Century Gothic" w:cs="Century Gothic" w:eastAsia="Century Gothic"/>
          <w:b/>
          <w:i w:val="0"/>
          <w:sz w:val="20"/>
        </w:rPr>
        <w:t>Marcas de saber, E3, contenidos: 'Mercado de valores... operaciones de bolsa. (C, T)'.</w:t>
      </w:r>
      <w:r>
        <w:rPr>
          <w:rFonts w:ascii="Century Gothic" w:hAnsi="Century Gothic" w:cs="Century Gothic" w:eastAsia="Century Gothic"/>
          <w:b w:val="0"/>
          <w:i w:val="0"/>
          <w:sz w:val="20"/>
        </w:rPr>
        <w:t xml:space="preserve"> La (T) no tiene sustento: el contenido describe el mercado y la bolsa sin operar ninguna herramienta o plataforma.</w:t>
      </w:r>
    </w:p>
    <w:p>
      <w:pPr>
        <w:numPr>
          <w:ilvl w:val="0"/>
          <w:numId w:val="906"/>
        </w:numPr>
        <w:spacing w:before="0" w:after="160" w:line="240" w:lineRule="auto"/>
        <w:jc w:val="both"/>
      </w:pPr>
      <w:r>
        <w:rPr>
          <w:rFonts w:ascii="Century Gothic" w:hAnsi="Century Gothic" w:cs="Century Gothic" w:eastAsia="Century Gothic"/>
          <w:b/>
          <w:i w:val="0"/>
          <w:sz w:val="20"/>
        </w:rPr>
        <w:t>Marcas de saber, E1, contenidos: 'El SEPREC y el registro de comercio. (C, T)'.</w:t>
      </w:r>
      <w:r>
        <w:rPr>
          <w:rFonts w:ascii="Century Gothic" w:hAnsi="Century Gothic" w:cs="Century Gothic" w:eastAsia="Century Gothic"/>
          <w:b w:val="0"/>
          <w:i w:val="0"/>
          <w:sz w:val="20"/>
        </w:rPr>
        <w:t xml:space="preserve"> Solo menciona la institución; la (T) correspondería si se opera la plataforma virtual del SEPREC en un trámite.</w:t>
      </w:r>
    </w:p>
    <w:p>
      <w:pPr>
        <w:numPr>
          <w:ilvl w:val="0"/>
          <w:numId w:val="906"/>
        </w:numPr>
        <w:spacing w:before="0" w:after="160" w:line="240" w:lineRule="auto"/>
        <w:jc w:val="both"/>
      </w:pPr>
      <w:r>
        <w:rPr>
          <w:rFonts w:ascii="Century Gothic" w:hAnsi="Century Gothic" w:cs="Century Gothic" w:eastAsia="Century Gothic"/>
          <w:b/>
          <w:i w:val="0"/>
          <w:sz w:val="20"/>
        </w:rPr>
        <w:t>Marcas de saber, E1, contenidos: 'Derecho de la competencia... (C, A)'.</w:t>
      </w:r>
      <w:r>
        <w:rPr>
          <w:rFonts w:ascii="Century Gothic" w:hAnsi="Century Gothic" w:cs="Century Gothic" w:eastAsia="Century Gothic"/>
          <w:b w:val="0"/>
          <w:i w:val="0"/>
          <w:sz w:val="20"/>
        </w:rPr>
        <w:t xml:space="preserve"> Describe la legislación de competencia desleal sin conducta observable; es (C) o debe redactarse la conducta esperada.</w:t>
      </w:r>
    </w:p>
    <w:p>
      <w:pPr>
        <w:numPr>
          <w:ilvl w:val="0"/>
          <w:numId w:val="906"/>
        </w:numPr>
        <w:spacing w:before="0" w:after="160" w:line="240" w:lineRule="auto"/>
        <w:jc w:val="both"/>
      </w:pPr>
      <w:r>
        <w:rPr>
          <w:rFonts w:ascii="Century Gothic" w:hAnsi="Century Gothic" w:cs="Century Gothic" w:eastAsia="Century Gothic"/>
          <w:b/>
          <w:i w:val="0"/>
          <w:sz w:val="20"/>
        </w:rPr>
        <w:t>Marcas de saber, Asignatura en conjunto.</w:t>
      </w:r>
      <w:r>
        <w:rPr>
          <w:rFonts w:ascii="Century Gothic" w:hAnsi="Century Gothic" w:cs="Century Gothic" w:eastAsia="Century Gothic"/>
          <w:b w:val="0"/>
          <w:i w:val="0"/>
          <w:sz w:val="20"/>
        </w:rPr>
        <w:t xml:space="preserve"> No hay ningún contenido (P, T) que opere una herramienta; las tres (T) son menciones.</w:t>
      </w:r>
    </w:p>
    <w:p>
      <w:pPr>
        <w:numPr>
          <w:ilvl w:val="0"/>
          <w:numId w:val="906"/>
        </w:numPr>
        <w:spacing w:before="0" w:after="160" w:line="240" w:lineRule="auto"/>
        <w:jc w:val="both"/>
      </w:pPr>
      <w:r>
        <w:rPr>
          <w:rFonts w:ascii="Century Gothic" w:hAnsi="Century Gothic" w:cs="Century Gothic" w:eastAsia="Century Gothic"/>
          <w:b/>
          <w:i w:val="0"/>
          <w:sz w:val="20"/>
        </w:rPr>
        <w:t>Circunstanciales, E1, E2, E3 y E4, conocimientos circunstanciales.</w:t>
      </w:r>
      <w:r>
        <w:rPr>
          <w:rFonts w:ascii="Century Gothic" w:hAnsi="Century Gothic" w:cs="Century Gothic" w:eastAsia="Century Gothic"/>
          <w:b w:val="0"/>
          <w:i w:val="0"/>
          <w:sz w:val="20"/>
        </w:rPr>
        <w:t xml:space="preserve"> El Código de Comercio (Decreto Ley N° 14379) figura como circunstancial en los cuatro elementos, pero es el objeto central de la asignatura y ya se desarrolla en los contenidos; no es un conocimiento circunstancial.</w:t>
      </w:r>
    </w:p>
    <w:p>
      <w:pPr>
        <w:numPr>
          <w:ilvl w:val="0"/>
          <w:numId w:val="906"/>
        </w:numPr>
        <w:spacing w:before="0" w:after="160" w:line="240" w:lineRule="auto"/>
        <w:jc w:val="both"/>
      </w:pPr>
      <w:r>
        <w:rPr>
          <w:rFonts w:ascii="Century Gothic" w:hAnsi="Century Gothic" w:cs="Century Gothic" w:eastAsia="Century Gothic"/>
          <w:b/>
          <w:i w:val="0"/>
          <w:sz w:val="20"/>
        </w:rPr>
        <w:t>Circunstanciales, E3, conocimientos circunstanciales: 'Entidad de Depósito de Valores de Bolivia S.A. (EDV)'.</w:t>
      </w:r>
      <w:r>
        <w:rPr>
          <w:rFonts w:ascii="Century Gothic" w:hAnsi="Century Gothic" w:cs="Century Gothic" w:eastAsia="Century Gothic"/>
          <w:b w:val="0"/>
          <w:i w:val="0"/>
          <w:sz w:val="20"/>
        </w:rPr>
        <w:t xml:space="preserve"> Se nombra sin explicar qué conocimiento aporta; además ya está comprendida en la Ley N° 1834 citada en la misma celda.</w:t>
      </w:r>
    </w:p>
    <w:p>
      <w:pPr>
        <w:numPr>
          <w:ilvl w:val="0"/>
          <w:numId w:val="906"/>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80 y TOTAL 120), aunque la guía pide dejarlas en blanco; el TOTAL de 120 h no coincide con las 80 h/año de la malla.</w:t>
      </w:r>
    </w:p>
    <w:p>
      <w:pPr>
        <w:numPr>
          <w:ilvl w:val="0"/>
          <w:numId w:val="906"/>
        </w:numPr>
        <w:spacing w:before="0" w:after="160" w:line="240" w:lineRule="auto"/>
        <w:jc w:val="both"/>
      </w:pPr>
      <w:r>
        <w:rPr>
          <w:rFonts w:ascii="Century Gothic" w:hAnsi="Century Gothic" w:cs="Century Gothic" w:eastAsia="Century Gothic"/>
          <w:b/>
          <w:i w:val="0"/>
          <w:sz w:val="20"/>
        </w:rPr>
        <w:t>Incoherencia interna, E2, unidades de aprendizaje: 'Tema 8: Sociedad Anónima Mixta y'.</w:t>
      </w:r>
      <w:r>
        <w:rPr>
          <w:rFonts w:ascii="Century Gothic" w:hAnsi="Century Gothic" w:cs="Century Gothic" w:eastAsia="Century Gothic"/>
          <w:b w:val="0"/>
          <w:i w:val="0"/>
          <w:sz w:val="20"/>
        </w:rPr>
        <w:t xml:space="preserve"> El título del Tema 8 está truncado: termina en 'y' sin completar.</w:t>
      </w:r>
    </w:p>
    <w:p>
      <w:pPr>
        <w:numPr>
          <w:ilvl w:val="0"/>
          <w:numId w:val="906"/>
        </w:numPr>
        <w:spacing w:before="0" w:after="160" w:line="240" w:lineRule="auto"/>
        <w:jc w:val="both"/>
      </w:pPr>
      <w:r>
        <w:rPr>
          <w:rFonts w:ascii="Century Gothic" w:hAnsi="Century Gothic" w:cs="Century Gothic" w:eastAsia="Century Gothic"/>
          <w:b/>
          <w:i w:val="0"/>
          <w:sz w:val="20"/>
        </w:rPr>
        <w:t>Incoherencia interna, Rúbricas de los Productos 1, 2, 5, 7, 8 y 12.</w:t>
      </w:r>
      <w:r>
        <w:rPr>
          <w:rFonts w:ascii="Century Gothic" w:hAnsi="Century Gothic" w:cs="Century Gothic" w:eastAsia="Century Gothic"/>
          <w:b w:val="0"/>
          <w:i w:val="0"/>
          <w:sz w:val="20"/>
        </w:rPr>
        <w:t xml:space="preserve"> Los nombres de los productos en las rúbricas no coinciden con los de las evidencias de producto (por ejemplo, Producto 2 'Ficha de comercio electrónico' frente a 'Ficha de resumen de una operación de comercio electrónico').</w:t>
      </w:r>
    </w:p>
    <w:p>
      <w:pPr>
        <w:numPr>
          <w:ilvl w:val="0"/>
          <w:numId w:val="906"/>
        </w:numPr>
        <w:spacing w:before="0" w:after="200" w:line="240" w:lineRule="auto"/>
        <w:jc w:val="both"/>
      </w:pPr>
      <w:r>
        <w:rPr>
          <w:rFonts w:ascii="Century Gothic" w:hAnsi="Century Gothic" w:cs="Century Gothic" w:eastAsia="Century Gothic"/>
          <w:b/>
          <w:i w:val="0"/>
          <w:sz w:val="20"/>
        </w:rPr>
        <w:t>Incoherencia interna, Rúbricas de los Productos 10 y 16, nivel Suficiente.</w:t>
      </w:r>
      <w:r>
        <w:rPr>
          <w:rFonts w:ascii="Century Gothic" w:hAnsi="Century Gothic" w:cs="Century Gothic" w:eastAsia="Century Gothic"/>
          <w:b w:val="0"/>
          <w:i w:val="0"/>
          <w:sz w:val="20"/>
        </w:rPr>
        <w:t xml:space="preserve"> Usan el verbo no observable 'Conoce' ('Conoce las causas del protesto', 'Conoce las obligaciones y derechos'), que la guía pide evitar.</w:t>
      </w:r>
    </w:p>
    <w:p>
      <w:pPr>
        <w:spacing w:before="0" w:after="200" w:line="240" w:lineRule="auto"/>
        <w:jc w:val="both"/>
      </w:pPr>
      <w:r>
        <w:rPr>
          <w:rFonts w:ascii="Century Gothic" w:hAnsi="Century Gothic" w:cs="Century Gothic" w:eastAsia="Century Gothic"/>
          <w:b w:val="0"/>
          <w:i w:val="0"/>
          <w:sz w:val="20"/>
        </w:rPr>
        <w:t>Se aplicaron 8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7.5</w:t>
        <w:tab/>
      </w:r>
      <w:r>
        <w:rPr>
          <w:rFonts w:ascii="Century Gothic" w:hAnsi="Century Gothic" w:cs="Century Gothic" w:eastAsia="Century Gothic"/>
          <w:b/>
          <w:i w:val="0"/>
          <w:sz w:val="22"/>
        </w:rPr>
        <w:t>DER-102 Derecho Laboral y Seguridad Social</w:t>
      </w:r>
    </w:p>
    <w:p>
      <w:pPr>
        <w:spacing w:before="0" w:after="200" w:line="240" w:lineRule="auto"/>
        <w:jc w:val="both"/>
      </w:pPr>
      <w:r>
        <w:rPr>
          <w:rFonts w:ascii="Century Gothic" w:hAnsi="Century Gothic" w:cs="Century Gothic" w:eastAsia="Century Gothic"/>
          <w:b w:val="0"/>
          <w:i w:val="0"/>
          <w:sz w:val="20"/>
        </w:rPr>
        <w:t xml:space="preserve">Archivo: FINAL DER-102 DERECHO LABORAL.docx. Cumple 17 de 23 controles, 3 de forma parcial y no cumple 3.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sólido en lo laboral boliviano (Ley General del Trabajo, DS 28699, DS 0110, Ley 065, Gestora Pública) y con buenos productos de cálculo en E3 y E4. Necesita corregir E1 (organigrama ajeno al criterio, verbos 'Comprende' y 'Conoce'), retirar o reformular la NIC 19, que se dicta en CPA-301, y añadir contenidos tecnológicos reales.</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(80, 8, 8, 16, 8, 120)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procesos en gerundio; 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(1 inversiones)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07"/>
        </w:numPr>
        <w:spacing w:before="0" w:after="160" w:line="240" w:lineRule="auto"/>
        <w:jc w:val="both"/>
      </w:pPr>
      <w:r>
        <w:rPr>
          <w:rFonts w:ascii="Century Gothic" w:hAnsi="Century Gothic" w:cs="Century Gothic" w:eastAsia="Century Gothic"/>
          <w:b/>
          <w:i w:val="0"/>
          <w:sz w:val="20"/>
        </w:rPr>
        <w:t>Coherencia, E1, criterio 2, evidencia 2.2 / Producto 4 y su rúbrica.</w:t>
      </w:r>
      <w:r>
        <w:rPr>
          <w:rFonts w:ascii="Century Gothic" w:hAnsi="Century Gothic" w:cs="Century Gothic" w:eastAsia="Century Gothic"/>
          <w:b w:val="0"/>
          <w:i w:val="0"/>
          <w:sz w:val="20"/>
        </w:rPr>
        <w:t xml:space="preserve"> El criterio trata los sujetos y los sectores reconocidos y excluidos por la Ley General del Trabajo, pero la evidencia 2.2 usa el verbo no observable 'Conoce' y su producto es un organigrama estructural y funcional, tema de ADM-101; la rúbrica evalúa además 'Exposición' de un organigrama. Reformular 2.2 como 'Identifica en un caso la relación de dependencia y subordinación de los trabajadores de una empresa' con un producto como 'Ficha de calificación de la relación laboral'.</w:t>
      </w:r>
    </w:p>
    <w:p>
      <w:pPr>
        <w:numPr>
          <w:ilvl w:val="0"/>
          <w:numId w:val="907"/>
        </w:numPr>
        <w:spacing w:before="0" w:after="160" w:line="240" w:lineRule="auto"/>
        <w:jc w:val="both"/>
      </w:pPr>
      <w:r>
        <w:rPr>
          <w:rFonts w:ascii="Century Gothic" w:hAnsi="Century Gothic" w:cs="Century Gothic" w:eastAsia="Century Gothic"/>
          <w:b/>
          <w:i w:val="0"/>
          <w:sz w:val="20"/>
        </w:rPr>
        <w:t>Coherencia, E1 criterio 1 y E2 criterio 1.</w:t>
      </w:r>
      <w:r>
        <w:rPr>
          <w:rFonts w:ascii="Century Gothic" w:hAnsi="Century Gothic" w:cs="Century Gothic" w:eastAsia="Century Gothic"/>
          <w:b w:val="0"/>
          <w:i w:val="0"/>
          <w:sz w:val="20"/>
        </w:rPr>
        <w:t xml:space="preserve"> Ambos criterios empiezan con 'Comprende', verbo no observable que la guía pide evitar. Usar 'Explica' o 'Distingue'.</w:t>
      </w:r>
    </w:p>
    <w:p>
      <w:pPr>
        <w:numPr>
          <w:ilvl w:val="0"/>
          <w:numId w:val="907"/>
        </w:numPr>
        <w:spacing w:before="0" w:after="160" w:line="240" w:lineRule="auto"/>
        <w:jc w:val="both"/>
      </w:pPr>
      <w:r>
        <w:rPr>
          <w:rFonts w:ascii="Century Gothic" w:hAnsi="Century Gothic" w:cs="Century Gothic" w:eastAsia="Century Gothic"/>
          <w:b/>
          <w:i w:val="0"/>
          <w:sz w:val="20"/>
        </w:rPr>
        <w:t>Coherencia, E1, Producto 2 / rúbrica.</w:t>
      </w:r>
      <w:r>
        <w:rPr>
          <w:rFonts w:ascii="Century Gothic" w:hAnsi="Century Gothic" w:cs="Century Gothic" w:eastAsia="Century Gothic"/>
          <w:b w:val="0"/>
          <w:i w:val="0"/>
          <w:sz w:val="20"/>
        </w:rPr>
        <w:t xml:space="preserve"> El producto es una ficha, pero el criterio 'Presentación' de su rúbrica habla de 'El cuadro' (copiado de la rúbrica 1). Redactar el criterio sobre la ficha.</w:t>
      </w:r>
    </w:p>
    <w:p>
      <w:pPr>
        <w:numPr>
          <w:ilvl w:val="0"/>
          <w:numId w:val="907"/>
        </w:numPr>
        <w:spacing w:before="0" w:after="160" w:line="240" w:lineRule="auto"/>
        <w:jc w:val="both"/>
      </w:pPr>
      <w:r>
        <w:rPr>
          <w:rFonts w:ascii="Century Gothic" w:hAnsi="Century Gothic" w:cs="Century Gothic" w:eastAsia="Century Gothic"/>
          <w:b/>
          <w:i w:val="0"/>
          <w:sz w:val="20"/>
        </w:rPr>
        <w:t>Coherencia, E2, criterio 1, evidencia 1.1 / Producto 5 y su rúbrica.</w:t>
      </w:r>
      <w:r>
        <w:rPr>
          <w:rFonts w:ascii="Century Gothic" w:hAnsi="Century Gothic" w:cs="Century Gothic" w:eastAsia="Century Gothic"/>
          <w:b w:val="0"/>
          <w:i w:val="0"/>
          <w:sz w:val="20"/>
        </w:rPr>
        <w:t xml:space="preserve"> La evidencia es analizar un contrato, pero el producto es 'Contrato individual de trabajo de una entidad' y la rúbrica evalúa su redacción e incorporación de cláusulas, es decir, elaborarlo. Cambiar la evidencia a 'Elabora un contrato individual de trabajo con sus requisitos esenciales' o el producto a 'Informe de análisis del contrato'.</w:t>
      </w:r>
    </w:p>
    <w:p>
      <w:pPr>
        <w:numPr>
          <w:ilvl w:val="0"/>
          <w:numId w:val="907"/>
        </w:numPr>
        <w:spacing w:before="0" w:after="160" w:line="240" w:lineRule="auto"/>
        <w:jc w:val="both"/>
      </w:pPr>
      <w:r>
        <w:rPr>
          <w:rFonts w:ascii="Century Gothic" w:hAnsi="Century Gothic" w:cs="Century Gothic" w:eastAsia="Century Gothic"/>
          <w:b/>
          <w:i w:val="0"/>
          <w:sz w:val="20"/>
        </w:rPr>
        <w:t>Coherencia, E2, Producto 6.</w:t>
      </w:r>
      <w:r>
        <w:rPr>
          <w:rFonts w:ascii="Century Gothic" w:hAnsi="Century Gothic" w:cs="Century Gothic" w:eastAsia="Century Gothic"/>
          <w:b w:val="0"/>
          <w:i w:val="0"/>
          <w:sz w:val="20"/>
        </w:rPr>
        <w:t xml:space="preserve"> El rótulo '(reglamento interno)' confunde el cuadro de derechos y obligaciones del contrato con el reglamento interno de la empresa, que es otro documento. Retirar el paréntesis o crear un producto propio sobre el reglamento interno.</w:t>
      </w:r>
    </w:p>
    <w:p>
      <w:pPr>
        <w:numPr>
          <w:ilvl w:val="0"/>
          <w:numId w:val="907"/>
        </w:numPr>
        <w:spacing w:before="0" w:after="160" w:line="240" w:lineRule="auto"/>
        <w:jc w:val="both"/>
      </w:pPr>
      <w:r>
        <w:rPr>
          <w:rFonts w:ascii="Century Gothic" w:hAnsi="Century Gothic" w:cs="Century Gothic" w:eastAsia="Century Gothic"/>
          <w:b/>
          <w:i w:val="0"/>
          <w:sz w:val="20"/>
        </w:rPr>
        <w:t>Coherencia, E3, criterio 2, evidencia 2.1 / Producto 11.</w:t>
      </w:r>
      <w:r>
        <w:rPr>
          <w:rFonts w:ascii="Century Gothic" w:hAnsi="Century Gothic" w:cs="Century Gothic" w:eastAsia="Century Gothic"/>
          <w:b w:val="0"/>
          <w:i w:val="0"/>
          <w:sz w:val="20"/>
        </w:rPr>
        <w:t xml:space="preserve"> La boleta de pago mensual incluye el aguinaldo, que es un pago anual con su propia planilla; además la rúbrica 12 evalúa 'la prima', que no figura en la evidencia 2.2. Separar el aguinaldo de la boleta mensual y alinear la rúbrica 12 con los conceptos de la evidencia.</w:t>
      </w:r>
    </w:p>
    <w:p>
      <w:pPr>
        <w:numPr>
          <w:ilvl w:val="0"/>
          <w:numId w:val="907"/>
        </w:numPr>
        <w:spacing w:before="0" w:after="160" w:line="240" w:lineRule="auto"/>
        <w:jc w:val="both"/>
      </w:pPr>
      <w:r>
        <w:rPr>
          <w:rFonts w:ascii="Century Gothic" w:hAnsi="Century Gothic" w:cs="Century Gothic" w:eastAsia="Century Gothic"/>
          <w:b/>
          <w:i w:val="0"/>
          <w:sz w:val="20"/>
        </w:rPr>
        <w:t>Coherencia, E4, criterio 1, evidencias 1.1 y 1.2.</w:t>
      </w:r>
      <w:r>
        <w:rPr>
          <w:rFonts w:ascii="Century Gothic" w:hAnsi="Century Gothic" w:cs="Century Gothic" w:eastAsia="Century Gothic"/>
          <w:b w:val="0"/>
          <w:i w:val="0"/>
          <w:sz w:val="20"/>
        </w:rPr>
        <w:t xml:space="preserve"> El criterio incluye la suspensión del contrato, pero ninguna evidencia ni producto la trabaja (solo aparece en un Destacado de la rúbrica 14). Incluir la suspensión en la evidencia 1.2 y en el Producto 14.</w:t>
      </w:r>
    </w:p>
    <w:p>
      <w:pPr>
        <w:numPr>
          <w:ilvl w:val="0"/>
          <w:numId w:val="907"/>
        </w:numPr>
        <w:spacing w:before="0" w:after="160" w:line="240" w:lineRule="auto"/>
        <w:jc w:val="both"/>
      </w:pPr>
      <w:r>
        <w:rPr>
          <w:rFonts w:ascii="Century Gothic" w:hAnsi="Century Gothic" w:cs="Century Gothic" w:eastAsia="Century Gothic"/>
          <w:b/>
          <w:i w:val="0"/>
          <w:sz w:val="20"/>
        </w:rPr>
        <w:t>Coherencia, E5, Producto 18.</w:t>
      </w:r>
      <w:r>
        <w:rPr>
          <w:rFonts w:ascii="Century Gothic" w:hAnsi="Century Gothic" w:cs="Century Gothic" w:eastAsia="Century Gothic"/>
          <w:b w:val="0"/>
          <w:i w:val="0"/>
          <w:sz w:val="20"/>
        </w:rPr>
        <w:t xml:space="preserve"> La evidencia de producto es 'Informe de riesgos ocupacionales', pero la rúbrica lo llama 'Mapa de riesgos ocupacionales' y lo evalúa como 'cuadro'. Unificar el producto (por ejemplo, 'Mapa de riesgos ocupacionales del centro de trabajo').</w:t>
      </w:r>
    </w:p>
    <w:p>
      <w:pPr>
        <w:numPr>
          <w:ilvl w:val="0"/>
          <w:numId w:val="907"/>
        </w:numPr>
        <w:spacing w:before="0" w:after="160" w:line="240" w:lineRule="auto"/>
        <w:jc w:val="both"/>
      </w:pPr>
      <w:r>
        <w:rPr>
          <w:rFonts w:ascii="Century Gothic" w:hAnsi="Century Gothic" w:cs="Century Gothic" w:eastAsia="Century Gothic"/>
          <w:b/>
          <w:i w:val="0"/>
          <w:sz w:val="20"/>
        </w:rPr>
        <w:t>Contenido técnico, E2, contenido 7 y evidencia 2.2: 'Derechos laborales del trabajador según la NIC 19'.</w:t>
      </w:r>
      <w:r>
        <w:rPr>
          <w:rFonts w:ascii="Century Gothic" w:hAnsi="Century Gothic" w:cs="Century Gothic" w:eastAsia="Century Gothic"/>
          <w:b w:val="0"/>
          <w:i w:val="0"/>
          <w:sz w:val="20"/>
        </w:rPr>
        <w:t xml:space="preserve"> La NIC 19 no establece derechos laborales; prescribe la contabilización y revelación de los beneficios a los empleados, cuyo origen son la ley y el contrato. Redactar 'Beneficios a los empleados derivados de la ley laboral y su reconocimiento contable (NIC 19)' o retirarlo (se dicta en CPA-301).</w:t>
      </w:r>
    </w:p>
    <w:p>
      <w:pPr>
        <w:numPr>
          <w:ilvl w:val="0"/>
          <w:numId w:val="907"/>
        </w:numPr>
        <w:spacing w:before="0" w:after="160" w:line="240" w:lineRule="auto"/>
        <w:jc w:val="both"/>
      </w:pPr>
      <w:r>
        <w:rPr>
          <w:rFonts w:ascii="Century Gothic" w:hAnsi="Century Gothic" w:cs="Century Gothic" w:eastAsia="Century Gothic"/>
          <w:b/>
          <w:i w:val="0"/>
          <w:sz w:val="20"/>
        </w:rPr>
        <w:t>Contenido técnico, E5, evidencia 2.1 / Producto 19.</w:t>
      </w:r>
      <w:r>
        <w:rPr>
          <w:rFonts w:ascii="Century Gothic" w:hAnsi="Century Gothic" w:cs="Century Gothic" w:eastAsia="Century Gothic"/>
          <w:b w:val="0"/>
          <w:i w:val="0"/>
          <w:sz w:val="20"/>
        </w:rPr>
        <w:t xml:space="preserve"> Usa 'renta de vejez', término del sistema de reparto anterior; la Ley N° 065 de Pensiones habla de 'pensión de vejez' (como dicen los contenidos y la rúbrica). Cambiar a 'pensión de vejez' en la evidencia y en el producto.</w:t>
      </w:r>
    </w:p>
    <w:p>
      <w:pPr>
        <w:numPr>
          <w:ilvl w:val="0"/>
          <w:numId w:val="907"/>
        </w:numPr>
        <w:spacing w:before="0" w:after="160" w:line="240" w:lineRule="auto"/>
        <w:jc w:val="both"/>
      </w:pPr>
      <w:r>
        <w:rPr>
          <w:rFonts w:ascii="Century Gothic" w:hAnsi="Century Gothic" w:cs="Century Gothic" w:eastAsia="Century Gothic"/>
          <w:b/>
          <w:i w:val="0"/>
          <w:sz w:val="20"/>
        </w:rPr>
        <w:t>Marcas de saber, E3, contenidos: 'Algoritmos. ( P, T )'.</w:t>
      </w:r>
      <w:r>
        <w:rPr>
          <w:rFonts w:ascii="Century Gothic" w:hAnsi="Century Gothic" w:cs="Century Gothic" w:eastAsia="Century Gothic"/>
          <w:b w:val="0"/>
          <w:i w:val="0"/>
          <w:sz w:val="20"/>
        </w:rPr>
        <w:t xml:space="preserve"> Contenido sin objeto ni herramienta; es la única (T) de la asignatura y no indica qué se opera.</w:t>
      </w:r>
    </w:p>
    <w:p>
      <w:pPr>
        <w:numPr>
          <w:ilvl w:val="0"/>
          <w:numId w:val="907"/>
        </w:numPr>
        <w:spacing w:before="0" w:after="160" w:line="240" w:lineRule="auto"/>
        <w:jc w:val="both"/>
      </w:pPr>
      <w:r>
        <w:rPr>
          <w:rFonts w:ascii="Century Gothic" w:hAnsi="Century Gothic" w:cs="Century Gothic" w:eastAsia="Century Gothic"/>
          <w:b/>
          <w:i w:val="0"/>
          <w:sz w:val="20"/>
        </w:rPr>
        <w:t>Marcas de saber, Asignatura en conjunto.</w:t>
      </w:r>
      <w:r>
        <w:rPr>
          <w:rFonts w:ascii="Century Gothic" w:hAnsi="Century Gothic" w:cs="Century Gothic" w:eastAsia="Century Gothic"/>
          <w:b w:val="0"/>
          <w:i w:val="0"/>
          <w:sz w:val="20"/>
        </w:rPr>
        <w:t xml:space="preserve"> Solo hay una marca (T), aunque las actividades prevén planillas y liquidaciones en hoja de cálculo; faltan contenidos (P, T) como 'Planilla de sueldos y liquidación de beneficios sociales en hoja de cálculo'.</w:t>
      </w:r>
    </w:p>
    <w:p>
      <w:pPr>
        <w:numPr>
          <w:ilvl w:val="0"/>
          <w:numId w:val="907"/>
        </w:numPr>
        <w:spacing w:before="0" w:after="160" w:line="240" w:lineRule="auto"/>
        <w:jc w:val="both"/>
      </w:pPr>
      <w:r>
        <w:rPr>
          <w:rFonts w:ascii="Century Gothic" w:hAnsi="Century Gothic" w:cs="Century Gothic" w:eastAsia="Century Gothic"/>
          <w:b/>
          <w:i w:val="0"/>
          <w:sz w:val="20"/>
        </w:rPr>
        <w:t>Marcas de saber, E5, contenidos: 'Seguro de riesgos ocupacionales... grados de incapacidad. ( C, A )'.</w:t>
      </w:r>
      <w:r>
        <w:rPr>
          <w:rFonts w:ascii="Century Gothic" w:hAnsi="Century Gothic" w:cs="Century Gothic" w:eastAsia="Century Gothic"/>
          <w:b w:val="0"/>
          <w:i w:val="0"/>
          <w:sz w:val="20"/>
        </w:rPr>
        <w:t xml:space="preserve"> Es descriptivo y no menciona conducta; la (A) no tiene sustento.</w:t>
      </w:r>
    </w:p>
    <w:p>
      <w:pPr>
        <w:numPr>
          <w:ilvl w:val="0"/>
          <w:numId w:val="907"/>
        </w:numPr>
        <w:spacing w:before="0" w:after="160" w:line="240" w:lineRule="auto"/>
        <w:jc w:val="both"/>
      </w:pPr>
      <w:r>
        <w:rPr>
          <w:rFonts w:ascii="Century Gothic" w:hAnsi="Century Gothic" w:cs="Century Gothic" w:eastAsia="Century Gothic"/>
          <w:b/>
          <w:i w:val="0"/>
          <w:sz w:val="20"/>
        </w:rPr>
        <w:t>Marcas de saber, E1, contenidos 6, 7 y 8 (principios del derecho laboral, (C, A)).</w:t>
      </w:r>
      <w:r>
        <w:rPr>
          <w:rFonts w:ascii="Century Gothic" w:hAnsi="Century Gothic" w:cs="Century Gothic" w:eastAsia="Century Gothic"/>
          <w:b w:val="0"/>
          <w:i w:val="0"/>
          <w:sz w:val="20"/>
        </w:rPr>
        <w:t xml:space="preserve"> Describen principios jurídicos sin conducta esperada; la (A) solo se sostendría si se redacta la conducta (por ejemplo, respeto a la irrenunciabilidad de derechos al liquidar).</w:t>
      </w:r>
    </w:p>
    <w:p>
      <w:pPr>
        <w:numPr>
          <w:ilvl w:val="0"/>
          <w:numId w:val="907"/>
        </w:numPr>
        <w:spacing w:before="0" w:after="160" w:line="240" w:lineRule="auto"/>
        <w:jc w:val="both"/>
      </w:pPr>
      <w:r>
        <w:rPr>
          <w:rFonts w:ascii="Century Gothic" w:hAnsi="Century Gothic" w:cs="Century Gothic" w:eastAsia="Century Gothic"/>
          <w:b/>
          <w:i w:val="0"/>
          <w:sz w:val="20"/>
        </w:rPr>
        <w:t>Circunstanciales, E2, contenido 7 / evidencia 2.2 / Producto 8 (NIC 19).</w:t>
      </w:r>
      <w:r>
        <w:rPr>
          <w:rFonts w:ascii="Century Gothic" w:hAnsi="Century Gothic" w:cs="Century Gothic" w:eastAsia="Century Gothic"/>
          <w:b w:val="0"/>
          <w:i w:val="0"/>
          <w:sz w:val="20"/>
        </w:rPr>
        <w:t xml:space="preserve"> La NIC 19 Beneficios a los Empleados se dicta en CPA-301 Contabilidad Internacional (Tema 22); en primer año el estudiante aún no tiene la base contable.</w:t>
      </w:r>
    </w:p>
    <w:p>
      <w:pPr>
        <w:numPr>
          <w:ilvl w:val="0"/>
          <w:numId w:val="907"/>
        </w:numPr>
        <w:spacing w:before="0" w:after="160" w:line="240" w:lineRule="auto"/>
        <w:jc w:val="both"/>
      </w:pPr>
      <w:r>
        <w:rPr>
          <w:rFonts w:ascii="Century Gothic" w:hAnsi="Century Gothic" w:cs="Century Gothic" w:eastAsia="Century Gothic"/>
          <w:b/>
          <w:i w:val="0"/>
          <w:sz w:val="20"/>
        </w:rPr>
        <w:t>Circunstanciales, E1, evidencia 2.2 / Producto 4 (organigrama).</w:t>
      </w:r>
      <w:r>
        <w:rPr>
          <w:rFonts w:ascii="Century Gothic" w:hAnsi="Century Gothic" w:cs="Century Gothic" w:eastAsia="Century Gothic"/>
          <w:b w:val="0"/>
          <w:i w:val="0"/>
          <w:sz w:val="20"/>
        </w:rPr>
        <w:t xml:space="preserve"> Los organigramas y su elaboración se dictan en ADM-101 Administración General.</w:t>
      </w:r>
    </w:p>
    <w:p>
      <w:pPr>
        <w:numPr>
          <w:ilvl w:val="0"/>
          <w:numId w:val="907"/>
        </w:numPr>
        <w:spacing w:before="0" w:after="160" w:line="240" w:lineRule="auto"/>
        <w:jc w:val="both"/>
      </w:pPr>
      <w:r>
        <w:rPr>
          <w:rFonts w:ascii="Century Gothic" w:hAnsi="Century Gothic" w:cs="Century Gothic" w:eastAsia="Century Gothic"/>
          <w:b/>
          <w:i w:val="0"/>
          <w:sz w:val="20"/>
        </w:rPr>
        <w:t>Circunstanciales, E3, contenidos: 'salario y aportes de ley, y régimen tributario'.</w:t>
      </w:r>
      <w:r>
        <w:rPr>
          <w:rFonts w:ascii="Century Gothic" w:hAnsi="Century Gothic" w:cs="Century Gothic" w:eastAsia="Century Gothic"/>
          <w:b w:val="0"/>
          <w:i w:val="0"/>
          <w:sz w:val="20"/>
        </w:rPr>
        <w:t xml:space="preserve"> El RC-IVA y la planilla tributaria se dictan en CPA-203 Contabilidad de Tributos; basta una mención del descuento.</w:t>
      </w:r>
    </w:p>
    <w:p>
      <w:pPr>
        <w:numPr>
          <w:ilvl w:val="0"/>
          <w:numId w:val="907"/>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80, TOTAL 120), aunque la guía pide dejarlas en blanco; el TOTAL de 120 h no coincide con las 80 h/año de la malla.</w:t>
      </w:r>
    </w:p>
    <w:p>
      <w:pPr>
        <w:numPr>
          <w:ilvl w:val="0"/>
          <w:numId w:val="907"/>
        </w:numPr>
        <w:spacing w:before="0" w:after="160" w:line="240" w:lineRule="auto"/>
        <w:jc w:val="both"/>
      </w:pPr>
      <w:r>
        <w:rPr>
          <w:rFonts w:ascii="Century Gothic" w:hAnsi="Century Gothic" w:cs="Century Gothic" w:eastAsia="Century Gothic"/>
          <w:b/>
          <w:i w:val="0"/>
          <w:sz w:val="20"/>
        </w:rPr>
        <w:t>Incoherencia interna, Contenidos de E3, E4 y E5.</w:t>
      </w:r>
      <w:r>
        <w:rPr>
          <w:rFonts w:ascii="Century Gothic" w:hAnsi="Century Gothic" w:cs="Century Gothic" w:eastAsia="Century Gothic"/>
          <w:b w:val="0"/>
          <w:i w:val="0"/>
          <w:sz w:val="20"/>
        </w:rPr>
        <w:t xml:space="preserve"> Las marcas se escriben con espacios ('( C )', '( C, P)', '(C )') y los contenidos no van numerados, a diferencia de E1 y E2 ('(C)', lista numerada).</w:t>
      </w:r>
    </w:p>
    <w:p>
      <w:pPr>
        <w:numPr>
          <w:ilvl w:val="0"/>
          <w:numId w:val="907"/>
        </w:numPr>
        <w:spacing w:before="0" w:after="160" w:line="240" w:lineRule="auto"/>
        <w:jc w:val="both"/>
      </w:pPr>
      <w:r>
        <w:rPr>
          <w:rFonts w:ascii="Century Gothic" w:hAnsi="Century Gothic" w:cs="Century Gothic" w:eastAsia="Century Gothic"/>
          <w:b/>
          <w:i w:val="0"/>
          <w:sz w:val="20"/>
        </w:rPr>
        <w:t>Incoherencia interna, Rúbricas de los Productos 2, 4, 8, 13 y 19.</w:t>
      </w:r>
      <w:r>
        <w:rPr>
          <w:rFonts w:ascii="Century Gothic" w:hAnsi="Century Gothic" w:cs="Century Gothic" w:eastAsia="Century Gothic"/>
          <w:b w:val="0"/>
          <w:i w:val="0"/>
          <w:sz w:val="20"/>
        </w:rPr>
        <w:t xml:space="preserve"> Los nombres de los productos difieren entre la evidencia y la rúbrica (por ejemplo, 'causas motivantes' / 'causales motivantes'; 'renta de vejez' / 'pensión').</w:t>
      </w:r>
    </w:p>
    <w:p>
      <w:pPr>
        <w:numPr>
          <w:ilvl w:val="0"/>
          <w:numId w:val="907"/>
        </w:numPr>
        <w:spacing w:before="0" w:after="200" w:line="240" w:lineRule="auto"/>
        <w:jc w:val="both"/>
      </w:pPr>
      <w:r>
        <w:rPr>
          <w:rFonts w:ascii="Century Gothic" w:hAnsi="Century Gothic" w:cs="Century Gothic" w:eastAsia="Century Gothic"/>
          <w:b/>
          <w:i w:val="0"/>
          <w:sz w:val="20"/>
        </w:rPr>
        <w:t>Incoherencia interna, Bibliografía básica.</w:t>
      </w:r>
      <w:r>
        <w:rPr>
          <w:rFonts w:ascii="Century Gothic" w:hAnsi="Century Gothic" w:cs="Century Gothic" w:eastAsia="Century Gothic"/>
          <w:b w:val="0"/>
          <w:i w:val="0"/>
          <w:sz w:val="20"/>
        </w:rPr>
        <w:t xml:space="preserve"> No incluye la NIC 19, aunque es contenido de E2; varias normas no llevan año y figura un 'Decreto Supremo, de 30 de agosto de 1927' sin número ni título.</w:t>
      </w:r>
    </w:p>
    <w:p>
      <w:pPr>
        <w:spacing w:before="0" w:after="200" w:line="240" w:lineRule="auto"/>
        <w:jc w:val="both"/>
      </w:pPr>
      <w:r>
        <w:rPr>
          <w:rFonts w:ascii="Century Gothic" w:hAnsi="Century Gothic" w:cs="Century Gothic" w:eastAsia="Century Gothic"/>
          <w:b w:val="0"/>
          <w:i w:val="0"/>
          <w:sz w:val="20"/>
        </w:rPr>
        <w:t>Se aplicaron 5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7.6</w:t>
        <w:tab/>
      </w:r>
      <w:r>
        <w:rPr>
          <w:rFonts w:ascii="Century Gothic" w:hAnsi="Century Gothic" w:cs="Century Gothic" w:eastAsia="Century Gothic"/>
          <w:b/>
          <w:i w:val="0"/>
          <w:sz w:val="22"/>
        </w:rPr>
        <w:t>ECO-101 Microeconomía</w:t>
      </w:r>
    </w:p>
    <w:p>
      <w:pPr>
        <w:spacing w:before="0" w:after="200" w:line="240" w:lineRule="auto"/>
        <w:jc w:val="both"/>
      </w:pPr>
      <w:r>
        <w:rPr>
          <w:rFonts w:ascii="Century Gothic" w:hAnsi="Century Gothic" w:cs="Century Gothic" w:eastAsia="Century Gothic"/>
          <w:b w:val="0"/>
          <w:i w:val="0"/>
          <w:sz w:val="20"/>
        </w:rPr>
        <w:t xml:space="preserve">Archivo: MOD ECO-101 Microeconomia nuevo.docx. Cumple 17 de 23 controles, 3 de forma parcial y no cumple 3.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bien estructurado en la cadena elemento-criterio-evidencia-producto de E2 a E4, con rúbricas propias de cada producto. Sus problemas principales son una unidad de competencia que no corresponde a los elementos, restos de contenidos eliminados por la subcomisión y una asignatura casi toda en (C), sin contenidos tecnológicos pese a usar hojas de cálculo.</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16 hs., 16 hs., 32 hr., 16 hr.,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procesos en gerundio; 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Saberes A y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contenidos tecnológicos (T)</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 de 10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08"/>
        </w:numPr>
        <w:spacing w:before="0" w:after="160" w:line="240" w:lineRule="auto"/>
        <w:jc w:val="both"/>
      </w:pPr>
      <w:r>
        <w:rPr>
          <w:rFonts w:ascii="Century Gothic" w:hAnsi="Century Gothic" w:cs="Century Gothic" w:eastAsia="Century Gothic"/>
          <w:b/>
          <w:i w:val="0"/>
          <w:sz w:val="20"/>
        </w:rPr>
        <w:t>Coherencia, Unidad de competencia / elementos E1 a E4.</w:t>
      </w:r>
      <w:r>
        <w:rPr>
          <w:rFonts w:ascii="Century Gothic" w:hAnsi="Century Gothic" w:cs="Century Gothic" w:eastAsia="Century Gothic"/>
          <w:b w:val="0"/>
          <w:i w:val="0"/>
          <w:sz w:val="20"/>
        </w:rPr>
        <w:t xml:space="preserve"> La unidad promete evaluar el papel del gobierno, el equilibrio general, los problemas de información y la interdependencia estratégica, pero ningún elemento, criterio ni contenido trata esos temas; los cuatro elementos cubren consumidor, empresa, estructuras de mercado y factores. Ajustar la unidad a lo que desarrollan los elementos o incorporar un elemento sobre teoría de juegos, información asimétrica y equilibrio general.</w:t>
      </w:r>
    </w:p>
    <w:p>
      <w:pPr>
        <w:numPr>
          <w:ilvl w:val="0"/>
          <w:numId w:val="908"/>
        </w:numPr>
        <w:spacing w:before="0" w:after="160" w:line="240" w:lineRule="auto"/>
        <w:jc w:val="both"/>
      </w:pPr>
      <w:r>
        <w:rPr>
          <w:rFonts w:ascii="Century Gothic" w:hAnsi="Century Gothic" w:cs="Century Gothic" w:eastAsia="Century Gothic"/>
          <w:b/>
          <w:i w:val="0"/>
          <w:sz w:val="20"/>
        </w:rPr>
        <w:t>Coherencia, Unidad de competencia.</w:t>
      </w:r>
      <w:r>
        <w:rPr>
          <w:rFonts w:ascii="Century Gothic" w:hAnsi="Century Gothic" w:cs="Century Gothic" w:eastAsia="Century Gothic"/>
          <w:b w:val="0"/>
          <w:i w:val="0"/>
          <w:sz w:val="20"/>
        </w:rPr>
        <w:t xml:space="preserve"> La nueva redacción perdió el contexto boliviano y el vínculo con el perfil del contador (control interno, riesgos, decisiones financieras) que pide la guía. Añadir el contexto ('de la economía boliviana') y la aplicación a la toma de decisiones de la entidad.</w:t>
      </w:r>
    </w:p>
    <w:p>
      <w:pPr>
        <w:numPr>
          <w:ilvl w:val="0"/>
          <w:numId w:val="908"/>
        </w:numPr>
        <w:spacing w:before="0" w:after="160" w:line="240" w:lineRule="auto"/>
        <w:jc w:val="both"/>
      </w:pPr>
      <w:r>
        <w:rPr>
          <w:rFonts w:ascii="Century Gothic" w:hAnsi="Century Gothic" w:cs="Century Gothic" w:eastAsia="Century Gothic"/>
          <w:b/>
          <w:i w:val="0"/>
          <w:sz w:val="20"/>
        </w:rPr>
        <w:t>Coherencia, E1, criterio 1 / rúbricas de los Productos 1 y 2.</w:t>
      </w:r>
      <w:r>
        <w:rPr>
          <w:rFonts w:ascii="Century Gothic" w:hAnsi="Century Gothic" w:cs="Century Gothic" w:eastAsia="Century Gothic"/>
          <w:b w:val="0"/>
          <w:i w:val="0"/>
          <w:sz w:val="20"/>
        </w:rPr>
        <w:t xml:space="preserve"> Se eliminó el contenido de escasez de recursos naturales y sostenibilidad, pero el criterio 1 sigue exigiendo relacionar la escasez 'con sus costos sociales y ambientales' y las rúbricas evalúan 'costos sociales y ambientales' y 'alternativas de uso sostenible'. Retirar esa exigencia del criterio y de las rúbricas o restituir el contenido.</w:t>
      </w:r>
    </w:p>
    <w:p>
      <w:pPr>
        <w:numPr>
          <w:ilvl w:val="0"/>
          <w:numId w:val="908"/>
        </w:numPr>
        <w:spacing w:before="0" w:after="160" w:line="240" w:lineRule="auto"/>
        <w:jc w:val="both"/>
      </w:pPr>
      <w:r>
        <w:rPr>
          <w:rFonts w:ascii="Century Gothic" w:hAnsi="Century Gothic" w:cs="Century Gothic" w:eastAsia="Century Gothic"/>
          <w:b/>
          <w:i w:val="0"/>
          <w:sz w:val="20"/>
        </w:rPr>
        <w:t>Coherencia, E1, evidencia 1.1 / Producto 1 y su rúbrica.</w:t>
      </w:r>
      <w:r>
        <w:rPr>
          <w:rFonts w:ascii="Century Gothic" w:hAnsi="Century Gothic" w:cs="Century Gothic" w:eastAsia="Century Gothic"/>
          <w:b w:val="0"/>
          <w:i w:val="0"/>
          <w:sz w:val="20"/>
        </w:rPr>
        <w:t xml:space="preserve"> El contenido se renombró 'flujo circular de la economía', pero la evidencia, el producto y las actividades siguen hablando del 'circuito económico simple'. Unificar la denominación: 'Esquema del flujo circular de la economía de una actividad productiva boliviana'.</w:t>
      </w:r>
    </w:p>
    <w:p>
      <w:pPr>
        <w:numPr>
          <w:ilvl w:val="0"/>
          <w:numId w:val="908"/>
        </w:numPr>
        <w:spacing w:before="0" w:after="160" w:line="240" w:lineRule="auto"/>
        <w:jc w:val="both"/>
      </w:pPr>
      <w:r>
        <w:rPr>
          <w:rFonts w:ascii="Century Gothic" w:hAnsi="Century Gothic" w:cs="Century Gothic" w:eastAsia="Century Gothic"/>
          <w:b/>
          <w:i w:val="0"/>
          <w:sz w:val="20"/>
        </w:rPr>
        <w:t>Coherencia, E1, criterio 2, evidencia 2.2 / Producto 4.</w:t>
      </w:r>
      <w:r>
        <w:rPr>
          <w:rFonts w:ascii="Century Gothic" w:hAnsi="Century Gothic" w:cs="Century Gothic" w:eastAsia="Century Gothic"/>
          <w:b w:val="0"/>
          <w:i w:val="0"/>
          <w:sz w:val="20"/>
        </w:rPr>
        <w:t xml:space="preserve"> La evidencia es presentar ante el curso, pero el producto es un 'Informe de investigación'; el producto de una presentación debería ser el material presentado. Cambiar a 'Presentación y esquema del enfoque sistémico...' o a 'Elabora un informe de investigación...'.</w:t>
      </w:r>
    </w:p>
    <w:p>
      <w:pPr>
        <w:numPr>
          <w:ilvl w:val="0"/>
          <w:numId w:val="908"/>
        </w:numPr>
        <w:spacing w:before="0" w:after="160" w:line="240" w:lineRule="auto"/>
        <w:jc w:val="both"/>
      </w:pPr>
      <w:r>
        <w:rPr>
          <w:rFonts w:ascii="Century Gothic" w:hAnsi="Century Gothic" w:cs="Century Gothic" w:eastAsia="Century Gothic"/>
          <w:b/>
          <w:i w:val="0"/>
          <w:sz w:val="20"/>
        </w:rPr>
        <w:t>Contenido técnico, E4, contenidos: 'Competencia perfecta en los mercados de bienes e imperfecta en los mercados de productos.'.</w:t>
      </w:r>
      <w:r>
        <w:rPr>
          <w:rFonts w:ascii="Century Gothic" w:hAnsi="Century Gothic" w:cs="Century Gothic" w:eastAsia="Century Gothic"/>
          <w:b w:val="0"/>
          <w:i w:val="0"/>
          <w:sz w:val="20"/>
        </w:rPr>
        <w:t xml:space="preserve"> Bienes y productos son el mismo mercado; el caso que corresponde es la competencia imperfecta en el mercado de factores. Redactar: 'Competencia perfecta en el mercado de bienes e imperfecta en el mercado de factores. (C)'.</w:t>
      </w:r>
    </w:p>
    <w:p>
      <w:pPr>
        <w:numPr>
          <w:ilvl w:val="0"/>
          <w:numId w:val="908"/>
        </w:numPr>
        <w:spacing w:before="0" w:after="160" w:line="240" w:lineRule="auto"/>
        <w:jc w:val="both"/>
      </w:pPr>
      <w:r>
        <w:rPr>
          <w:rFonts w:ascii="Century Gothic" w:hAnsi="Century Gothic" w:cs="Century Gothic" w:eastAsia="Century Gothic"/>
          <w:b/>
          <w:i w:val="0"/>
          <w:sz w:val="20"/>
        </w:rPr>
        <w:t>Contenido técnico, E2, Tema 5 'Utilidad Categoría Clasificable'.</w:t>
      </w:r>
      <w:r>
        <w:rPr>
          <w:rFonts w:ascii="Century Gothic" w:hAnsi="Century Gothic" w:cs="Century Gothic" w:eastAsia="Century Gothic"/>
          <w:b w:val="0"/>
          <w:i w:val="0"/>
          <w:sz w:val="20"/>
        </w:rPr>
        <w:t xml:space="preserve"> La denominación habitual es utilidad ordinal (frente a la cardinal o cuantificable del Tema 4). Usar 'Teoría de la demanda: utilidad ordinal (curvas de indiferencia)'.</w:t>
      </w:r>
    </w:p>
    <w:p>
      <w:pPr>
        <w:numPr>
          <w:ilvl w:val="0"/>
          <w:numId w:val="908"/>
        </w:numPr>
        <w:spacing w:before="0" w:after="160" w:line="240" w:lineRule="auto"/>
        <w:jc w:val="both"/>
      </w:pPr>
      <w:r>
        <w:rPr>
          <w:rFonts w:ascii="Century Gothic" w:hAnsi="Century Gothic" w:cs="Century Gothic" w:eastAsia="Century Gothic"/>
          <w:b/>
          <w:i w:val="0"/>
          <w:sz w:val="20"/>
        </w:rPr>
        <w:t>Contenido técnico, Bibliografía básica: 'Case, K. y Ray, F. (1993)'.</w:t>
      </w:r>
      <w:r>
        <w:rPr>
          <w:rFonts w:ascii="Century Gothic" w:hAnsi="Century Gothic" w:cs="Century Gothic" w:eastAsia="Century Gothic"/>
          <w:b w:val="0"/>
          <w:i w:val="0"/>
          <w:sz w:val="20"/>
        </w:rPr>
        <w:t xml:space="preserve"> El coautor de Fundamentos de economía es Ray C. Fair; la cita invierte nombre y apellido. Además la bibliografía básica conserva ediciones antiguas (Bilas 1981, Case 1993, Frank 1994). Citar 'Case, K. y Fair, R.' y preferir ediciones recientes.</w:t>
      </w:r>
    </w:p>
    <w:p>
      <w:pPr>
        <w:numPr>
          <w:ilvl w:val="0"/>
          <w:numId w:val="908"/>
        </w:numPr>
        <w:spacing w:before="0" w:after="160" w:line="240" w:lineRule="auto"/>
        <w:jc w:val="both"/>
      </w:pPr>
      <w:r>
        <w:rPr>
          <w:rFonts w:ascii="Century Gothic" w:hAnsi="Century Gothic" w:cs="Century Gothic" w:eastAsia="Century Gothic"/>
          <w:b/>
          <w:i w:val="0"/>
          <w:sz w:val="20"/>
        </w:rPr>
        <w:t>Marcas de saber, Asignatura en conjunto.</w:t>
      </w:r>
      <w:r>
        <w:rPr>
          <w:rFonts w:ascii="Century Gothic" w:hAnsi="Century Gothic" w:cs="Century Gothic" w:eastAsia="Century Gothic"/>
          <w:b w:val="0"/>
          <w:i w:val="0"/>
          <w:sz w:val="20"/>
        </w:rPr>
        <w:t xml:space="preserve"> Casi todos los contenidos están en (C): solo uno es (C, P) y uno (C, A), y no hay ninguna (T), aunque los Productos 6 y 9 son hojas de cálculo y la evidencia 1.2 de E2 calcula en hoja de cálculo.</w:t>
      </w:r>
    </w:p>
    <w:p>
      <w:pPr>
        <w:numPr>
          <w:ilvl w:val="0"/>
          <w:numId w:val="908"/>
        </w:numPr>
        <w:spacing w:before="0" w:after="160" w:line="240" w:lineRule="auto"/>
        <w:jc w:val="both"/>
      </w:pPr>
      <w:r>
        <w:rPr>
          <w:rFonts w:ascii="Century Gothic" w:hAnsi="Century Gothic" w:cs="Century Gothic" w:eastAsia="Century Gothic"/>
          <w:b/>
          <w:i w:val="0"/>
          <w:sz w:val="20"/>
        </w:rPr>
        <w:t>Marcas de saber, E2 y E3, contenidos de cálculo.</w:t>
      </w:r>
      <w:r>
        <w:rPr>
          <w:rFonts w:ascii="Century Gothic" w:hAnsi="Century Gothic" w:cs="Century Gothic" w:eastAsia="Century Gothic"/>
          <w:b w:val="0"/>
          <w:i w:val="0"/>
          <w:sz w:val="20"/>
        </w:rPr>
        <w:t xml:space="preserve"> Contenidos como 'Equilibrio de mercado de un bien: representación funcional, tabular y gráfica' o 'Producción de equilibrio... con un factor fijo' son procedimentales y están marcados solo (C); faltan contenidos (P, T) como 'Cálculo de elasticidades y costos en hoja de cálculo'.</w:t>
      </w:r>
    </w:p>
    <w:p>
      <w:pPr>
        <w:numPr>
          <w:ilvl w:val="0"/>
          <w:numId w:val="908"/>
        </w:numPr>
        <w:spacing w:before="0" w:after="160" w:line="240" w:lineRule="auto"/>
        <w:jc w:val="both"/>
      </w:pPr>
      <w:r>
        <w:rPr>
          <w:rFonts w:ascii="Century Gothic" w:hAnsi="Century Gothic" w:cs="Century Gothic" w:eastAsia="Century Gothic"/>
          <w:b/>
          <w:i w:val="0"/>
          <w:sz w:val="20"/>
        </w:rPr>
        <w:t>Circunstanciales, E3, conocimientos circunstanciales: 'régimen boliviano... de defensa de la competencia'.</w:t>
      </w:r>
      <w:r>
        <w:rPr>
          <w:rFonts w:ascii="Century Gothic" w:hAnsi="Century Gothic" w:cs="Century Gothic" w:eastAsia="Century Gothic"/>
          <w:b w:val="0"/>
          <w:i w:val="0"/>
          <w:sz w:val="20"/>
        </w:rPr>
        <w:t xml:space="preserve"> La legislación de libre competencia y competencia desleal se dicta en DER-101 Derecho Comercial y Corporativo (E1, derecho de la competencia).</w:t>
      </w:r>
    </w:p>
    <w:p>
      <w:pPr>
        <w:numPr>
          <w:ilvl w:val="0"/>
          <w:numId w:val="908"/>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160, TOTAL 240) con unidades mezcladas ('16 hs.', '32 hr.'), aunque la guía pide dejarlas en blanco; el TOTAL de 240 h no coincide con las 160 h/año de la malla.</w:t>
      </w:r>
    </w:p>
    <w:p>
      <w:pPr>
        <w:numPr>
          <w:ilvl w:val="0"/>
          <w:numId w:val="908"/>
        </w:numPr>
        <w:spacing w:before="0" w:after="160" w:line="240" w:lineRule="auto"/>
        <w:jc w:val="both"/>
      </w:pPr>
      <w:r>
        <w:rPr>
          <w:rFonts w:ascii="Century Gothic" w:hAnsi="Century Gothic" w:cs="Century Gothic" w:eastAsia="Century Gothic"/>
          <w:b/>
          <w:i w:val="0"/>
          <w:sz w:val="20"/>
        </w:rPr>
        <w:t>Incoherencia interna, Actividades, estrategias y evaluación sumativa.</w:t>
      </w:r>
      <w:r>
        <w:rPr>
          <w:rFonts w:ascii="Century Gothic" w:hAnsi="Century Gothic" w:cs="Century Gothic" w:eastAsia="Century Gothic"/>
          <w:b w:val="0"/>
          <w:i w:val="0"/>
          <w:sz w:val="20"/>
        </w:rPr>
        <w:t xml:space="preserve"> Mencionan teoría de juegos, información asimétrica, juego de inspección, matrices de pagos y conflicto principal-agente, temas que no figuran en ningún elemento ni contenido.</w:t>
      </w:r>
    </w:p>
    <w:p>
      <w:pPr>
        <w:numPr>
          <w:ilvl w:val="0"/>
          <w:numId w:val="908"/>
        </w:numPr>
        <w:spacing w:before="0" w:after="200" w:line="240" w:lineRule="auto"/>
        <w:jc w:val="both"/>
      </w:pPr>
      <w:r>
        <w:rPr>
          <w:rFonts w:ascii="Century Gothic" w:hAnsi="Century Gothic" w:cs="Century Gothic" w:eastAsia="Century Gothic"/>
          <w:b/>
          <w:i w:val="0"/>
          <w:sz w:val="20"/>
        </w:rPr>
        <w:t>Incoherencia interna, Contenidos de todos los elementos.</w:t>
      </w:r>
      <w:r>
        <w:rPr>
          <w:rFonts w:ascii="Century Gothic" w:hAnsi="Century Gothic" w:cs="Century Gothic" w:eastAsia="Century Gothic"/>
          <w:b w:val="0"/>
          <w:i w:val="0"/>
          <w:sz w:val="20"/>
        </w:rPr>
        <w:t xml:space="preserve"> Los contenidos no van numerados (el informe de subcomisión los cita por número) y el primer conocimiento circunstancial de E1 no termina en punto.</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no registra cambio de nombre (la asignatura coincide con la malla). Documenta 4 cambios: nueva redacción de la unidad de competencia ('La redacción propuesta es extensa y redundante...'), eliminación del contenido 3 de E1 (escasez de recursos naturales y sostenibilidad), cambio a 'El flujo circular de la economía' y un nuevo conocimiento circunstancial sobre escasez en el mercado boliviano; los cuatro se reflejan en el itinerario. Discordancias: la unidad se copió con errores (sin paréntesis, 'Funcionamiento' con mayúscula, falta 'y'); el criterio 1 de E1 y las rúbricas 1 y 2 conservan los costos sociales y ambientales eliminados, y la evidencia y el Producto 1 siguen con 'circuito económico simple'; el cuadro resumen cita cambios en el 'elemento de competencia 5' y en la evaluación, y la conclusión en la 'carga horaria', sin detallarlos (el itinerario tiene 4 elementos y las actividades aún tratan teoría de juegos); la verificación marca la carga horaria conforme a la malla, pero el itinerario suma 240 h frente a 160.</w:t>
      </w:r>
    </w:p>
    <w:p>
      <w:pPr>
        <w:spacing w:before="0" w:after="200" w:line="240" w:lineRule="auto"/>
        <w:jc w:val="both"/>
      </w:pPr>
      <w:r>
        <w:rPr>
          <w:rFonts w:ascii="Century Gothic" w:hAnsi="Century Gothic" w:cs="Century Gothic" w:eastAsia="Century Gothic"/>
          <w:b w:val="0"/>
          <w:i w:val="0"/>
          <w:sz w:val="20"/>
        </w:rPr>
        <w:t>Se aplicaron 2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7.7</w:t>
        <w:tab/>
      </w:r>
      <w:r>
        <w:rPr>
          <w:rFonts w:ascii="Century Gothic" w:hAnsi="Century Gothic" w:cs="Century Gothic" w:eastAsia="Century Gothic"/>
          <w:b/>
          <w:i w:val="0"/>
          <w:sz w:val="22"/>
        </w:rPr>
        <w:t>MAT-101 Cálculo</w:t>
      </w:r>
    </w:p>
    <w:p>
      <w:pPr>
        <w:spacing w:before="0" w:after="200" w:line="240" w:lineRule="auto"/>
        <w:jc w:val="both"/>
      </w:pPr>
      <w:r>
        <w:rPr>
          <w:rFonts w:ascii="Century Gothic" w:hAnsi="Century Gothic" w:cs="Century Gothic" w:eastAsia="Century Gothic"/>
          <w:b w:val="0"/>
          <w:i w:val="0"/>
          <w:sz w:val="20"/>
        </w:rPr>
        <w:t xml:space="preserve">Archivo: MAT-101 Calculo.docx. Cumple 17 de 23 controles, 4 de forma parcial y no cumple 2.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completo y bien encadenado en E2 y E3, con rúbricas propias de cada producto y aplicaciones económicas pertinentes. Debe corregir el elemento 4 (la integral mezclada con Lagrange), el desajuste de E1 entre criterios y evidencias, el exceso de marcas (C) y la bibliografía, que incluye un decreto tributario ajeno a Cálculo y autores mal escritos.</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16, 32, 16, 16,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 de 7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09"/>
        </w:numPr>
        <w:spacing w:before="0" w:after="160" w:line="240" w:lineRule="auto"/>
        <w:jc w:val="both"/>
      </w:pPr>
      <w:r>
        <w:rPr>
          <w:rFonts w:ascii="Century Gothic" w:hAnsi="Century Gothic" w:cs="Century Gothic" w:eastAsia="Century Gothic"/>
          <w:b/>
          <w:i w:val="0"/>
          <w:sz w:val="20"/>
        </w:rPr>
        <w:t>Coherencia, Unidad de competencia.</w:t>
      </w:r>
      <w:r>
        <w:rPr>
          <w:rFonts w:ascii="Century Gothic" w:hAnsi="Century Gothic" w:cs="Century Gothic" w:eastAsia="Century Gothic"/>
          <w:b w:val="0"/>
          <w:i w:val="0"/>
          <w:sz w:val="20"/>
        </w:rPr>
        <w:t xml:space="preserve"> No incluye el contexto boliviano que exige la guía (sección 4, punto 4); habla de 'una entidad' sin ubicarla. Añadir 'de una entidad boliviana' o equivalente.</w:t>
      </w:r>
    </w:p>
    <w:p>
      <w:pPr>
        <w:numPr>
          <w:ilvl w:val="0"/>
          <w:numId w:val="909"/>
        </w:numPr>
        <w:spacing w:before="0" w:after="160" w:line="240" w:lineRule="auto"/>
        <w:jc w:val="both"/>
      </w:pPr>
      <w:r>
        <w:rPr>
          <w:rFonts w:ascii="Century Gothic" w:hAnsi="Century Gothic" w:cs="Century Gothic" w:eastAsia="Century Gothic"/>
          <w:b/>
          <w:i w:val="0"/>
          <w:sz w:val="20"/>
        </w:rPr>
        <w:t>Coherencia, E1, criterio 1 / evidencias 1.1 y 1.2 / Productos 1 y 2.</w:t>
      </w:r>
      <w:r>
        <w:rPr>
          <w:rFonts w:ascii="Century Gothic" w:hAnsi="Century Gothic" w:cs="Century Gothic" w:eastAsia="Century Gothic"/>
          <w:b w:val="0"/>
          <w:i w:val="0"/>
          <w:sz w:val="20"/>
        </w:rPr>
        <w:t xml:space="preserve"> El criterio 1 exige ecuaciones exponenciales y logarítmicas, pero ninguna evidencia las trabaja (1.1 solo lineales y cuadráticas) y la evidencia 1.2 resuelve un sistema de ecuaciones lineales, que corresponde al criterio 2. Reformular 1.2 sobre ecuaciones exponenciales o logarítmicas (por ejemplo, plazo con interés compuesto) y dejar los sistemas en el criterio 2.</w:t>
      </w:r>
    </w:p>
    <w:p>
      <w:pPr>
        <w:numPr>
          <w:ilvl w:val="0"/>
          <w:numId w:val="909"/>
        </w:numPr>
        <w:spacing w:before="0" w:after="160" w:line="240" w:lineRule="auto"/>
        <w:jc w:val="both"/>
      </w:pPr>
      <w:r>
        <w:rPr>
          <w:rFonts w:ascii="Century Gothic" w:hAnsi="Century Gothic" w:cs="Century Gothic" w:eastAsia="Century Gothic"/>
          <w:b/>
          <w:i w:val="0"/>
          <w:sz w:val="20"/>
        </w:rPr>
        <w:t>Coherencia, E1, Producto 2 / rúbrica.</w:t>
      </w:r>
      <w:r>
        <w:rPr>
          <w:rFonts w:ascii="Century Gothic" w:hAnsi="Century Gothic" w:cs="Century Gothic" w:eastAsia="Century Gothic"/>
          <w:b w:val="0"/>
          <w:i w:val="0"/>
          <w:sz w:val="20"/>
        </w:rPr>
        <w:t xml:space="preserve"> La evidencia 1.2 es un sistema de ecuaciones lineales, pero la rúbrica evalúa 'factorización, regla de Ruffini o el teorema del algebra', métodos para polinomios que no resuelven sistemas lineales. Ajustar la rúbrica a métodos de sistemas (sustitución, igualación, reducción, Cramer) o cambiar la evidencia.</w:t>
      </w:r>
    </w:p>
    <w:p>
      <w:pPr>
        <w:numPr>
          <w:ilvl w:val="0"/>
          <w:numId w:val="909"/>
        </w:numPr>
        <w:spacing w:before="0" w:after="160" w:line="240" w:lineRule="auto"/>
        <w:jc w:val="both"/>
      </w:pPr>
      <w:r>
        <w:rPr>
          <w:rFonts w:ascii="Century Gothic" w:hAnsi="Century Gothic" w:cs="Century Gothic" w:eastAsia="Century Gothic"/>
          <w:b/>
          <w:i w:val="0"/>
          <w:sz w:val="20"/>
        </w:rPr>
        <w:t>Coherencia, E4, enunciado del elemento.</w:t>
      </w:r>
      <w:r>
        <w:rPr>
          <w:rFonts w:ascii="Century Gothic" w:hAnsi="Century Gothic" w:cs="Century Gothic" w:eastAsia="Century Gothic"/>
          <w:b w:val="0"/>
          <w:i w:val="0"/>
          <w:sz w:val="20"/>
        </w:rPr>
        <w:t xml:space="preserve"> El elemento une la integral con el multiplicador de Lagrange ('aplicando el cálculo de áreas y el multiplicador de Lagrange'), pero Lagrange pertenece a las derivadas parciales (Tema 8, criterio 2); el enunciado no menciona derivadas parciales ni optimización con restricciones. Redactar: 'Calcula integrales indefinidas y definidas y optimiza funciones de varias variables con derivadas parciales y el multiplicador de Lagrange...'.</w:t>
      </w:r>
    </w:p>
    <w:p>
      <w:pPr>
        <w:numPr>
          <w:ilvl w:val="0"/>
          <w:numId w:val="909"/>
        </w:numPr>
        <w:spacing w:before="0" w:after="160" w:line="240" w:lineRule="auto"/>
        <w:jc w:val="both"/>
      </w:pPr>
      <w:r>
        <w:rPr>
          <w:rFonts w:ascii="Century Gothic" w:hAnsi="Century Gothic" w:cs="Century Gothic" w:eastAsia="Century Gothic"/>
          <w:b/>
          <w:i w:val="0"/>
          <w:sz w:val="20"/>
        </w:rPr>
        <w:t>Coherencia, E3, criterio 1 / evidencia 1.2 / Producto 10.</w:t>
      </w:r>
      <w:r>
        <w:rPr>
          <w:rFonts w:ascii="Century Gothic" w:hAnsi="Century Gothic" w:cs="Century Gothic" w:eastAsia="Century Gothic"/>
          <w:b w:val="0"/>
          <w:i w:val="0"/>
          <w:sz w:val="20"/>
        </w:rPr>
        <w:t xml:space="preserve"> El producto mezcla rectas tangentes con límites resueltos por L'Hôpital, dos temas sin relación en un solo cuadro; la rúbrica tiene un criterio 'Trabajo en equipo' cuyos niveles hablan de completitud del cuadro, no de la participación. Separar o justificar la combinación y redactar el criterio actitudinal con conductas de equipo (todos participan, revisión mutua).</w:t>
      </w:r>
    </w:p>
    <w:p>
      <w:pPr>
        <w:numPr>
          <w:ilvl w:val="0"/>
          <w:numId w:val="909"/>
        </w:numPr>
        <w:spacing w:before="0" w:after="160" w:line="240" w:lineRule="auto"/>
        <w:jc w:val="both"/>
      </w:pPr>
      <w:r>
        <w:rPr>
          <w:rFonts w:ascii="Century Gothic" w:hAnsi="Century Gothic" w:cs="Century Gothic" w:eastAsia="Century Gothic"/>
          <w:b/>
          <w:i w:val="0"/>
          <w:sz w:val="20"/>
        </w:rPr>
        <w:t>Coherencia, E3, Producto 11 / rúbrica.</w:t>
      </w:r>
      <w:r>
        <w:rPr>
          <w:rFonts w:ascii="Century Gothic" w:hAnsi="Century Gothic" w:cs="Century Gothic" w:eastAsia="Century Gothic"/>
          <w:b w:val="0"/>
          <w:i w:val="0"/>
          <w:sz w:val="20"/>
        </w:rPr>
        <w:t xml:space="preserve"> El Destacado 'Verifica cada punto con el criterio de la segunda derivada' no sirve para los puntos de inflexión, que se verifican por el cambio de signo de la segunda derivada. Redactar: 'Verifica los extremos con la segunda derivada y la inflexión por el cambio de concavidad'.</w:t>
      </w:r>
    </w:p>
    <w:p>
      <w:pPr>
        <w:numPr>
          <w:ilvl w:val="0"/>
          <w:numId w:val="909"/>
        </w:numPr>
        <w:spacing w:before="0" w:after="160" w:line="240" w:lineRule="auto"/>
        <w:jc w:val="both"/>
      </w:pPr>
      <w:r>
        <w:rPr>
          <w:rFonts w:ascii="Century Gothic" w:hAnsi="Century Gothic" w:cs="Century Gothic" w:eastAsia="Century Gothic"/>
          <w:b/>
          <w:i w:val="0"/>
          <w:sz w:val="20"/>
        </w:rPr>
        <w:t>Contenido técnico, E4, contenidos (Tema 7).</w:t>
      </w:r>
      <w:r>
        <w:rPr>
          <w:rFonts w:ascii="Century Gothic" w:hAnsi="Century Gothic" w:cs="Century Gothic" w:eastAsia="Century Gothic"/>
          <w:b w:val="0"/>
          <w:i w:val="0"/>
          <w:sz w:val="20"/>
        </w:rPr>
        <w:t xml:space="preserve"> 'Cálculo de áreas e integral de funciones impropias': lo impropio es la integral, no la función. Corrección: 'Cálculo de áreas e integrales impropias'.</w:t>
      </w:r>
    </w:p>
    <w:p>
      <w:pPr>
        <w:numPr>
          <w:ilvl w:val="0"/>
          <w:numId w:val="909"/>
        </w:numPr>
        <w:spacing w:before="0" w:after="160" w:line="240" w:lineRule="auto"/>
        <w:jc w:val="both"/>
      </w:pPr>
      <w:r>
        <w:rPr>
          <w:rFonts w:ascii="Century Gothic" w:hAnsi="Century Gothic" w:cs="Century Gothic" w:eastAsia="Century Gothic"/>
          <w:b/>
          <w:i w:val="0"/>
          <w:sz w:val="20"/>
        </w:rPr>
        <w:t>Contenido técnico, E1, evidencia 2.1 / Producto 3 / contenidos.</w:t>
      </w:r>
      <w:r>
        <w:rPr>
          <w:rFonts w:ascii="Century Gothic" w:hAnsi="Century Gothic" w:cs="Century Gothic" w:eastAsia="Century Gothic"/>
          <w:b w:val="0"/>
          <w:i w:val="0"/>
          <w:sz w:val="20"/>
        </w:rPr>
        <w:t xml:space="preserve"> Se habla de 'raíces reales de un sistema'; un sistema tiene soluciones (puntos de intersección), las raíces son de una ecuación o polinomio. Además 'Gráfica ... por el método gráfico' es redundante.</w:t>
      </w:r>
    </w:p>
    <w:p>
      <w:pPr>
        <w:numPr>
          <w:ilvl w:val="0"/>
          <w:numId w:val="909"/>
        </w:numPr>
        <w:spacing w:before="0" w:after="160" w:line="240" w:lineRule="auto"/>
        <w:jc w:val="both"/>
      </w:pPr>
      <w:r>
        <w:rPr>
          <w:rFonts w:ascii="Century Gothic" w:hAnsi="Century Gothic" w:cs="Century Gothic" w:eastAsia="Century Gothic"/>
          <w:b/>
          <w:i w:val="0"/>
          <w:sz w:val="20"/>
        </w:rPr>
        <w:t>Contenido técnico, Rúbrica del Producto 2.</w:t>
      </w:r>
      <w:r>
        <w:rPr>
          <w:rFonts w:ascii="Century Gothic" w:hAnsi="Century Gothic" w:cs="Century Gothic" w:eastAsia="Century Gothic"/>
          <w:b w:val="0"/>
          <w:i w:val="0"/>
          <w:sz w:val="20"/>
        </w:rPr>
        <w:t xml:space="preserve"> 'el teorema del algebra' omite 'fundamental': debe ser 'teorema fundamental del álgebra'.</w:t>
      </w:r>
    </w:p>
    <w:p>
      <w:pPr>
        <w:numPr>
          <w:ilvl w:val="0"/>
          <w:numId w:val="909"/>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Cita el Decreto Supremo N° 24051 (Reglamento del Impuesto sobre las Utilidades de las Empresas): norma tributaria sin relación con Cálculo; es incoherente y debe retirarse (corresponde a CPA-203 o DER-201).</w:t>
      </w:r>
    </w:p>
    <w:p>
      <w:pPr>
        <w:numPr>
          <w:ilvl w:val="0"/>
          <w:numId w:val="909"/>
        </w:numPr>
        <w:spacing w:before="0" w:after="160" w:line="240" w:lineRule="auto"/>
        <w:jc w:val="both"/>
      </w:pPr>
      <w:r>
        <w:rPr>
          <w:rFonts w:ascii="Century Gothic" w:hAnsi="Century Gothic" w:cs="Century Gothic" w:eastAsia="Century Gothic"/>
          <w:b/>
          <w:i w:val="0"/>
          <w:sz w:val="20"/>
        </w:rPr>
        <w:t>Contenido técnico, Bibliografía complementaria.</w:t>
      </w:r>
      <w:r>
        <w:rPr>
          <w:rFonts w:ascii="Century Gothic" w:hAnsi="Century Gothic" w:cs="Century Gothic" w:eastAsia="Century Gothic"/>
          <w:b w:val="0"/>
          <w:i w:val="0"/>
          <w:sz w:val="20"/>
        </w:rPr>
        <w:t xml:space="preserve"> 'Deminovich, R. P.' está mal escrito: el autor es B. P. Demidovich; además 'Madrid: Mir Moscú' mezcla ciudades (Mir es editorial de Moscú). 'Spiegel, R. M.' debe ser 'Spiegel, M. R.' (Murray R. Spiegel).</w:t>
      </w:r>
    </w:p>
    <w:p>
      <w:pPr>
        <w:numPr>
          <w:ilvl w:val="0"/>
          <w:numId w:val="909"/>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Ediciones antiguas (Ayres 1970, Leithold 1973) frente a la guía, que pide ediciones vigentes (por ejemplo, Leithold, El Cálculo, 7.ª ed.); 'Ejercicios resueltos de integrales...' y 'Ejercicios resueltos de límites...' no tienen autor, año ni editorial.</w:t>
      </w:r>
    </w:p>
    <w:p>
      <w:pPr>
        <w:numPr>
          <w:ilvl w:val="0"/>
          <w:numId w:val="909"/>
        </w:numPr>
        <w:spacing w:before="0" w:after="160" w:line="240" w:lineRule="auto"/>
        <w:jc w:val="both"/>
      </w:pPr>
      <w:r>
        <w:rPr>
          <w:rFonts w:ascii="Century Gothic" w:hAnsi="Century Gothic" w:cs="Century Gothic" w:eastAsia="Century Gothic"/>
          <w:b/>
          <w:i w:val="0"/>
          <w:sz w:val="20"/>
        </w:rPr>
        <w:t>Marcas de saber, E1, contenidos.</w:t>
      </w:r>
      <w:r>
        <w:rPr>
          <w:rFonts w:ascii="Century Gothic" w:hAnsi="Century Gothic" w:cs="Century Gothic" w:eastAsia="Century Gothic"/>
          <w:b w:val="0"/>
          <w:i w:val="0"/>
          <w:sz w:val="20"/>
        </w:rPr>
        <w:t xml:space="preserve"> Cinco de seis contenidos son (C), incluido 'Problemas que se resuelven aplicando ecuaciones y sistemas de ecuaciones. (C)', que es procedimental (P).</w:t>
      </w:r>
    </w:p>
    <w:p>
      <w:pPr>
        <w:numPr>
          <w:ilvl w:val="0"/>
          <w:numId w:val="909"/>
        </w:numPr>
        <w:spacing w:before="0" w:after="160" w:line="240" w:lineRule="auto"/>
        <w:jc w:val="both"/>
      </w:pPr>
      <w:r>
        <w:rPr>
          <w:rFonts w:ascii="Century Gothic" w:hAnsi="Century Gothic" w:cs="Century Gothic" w:eastAsia="Century Gothic"/>
          <w:b/>
          <w:i w:val="0"/>
          <w:sz w:val="20"/>
        </w:rPr>
        <w:t>Marcas de saber, E3 y E4, contenidos.</w:t>
      </w:r>
      <w:r>
        <w:rPr>
          <w:rFonts w:ascii="Century Gothic" w:hAnsi="Century Gothic" w:cs="Century Gothic" w:eastAsia="Century Gothic"/>
          <w:b w:val="0"/>
          <w:i w:val="0"/>
          <w:sz w:val="20"/>
        </w:rPr>
        <w:t xml:space="preserve"> 'Derivada de funciones algebraicas...', 'Recta tangente y recta normal... L'Hôpital', 'Gráfica de funciones' y 'Derivada parcial ... diferencial total' van solo con (C) aunque se calculan y grafican; deberían ser (C, P).</w:t>
      </w:r>
    </w:p>
    <w:p>
      <w:pPr>
        <w:numPr>
          <w:ilvl w:val="0"/>
          <w:numId w:val="909"/>
        </w:numPr>
        <w:spacing w:before="0" w:after="160" w:line="240" w:lineRule="auto"/>
        <w:jc w:val="both"/>
      </w:pPr>
      <w:r>
        <w:rPr>
          <w:rFonts w:ascii="Century Gothic" w:hAnsi="Century Gothic" w:cs="Century Gothic" w:eastAsia="Century Gothic"/>
          <w:b/>
          <w:i w:val="0"/>
          <w:sz w:val="20"/>
        </w:rPr>
        <w:t>Marcas de saber, Toda la asignatura.</w:t>
      </w:r>
      <w:r>
        <w:rPr>
          <w:rFonts w:ascii="Century Gothic" w:hAnsi="Century Gothic" w:cs="Century Gothic" w:eastAsia="Century Gothic"/>
          <w:b w:val="0"/>
          <w:i w:val="0"/>
          <w:sz w:val="20"/>
        </w:rPr>
        <w:t xml:space="preserve"> Hay evidencias en laboratorio con software de graficación y hoja de cálculo (E1 2.1, E3 2.1, E4 2.2), pero solo un contenido lleva (T); 'Gráfica de funciones' y 'Optimización con el multiplicador de Lagrange' deberían llevar (P, T). Solo un contenido lleva (A).</w:t>
      </w:r>
    </w:p>
    <w:p>
      <w:pPr>
        <w:numPr>
          <w:ilvl w:val="0"/>
          <w:numId w:val="909"/>
        </w:numPr>
        <w:spacing w:before="0" w:after="160" w:line="240" w:lineRule="auto"/>
        <w:jc w:val="both"/>
      </w:pPr>
      <w:r>
        <w:rPr>
          <w:rFonts w:ascii="Century Gothic" w:hAnsi="Century Gothic" w:cs="Century Gothic" w:eastAsia="Century Gothic"/>
          <w:b/>
          <w:i w:val="0"/>
          <w:sz w:val="20"/>
        </w:rPr>
        <w:t>Circunstanciales, E3, conocimientos circunstanciales.</w:t>
      </w:r>
      <w:r>
        <w:rPr>
          <w:rFonts w:ascii="Century Gothic" w:hAnsi="Century Gothic" w:cs="Century Gothic" w:eastAsia="Century Gothic"/>
          <w:b w:val="0"/>
          <w:i w:val="0"/>
          <w:sz w:val="20"/>
        </w:rPr>
        <w:t xml:space="preserve"> 'Noción de razón de cambio y de tasa de variación media' es parte del propio contenido de la derivada (Tema 4: incrementos); no es circunstancial.</w:t>
      </w:r>
    </w:p>
    <w:p>
      <w:pPr>
        <w:numPr>
          <w:ilvl w:val="0"/>
          <w:numId w:val="909"/>
        </w:numPr>
        <w:spacing w:before="0" w:after="160" w:line="240" w:lineRule="auto"/>
        <w:jc w:val="both"/>
      </w:pPr>
      <w:r>
        <w:rPr>
          <w:rFonts w:ascii="Century Gothic" w:hAnsi="Century Gothic" w:cs="Century Gothic" w:eastAsia="Century Gothic"/>
          <w:b/>
          <w:i w:val="0"/>
          <w:sz w:val="20"/>
        </w:rPr>
        <w:t>Circunstanciales, E4, conocimientos circunstanciales.</w:t>
      </w:r>
      <w:r>
        <w:rPr>
          <w:rFonts w:ascii="Century Gothic" w:hAnsi="Century Gothic" w:cs="Century Gothic" w:eastAsia="Century Gothic"/>
          <w:b w:val="0"/>
          <w:i w:val="0"/>
          <w:sz w:val="20"/>
        </w:rPr>
        <w:t xml:space="preserve"> 'Noción de sumas de Riemann' es la base de la definición de integral definida (Tema 7); es contenido propio, no circunstancial.</w:t>
      </w:r>
    </w:p>
    <w:p>
      <w:pPr>
        <w:numPr>
          <w:ilvl w:val="0"/>
          <w:numId w:val="909"/>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160 + 80 = TOTAL 240) cuando la guía pide dejarlas en blanco, y el total contradice las 160 h/año de la malla.</w:t>
      </w:r>
    </w:p>
    <w:p>
      <w:pPr>
        <w:numPr>
          <w:ilvl w:val="0"/>
          <w:numId w:val="909"/>
        </w:numPr>
        <w:spacing w:before="0" w:after="160" w:line="240" w:lineRule="auto"/>
        <w:jc w:val="both"/>
      </w:pPr>
      <w:r>
        <w:rPr>
          <w:rFonts w:ascii="Century Gothic" w:hAnsi="Century Gothic" w:cs="Century Gothic" w:eastAsia="Century Gothic"/>
          <w:b/>
          <w:i w:val="0"/>
          <w:sz w:val="20"/>
        </w:rPr>
        <w:t>Incoherencia interna, E2, contenidos / E1, contenidos.</w:t>
      </w:r>
      <w:r>
        <w:rPr>
          <w:rFonts w:ascii="Century Gothic" w:hAnsi="Century Gothic" w:cs="Century Gothic" w:eastAsia="Century Gothic"/>
          <w:b w:val="0"/>
          <w:i w:val="0"/>
          <w:sz w:val="20"/>
        </w:rPr>
        <w:t xml:space="preserve"> La depreciación en línea recta y el interés compuesto se repiten como aplicación en MAT-102 (Temas 2 y 8), MAT-201 (sumatoria) y CPA-201; conviene limitarlos aquí a ejemplos de funciones.</w:t>
      </w:r>
    </w:p>
    <w:p>
      <w:pPr>
        <w:numPr>
          <w:ilvl w:val="0"/>
          <w:numId w:val="909"/>
        </w:numPr>
        <w:spacing w:before="0" w:after="200" w:line="240" w:lineRule="auto"/>
        <w:jc w:val="both"/>
      </w:pPr>
      <w:r>
        <w:rPr>
          <w:rFonts w:ascii="Century Gothic" w:hAnsi="Century Gothic" w:cs="Century Gothic" w:eastAsia="Century Gothic"/>
          <w:b/>
          <w:i w:val="0"/>
          <w:sz w:val="20"/>
        </w:rPr>
        <w:t>Incoherencia interna, E2, Tema 2.</w:t>
      </w:r>
      <w:r>
        <w:rPr>
          <w:rFonts w:ascii="Century Gothic" w:hAnsi="Century Gothic" w:cs="Century Gothic" w:eastAsia="Century Gothic"/>
          <w:b w:val="0"/>
          <w:i w:val="0"/>
          <w:sz w:val="20"/>
        </w:rPr>
        <w:t xml:space="preserve"> El tema se llama 'Funciones con Geometría Analítica', pero no hay contenidos de geometría analítica (recta, cónicas); solo funciones.</w:t>
      </w:r>
    </w:p>
    <w:p>
      <w:pPr>
        <w:spacing w:before="0" w:after="200" w:line="240" w:lineRule="auto"/>
        <w:jc w:val="both"/>
      </w:pPr>
      <w:r>
        <w:rPr>
          <w:rFonts w:ascii="Century Gothic" w:hAnsi="Century Gothic" w:cs="Century Gothic" w:eastAsia="Century Gothic"/>
          <w:b w:val="0"/>
          <w:i w:val="0"/>
          <w:sz w:val="20"/>
        </w:rPr>
        <w:t>Se aplicaron 3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7.8</w:t>
        <w:tab/>
      </w:r>
      <w:r>
        <w:rPr>
          <w:rFonts w:ascii="Century Gothic" w:hAnsi="Century Gothic" w:cs="Century Gothic" w:eastAsia="Century Gothic"/>
          <w:b/>
          <w:i w:val="0"/>
          <w:sz w:val="22"/>
        </w:rPr>
        <w:t>MAT-102 Matemáticas Financieras</w:t>
      </w:r>
    </w:p>
    <w:p>
      <w:pPr>
        <w:spacing w:before="0" w:after="200" w:line="240" w:lineRule="auto"/>
        <w:jc w:val="both"/>
      </w:pPr>
      <w:r>
        <w:rPr>
          <w:rFonts w:ascii="Century Gothic" w:hAnsi="Century Gothic" w:cs="Century Gothic" w:eastAsia="Century Gothic"/>
          <w:b w:val="0"/>
          <w:i w:val="0"/>
          <w:sz w:val="20"/>
        </w:rPr>
        <w:t xml:space="preserve">Archivo: MAT-102 Matematicas Financieras.docx. Cumple 19 de 23 controles, 4 de forma parcial y no cumple 0.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Es el itinerario más sólido del grupo: está anclado en el sistema financiero boliviano (ASFI, BCB, UFV, BBV), tiene normas bien citadas y rúbricas específicas. Sus debilidades son la marca (A) mal usada, el predominio de (C) y algunos criterios cuyas evidencias no cubren lo exigido (costo de proveedores, amortizaciones anticipadas, acciones). Además repite contenidos de CPA-201, ECO-301 y CPA-405.</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10, 10, 30, 30,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de 10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solo 1 fragmentos resaltados en amarillo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10"/>
        </w:numPr>
        <w:spacing w:before="0" w:after="160" w:line="240" w:lineRule="auto"/>
        <w:jc w:val="both"/>
      </w:pPr>
      <w:r>
        <w:rPr>
          <w:rFonts w:ascii="Century Gothic" w:hAnsi="Century Gothic" w:cs="Century Gothic" w:eastAsia="Century Gothic"/>
          <w:b/>
          <w:i w:val="0"/>
          <w:sz w:val="20"/>
        </w:rPr>
        <w:t>Coherencia, E1, criterio 2 / Producto 4 / rúbrica.</w:t>
      </w:r>
      <w:r>
        <w:rPr>
          <w:rFonts w:ascii="Century Gothic" w:hAnsi="Century Gothic" w:cs="Century Gothic" w:eastAsia="Century Gothic"/>
          <w:b w:val="0"/>
          <w:i w:val="0"/>
          <w:sz w:val="20"/>
        </w:rPr>
        <w:t xml:space="preserve"> El criterio exige 'el costo efectivo de la financiación vía proveedores', pero ninguna evidencia lo trabaja; la rúbrica del Producto 4 (actualización con UFV y tasa real) incluye un criterio 'Costo de proveedores' (descuento por pronto pago) que no corresponde a ese producto. Crear una evidencia y un producto sobre el costo del crédito de proveedores, o retirar ese criterio de la rúbrica 4 y del criterio de desempeño.</w:t>
      </w:r>
    </w:p>
    <w:p>
      <w:pPr>
        <w:numPr>
          <w:ilvl w:val="0"/>
          <w:numId w:val="910"/>
        </w:numPr>
        <w:spacing w:before="0" w:after="160" w:line="240" w:lineRule="auto"/>
        <w:jc w:val="both"/>
      </w:pPr>
      <w:r>
        <w:rPr>
          <w:rFonts w:ascii="Century Gothic" w:hAnsi="Century Gothic" w:cs="Century Gothic" w:eastAsia="Century Gothic"/>
          <w:b/>
          <w:i w:val="0"/>
          <w:sz w:val="20"/>
        </w:rPr>
        <w:t>Coherencia, E3, criterio 1 / evidencia 1.2 / Producto 10.</w:t>
      </w:r>
      <w:r>
        <w:rPr>
          <w:rFonts w:ascii="Century Gothic" w:hAnsi="Century Gothic" w:cs="Century Gothic" w:eastAsia="Century Gothic"/>
          <w:b w:val="0"/>
          <w:i w:val="0"/>
          <w:sz w:val="20"/>
        </w:rPr>
        <w:t xml:space="preserve"> El criterio pide cuadros con periodos de gracia, tasas variables y amortizaciones anticipadas; la evidencia 1.2 (saldo insoluto y tanto efectivo) no responde a eso y ninguna evidencia trabaja las amortizaciones anticipadas. Reorientar 1.2 a un cuadro con periodo de gracia o amortización anticipada, o ampliar el criterio al tanto efectivo.</w:t>
      </w:r>
    </w:p>
    <w:p>
      <w:pPr>
        <w:numPr>
          <w:ilvl w:val="0"/>
          <w:numId w:val="910"/>
        </w:numPr>
        <w:spacing w:before="0" w:after="160" w:line="240" w:lineRule="auto"/>
        <w:jc w:val="both"/>
      </w:pPr>
      <w:r>
        <w:rPr>
          <w:rFonts w:ascii="Century Gothic" w:hAnsi="Century Gothic" w:cs="Century Gothic" w:eastAsia="Century Gothic"/>
          <w:b/>
          <w:i w:val="0"/>
          <w:sz w:val="20"/>
        </w:rPr>
        <w:t>Coherencia, E3, criterio 2 / evidencia 2.2 / Producto 12.</w:t>
      </w:r>
      <w:r>
        <w:rPr>
          <w:rFonts w:ascii="Century Gothic" w:hAnsi="Century Gothic" w:cs="Century Gothic" w:eastAsia="Century Gothic"/>
          <w:b w:val="0"/>
          <w:i w:val="0"/>
          <w:sz w:val="20"/>
        </w:rPr>
        <w:t xml:space="preserve"> El criterio trata de fondos de amortización, pero el Producto 12 es la renegociación de una deuda con tabla reprogramada, que no usa un fondo de amortización. Vincular la renegociación al fondo (por ejemplo, sustitución de la deuda por un fondo de amortización) o reformular el criterio.</w:t>
      </w:r>
    </w:p>
    <w:p>
      <w:pPr>
        <w:numPr>
          <w:ilvl w:val="0"/>
          <w:numId w:val="910"/>
        </w:numPr>
        <w:spacing w:before="0" w:after="160" w:line="240" w:lineRule="auto"/>
        <w:jc w:val="both"/>
      </w:pPr>
      <w:r>
        <w:rPr>
          <w:rFonts w:ascii="Century Gothic" w:hAnsi="Century Gothic" w:cs="Century Gothic" w:eastAsia="Century Gothic"/>
          <w:b/>
          <w:i w:val="0"/>
          <w:sz w:val="20"/>
        </w:rPr>
        <w:t>Coherencia, E5, criterio 1.</w:t>
      </w:r>
      <w:r>
        <w:rPr>
          <w:rFonts w:ascii="Century Gothic" w:hAnsi="Century Gothic" w:cs="Century Gothic" w:eastAsia="Century Gothic"/>
          <w:b w:val="0"/>
          <w:i w:val="0"/>
          <w:sz w:val="20"/>
        </w:rPr>
        <w:t xml:space="preserve"> El criterio incluye la evaluación de acciones, pero ninguna evidencia ni producto valora acciones (Productos 17 y 18: bono y proyecto). Incluir la valoración de acciones en una evidencia o retirarla del criterio.</w:t>
      </w:r>
    </w:p>
    <w:p>
      <w:pPr>
        <w:numPr>
          <w:ilvl w:val="0"/>
          <w:numId w:val="910"/>
        </w:numPr>
        <w:spacing w:before="0" w:after="160" w:line="240" w:lineRule="auto"/>
        <w:jc w:val="both"/>
      </w:pPr>
      <w:r>
        <w:rPr>
          <w:rFonts w:ascii="Century Gothic" w:hAnsi="Century Gothic" w:cs="Century Gothic" w:eastAsia="Century Gothic"/>
          <w:b/>
          <w:i w:val="0"/>
          <w:sz w:val="20"/>
        </w:rPr>
        <w:t>Coherencia, Rúbrica del Producto 2.</w:t>
      </w:r>
      <w:r>
        <w:rPr>
          <w:rFonts w:ascii="Century Gothic" w:hAnsi="Century Gothic" w:cs="Century Gothic" w:eastAsia="Century Gothic"/>
          <w:b w:val="0"/>
          <w:i w:val="0"/>
          <w:sz w:val="20"/>
        </w:rPr>
        <w:t xml:space="preserve"> El criterio 'Trabajo en equipo' describe la completitud del cuadro y la recomendación de la oferta, no la conducta del equipo. Redactar niveles sobre la participación de los integrantes.</w:t>
      </w:r>
    </w:p>
    <w:p>
      <w:pPr>
        <w:numPr>
          <w:ilvl w:val="0"/>
          <w:numId w:val="910"/>
        </w:numPr>
        <w:spacing w:before="0" w:after="160" w:line="240" w:lineRule="auto"/>
        <w:jc w:val="both"/>
      </w:pPr>
      <w:r>
        <w:rPr>
          <w:rFonts w:ascii="Century Gothic" w:hAnsi="Century Gothic" w:cs="Century Gothic" w:eastAsia="Century Gothic"/>
          <w:b/>
          <w:i w:val="0"/>
          <w:sz w:val="20"/>
        </w:rPr>
        <w:t>Contenido técnico, E3, contenidos.</w:t>
      </w:r>
      <w:r>
        <w:rPr>
          <w:rFonts w:ascii="Century Gothic" w:hAnsi="Century Gothic" w:cs="Century Gothic" w:eastAsia="Century Gothic"/>
          <w:b w:val="0"/>
          <w:i w:val="0"/>
          <w:sz w:val="20"/>
        </w:rPr>
        <w:t xml:space="preserve"> 'Reembolso único con pago periódico de intereses o sistema in fine' y 'Sistema americano...' son el mismo sistema; 'Cuota de amortización constante' es el sistema alemán, que vuelve a figurar como 'Sistema alemán'. Se duplican conceptos con nombres distintos.</w:t>
      </w:r>
    </w:p>
    <w:p>
      <w:pPr>
        <w:numPr>
          <w:ilvl w:val="0"/>
          <w:numId w:val="910"/>
        </w:numPr>
        <w:spacing w:before="0" w:after="160" w:line="240" w:lineRule="auto"/>
        <w:jc w:val="both"/>
      </w:pPr>
      <w:r>
        <w:rPr>
          <w:rFonts w:ascii="Century Gothic" w:hAnsi="Century Gothic" w:cs="Century Gothic" w:eastAsia="Century Gothic"/>
          <w:b/>
          <w:i w:val="0"/>
          <w:sz w:val="20"/>
        </w:rPr>
        <w:t>Contenido técnico, E4, contenidos.</w:t>
      </w:r>
      <w:r>
        <w:rPr>
          <w:rFonts w:ascii="Century Gothic" w:hAnsi="Century Gothic" w:cs="Century Gothic" w:eastAsia="Century Gothic"/>
          <w:b w:val="0"/>
          <w:i w:val="0"/>
          <w:sz w:val="20"/>
        </w:rPr>
        <w:t xml:space="preserve"> 'Métodos de depreciación: línea recta, depreciación acelerada y suma de los dígitos' presenta la suma de dígitos como algo distinto de la depreciación acelerada, cuando es uno de sus métodos.</w:t>
      </w:r>
    </w:p>
    <w:p>
      <w:pPr>
        <w:numPr>
          <w:ilvl w:val="0"/>
          <w:numId w:val="910"/>
        </w:numPr>
        <w:spacing w:before="0" w:after="160" w:line="240" w:lineRule="auto"/>
        <w:jc w:val="both"/>
      </w:pPr>
      <w:r>
        <w:rPr>
          <w:rFonts w:ascii="Century Gothic" w:hAnsi="Century Gothic" w:cs="Century Gothic" w:eastAsia="Century Gothic"/>
          <w:b/>
          <w:i w:val="0"/>
          <w:sz w:val="20"/>
        </w:rPr>
        <w:t>Contenido técnico, Bibliografía complementaria.</w:t>
      </w:r>
      <w:r>
        <w:rPr>
          <w:rFonts w:ascii="Century Gothic" w:hAnsi="Century Gothic" w:cs="Century Gothic" w:eastAsia="Century Gothic"/>
          <w:b w:val="0"/>
          <w:i w:val="0"/>
          <w:sz w:val="20"/>
        </w:rPr>
        <w:t xml:space="preserve"> El D.S. N° 24051 (Reglamento del IUE) solo es pertinente para los coeficientes de depreciación de su anexo; si no se usa con ese fin, es norma tributaria que corresponde a CPA-203.</w:t>
      </w:r>
    </w:p>
    <w:p>
      <w:pPr>
        <w:numPr>
          <w:ilvl w:val="0"/>
          <w:numId w:val="910"/>
        </w:numPr>
        <w:spacing w:before="0" w:after="160" w:line="240" w:lineRule="auto"/>
        <w:jc w:val="both"/>
      </w:pPr>
      <w:r>
        <w:rPr>
          <w:rFonts w:ascii="Century Gothic" w:hAnsi="Century Gothic" w:cs="Century Gothic" w:eastAsia="Century Gothic"/>
          <w:b/>
          <w:i w:val="0"/>
          <w:sz w:val="20"/>
        </w:rPr>
        <w:t>Marcas de saber, E2 y E3, contenidos.</w:t>
      </w:r>
      <w:r>
        <w:rPr>
          <w:rFonts w:ascii="Century Gothic" w:hAnsi="Century Gothic" w:cs="Century Gothic" w:eastAsia="Century Gothic"/>
          <w:b w:val="0"/>
          <w:i w:val="0"/>
          <w:sz w:val="20"/>
        </w:rPr>
        <w:t xml:space="preserve"> Se marca (A) en 'Rentas en progresión aritmética enteras, ciertas y perpetuas...', 'Rentas en progresión aritmética anticipadas, vencidas y diferidas' y 'Amortización con cuotas en progresión aritmética y geométrica', contenidos de cálculo sin conducta actitudinal; deben ser (C, P).</w:t>
      </w:r>
    </w:p>
    <w:p>
      <w:pPr>
        <w:numPr>
          <w:ilvl w:val="0"/>
          <w:numId w:val="910"/>
        </w:numPr>
        <w:spacing w:before="0" w:after="160" w:line="240" w:lineRule="auto"/>
        <w:jc w:val="both"/>
      </w:pPr>
      <w:r>
        <w:rPr>
          <w:rFonts w:ascii="Century Gothic" w:hAnsi="Century Gothic" w:cs="Century Gothic" w:eastAsia="Century Gothic"/>
          <w:b/>
          <w:i w:val="0"/>
          <w:sz w:val="20"/>
        </w:rPr>
        <w:t>Marcas de saber, Toda la asignatura.</w:t>
      </w:r>
      <w:r>
        <w:rPr>
          <w:rFonts w:ascii="Century Gothic" w:hAnsi="Century Gothic" w:cs="Century Gothic" w:eastAsia="Century Gothic"/>
          <w:b w:val="0"/>
          <w:i w:val="0"/>
          <w:sz w:val="20"/>
        </w:rPr>
        <w:t xml:space="preserve"> Salvo la línea final de Excel de cada tema, casi todos los contenidos son (C) aunque son cálculos (descuento, capitalización, rentas, sistemas de amortización, depreciación); deberían ser (C, P).</w:t>
      </w:r>
    </w:p>
    <w:p>
      <w:pPr>
        <w:numPr>
          <w:ilvl w:val="0"/>
          <w:numId w:val="910"/>
        </w:numPr>
        <w:spacing w:before="0" w:after="160" w:line="240" w:lineRule="auto"/>
        <w:jc w:val="both"/>
      </w:pPr>
      <w:r>
        <w:rPr>
          <w:rFonts w:ascii="Century Gothic" w:hAnsi="Century Gothic" w:cs="Century Gothic" w:eastAsia="Century Gothic"/>
          <w:b/>
          <w:i w:val="0"/>
          <w:sz w:val="20"/>
        </w:rPr>
        <w:t>Marcas de saber, E5, contenidos.</w:t>
      </w:r>
      <w:r>
        <w:rPr>
          <w:rFonts w:ascii="Century Gothic" w:hAnsi="Century Gothic" w:cs="Century Gothic" w:eastAsia="Century Gothic"/>
          <w:b w:val="0"/>
          <w:i w:val="0"/>
          <w:sz w:val="20"/>
        </w:rPr>
        <w:t xml:space="preserve"> 'Simulador de inversiones en bolsa, (T)' lleva solo (T) y ninguna evidencia lo opera.</w:t>
      </w:r>
    </w:p>
    <w:p>
      <w:pPr>
        <w:numPr>
          <w:ilvl w:val="0"/>
          <w:numId w:val="910"/>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Horas llenas (HP 160 + 80 = TOTAL 240) cuando la guía pide dejarlas en blanco; el total contradice las 160 h/año de la malla.</w:t>
      </w:r>
    </w:p>
    <w:p>
      <w:pPr>
        <w:numPr>
          <w:ilvl w:val="0"/>
          <w:numId w:val="910"/>
        </w:numPr>
        <w:spacing w:before="0" w:after="160" w:line="240" w:lineRule="auto"/>
        <w:jc w:val="both"/>
      </w:pPr>
      <w:r>
        <w:rPr>
          <w:rFonts w:ascii="Century Gothic" w:hAnsi="Century Gothic" w:cs="Century Gothic" w:eastAsia="Century Gothic"/>
          <w:b/>
          <w:i w:val="0"/>
          <w:sz w:val="20"/>
        </w:rPr>
        <w:t>Incoherencia interna, E4 completo.</w:t>
      </w:r>
      <w:r>
        <w:rPr>
          <w:rFonts w:ascii="Century Gothic" w:hAnsi="Century Gothic" w:cs="Century Gothic" w:eastAsia="Century Gothic"/>
          <w:b w:val="0"/>
          <w:i w:val="0"/>
          <w:sz w:val="20"/>
        </w:rPr>
        <w:t xml:space="preserve"> La depreciación por línea recta, suma de dígitos y unidades producidas, y el agotamiento, se dictan en CPA-201 (E5, Producto 17 'Cuadro comparativo de depreciación por métodos'); el agotamiento minero se repite en CPA-401.</w:t>
      </w:r>
    </w:p>
    <w:p>
      <w:pPr>
        <w:numPr>
          <w:ilvl w:val="0"/>
          <w:numId w:val="910"/>
        </w:numPr>
        <w:spacing w:before="0" w:after="160" w:line="240" w:lineRule="auto"/>
        <w:jc w:val="both"/>
      </w:pPr>
      <w:r>
        <w:rPr>
          <w:rFonts w:ascii="Century Gothic" w:hAnsi="Century Gothic" w:cs="Century Gothic" w:eastAsia="Century Gothic"/>
          <w:b/>
          <w:i w:val="0"/>
          <w:sz w:val="20"/>
        </w:rPr>
        <w:t>Incoherencia interna, E5, criterio 1 / Tema 10 y Tema 11.</w:t>
      </w:r>
      <w:r>
        <w:rPr>
          <w:rFonts w:ascii="Century Gothic" w:hAnsi="Century Gothic" w:cs="Century Gothic" w:eastAsia="Century Gothic"/>
          <w:b w:val="0"/>
          <w:i w:val="0"/>
          <w:sz w:val="20"/>
        </w:rPr>
        <w:t xml:space="preserve"> El VAN, la TIR, el periodo de recuperación y la valoración de bonos y acciones se repiten en ECO-301 y CPA-405; conviene que MAT-102 se limite al cálculo financiero de base.</w:t>
      </w:r>
    </w:p>
    <w:p>
      <w:pPr>
        <w:numPr>
          <w:ilvl w:val="0"/>
          <w:numId w:val="910"/>
        </w:numPr>
        <w:spacing w:before="0" w:after="200" w:line="240" w:lineRule="auto"/>
        <w:jc w:val="both"/>
      </w:pPr>
      <w:r>
        <w:rPr>
          <w:rFonts w:ascii="Century Gothic" w:hAnsi="Century Gothic" w:cs="Century Gothic" w:eastAsia="Century Gothic"/>
          <w:b/>
          <w:i w:val="0"/>
          <w:sz w:val="20"/>
        </w:rPr>
        <w:t>Incoherencia interna, Productos 3 y 12.</w:t>
      </w:r>
      <w:r>
        <w:rPr>
          <w:rFonts w:ascii="Century Gothic" w:hAnsi="Century Gothic" w:cs="Century Gothic" w:eastAsia="Century Gothic"/>
          <w:b w:val="0"/>
          <w:i w:val="0"/>
          <w:sz w:val="20"/>
        </w:rPr>
        <w:t xml:space="preserve"> 'Informe de reprogramación de una deuda con ecuaciones de valor' e 'Informe de renegociación de deuda con la tabla reprogramada' evalúan casi la misma situación en dos elementos.</w:t>
      </w:r>
    </w:p>
    <w:p>
      <w:pPr>
        <w:spacing w:before="0" w:after="200" w:line="240" w:lineRule="auto"/>
        <w:jc w:val="both"/>
      </w:pPr>
      <w:r>
        <w:rPr>
          <w:rFonts w:ascii="Century Gothic" w:hAnsi="Century Gothic" w:cs="Century Gothic" w:eastAsia="Century Gothic"/>
          <w:b w:val="0"/>
          <w:i w:val="0"/>
          <w:sz w:val="20"/>
        </w:rPr>
        <w:t>Se aplicaron 3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7.9</w:t>
        <w:tab/>
      </w:r>
      <w:r>
        <w:rPr>
          <w:rFonts w:ascii="Century Gothic" w:hAnsi="Century Gothic" w:cs="Century Gothic" w:eastAsia="Century Gothic"/>
          <w:b/>
          <w:i w:val="0"/>
          <w:sz w:val="22"/>
        </w:rPr>
        <w:t>CPA-201 Contabilidad Intermedia</w:t>
      </w:r>
    </w:p>
    <w:p>
      <w:pPr>
        <w:spacing w:before="0" w:after="200" w:line="240" w:lineRule="auto"/>
        <w:jc w:val="both"/>
      </w:pPr>
      <w:r>
        <w:rPr>
          <w:rFonts w:ascii="Century Gothic" w:hAnsi="Century Gothic" w:cs="Century Gothic" w:eastAsia="Century Gothic"/>
          <w:b w:val="0"/>
          <w:i w:val="0"/>
          <w:sz w:val="20"/>
        </w:rPr>
        <w:t xml:space="preserve">Archivo: CPA-201_Contabilidad_Intermedia_final.docx. Cumple 17 de 23 controles, 4 de forma parcial y no cumple 2.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amplio y técnicamente sólido en el tratamiento rubro por rubro, con rúbricas específicas y buen uso de la hoja de cálculo y del RCV. Debilitan la cadena la falta de contenidos para la NIIF 15 y la NIIF 16 que se evalúan, la unidad que promete flujos de efectivo, los errores sobre patentes y gastos de organización, y las repeticiones con CPA-101, CPA-202 y DER-101; además no coincide con los cambios que declara el informe de la subcomisión.</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20, 20, 20, 20,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de 121 contenidos sin marca C, P, A o T; 1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16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«a través»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11"/>
        </w:numPr>
        <w:spacing w:before="0" w:after="160" w:line="240" w:lineRule="auto"/>
        <w:jc w:val="both"/>
      </w:pPr>
      <w:r>
        <w:rPr>
          <w:rFonts w:ascii="Century Gothic" w:hAnsi="Century Gothic" w:cs="Century Gothic" w:eastAsia="Century Gothic"/>
          <w:b/>
          <w:i w:val="0"/>
          <w:sz w:val="20"/>
        </w:rPr>
        <w:t>Coherencia, Unidad de competencia ↔ elementos.</w:t>
      </w:r>
      <w:r>
        <w:rPr>
          <w:rFonts w:ascii="Century Gothic" w:hAnsi="Century Gothic" w:cs="Century Gothic" w:eastAsia="Century Gothic"/>
          <w:b w:val="0"/>
          <w:i w:val="0"/>
          <w:sz w:val="20"/>
        </w:rPr>
        <w:t xml:space="preserve"> La unidad promete estructurar los 'flujos de efectivo' de la entidad, pero ningún elemento, criterio ni producto trata el estado de flujos de efectivo. Retirar los flujos de efectivo de la unidad o incorporar el tema en un elemento.</w:t>
      </w:r>
    </w:p>
    <w:p>
      <w:pPr>
        <w:numPr>
          <w:ilvl w:val="0"/>
          <w:numId w:val="911"/>
        </w:numPr>
        <w:spacing w:before="0" w:after="160" w:line="240" w:lineRule="auto"/>
        <w:jc w:val="both"/>
      </w:pPr>
      <w:r>
        <w:rPr>
          <w:rFonts w:ascii="Century Gothic" w:hAnsi="Century Gothic" w:cs="Century Gothic" w:eastAsia="Century Gothic"/>
          <w:b/>
          <w:i w:val="0"/>
          <w:sz w:val="20"/>
        </w:rPr>
        <w:t>Coherencia, E10, criterio 1, evidencia 1.2 / Producto 38.</w:t>
      </w:r>
      <w:r>
        <w:rPr>
          <w:rFonts w:ascii="Century Gothic" w:hAnsi="Century Gothic" w:cs="Century Gothic" w:eastAsia="Century Gothic"/>
          <w:b w:val="0"/>
          <w:i w:val="0"/>
          <w:sz w:val="20"/>
        </w:rPr>
        <w:t xml:space="preserve"> El criterio pide clasificar gastos e ingresos por función y naturaleza, pero la evidencia 1.2 aplica los cinco pasos de la NIIF 15; además ningún contenido de los Temas 23 a 25 desarrolla la NIIF 15. Añadir el contenido de reconocimiento de ingresos de la NIIF 15 y redactar el criterio de modo que lo incluya, o reemplazar la evidencia.</w:t>
      </w:r>
    </w:p>
    <w:p>
      <w:pPr>
        <w:numPr>
          <w:ilvl w:val="0"/>
          <w:numId w:val="911"/>
        </w:numPr>
        <w:spacing w:before="0" w:after="160" w:line="240" w:lineRule="auto"/>
        <w:jc w:val="both"/>
      </w:pPr>
      <w:r>
        <w:rPr>
          <w:rFonts w:ascii="Century Gothic" w:hAnsi="Century Gothic" w:cs="Century Gothic" w:eastAsia="Century Gothic"/>
          <w:b/>
          <w:i w:val="0"/>
          <w:sz w:val="20"/>
        </w:rPr>
        <w:t>Coherencia, E10, criterio 2, evidencia 2.2 / Producto 40.</w:t>
      </w:r>
      <w:r>
        <w:rPr>
          <w:rFonts w:ascii="Century Gothic" w:hAnsi="Century Gothic" w:cs="Century Gothic" w:eastAsia="Century Gothic"/>
          <w:b w:val="0"/>
          <w:i w:val="0"/>
          <w:sz w:val="20"/>
        </w:rPr>
        <w:t xml:space="preserve"> La evidencia es sustentar ante el curso la estructura del plan de cuentas, pero el producto es un 'Manual de cuentas', que no resulta de esa acción. Cambiar el producto por el guion o informe de sustentación, o la evidencia por la redacción del manual.</w:t>
      </w:r>
    </w:p>
    <w:p>
      <w:pPr>
        <w:numPr>
          <w:ilvl w:val="0"/>
          <w:numId w:val="911"/>
        </w:numPr>
        <w:spacing w:before="0" w:after="160" w:line="240" w:lineRule="auto"/>
        <w:jc w:val="both"/>
      </w:pPr>
      <w:r>
        <w:rPr>
          <w:rFonts w:ascii="Century Gothic" w:hAnsi="Century Gothic" w:cs="Century Gothic" w:eastAsia="Century Gothic"/>
          <w:b/>
          <w:i w:val="0"/>
          <w:sz w:val="20"/>
        </w:rPr>
        <w:t>Coherencia, E8, criterio 2, evidencia 2.2 / Producto 32.</w:t>
      </w:r>
      <w:r>
        <w:rPr>
          <w:rFonts w:ascii="Century Gothic" w:hAnsi="Century Gothic" w:cs="Century Gothic" w:eastAsia="Century Gothic"/>
          <w:b w:val="0"/>
          <w:i w:val="0"/>
          <w:sz w:val="20"/>
        </w:rPr>
        <w:t xml:space="preserve"> La evidencia calcula el activo por derecho de uso y el pasivo por arrendamiento (modelo de la NIIF 16) y la rúbrica compara la NIIF 16, pero los contenidos del Tema 20 solo tratan la clasificación financiero/operativo en ambas partes, sin la NIIF 16. Incorporar en el Tema 20 el modelo del arrendatario de la NIIF 16 o retirar ese producto, en línea con lo decidido por la subcomisión.</w:t>
      </w:r>
    </w:p>
    <w:p>
      <w:pPr>
        <w:numPr>
          <w:ilvl w:val="0"/>
          <w:numId w:val="911"/>
        </w:numPr>
        <w:spacing w:before="0" w:after="160" w:line="240" w:lineRule="auto"/>
        <w:jc w:val="both"/>
      </w:pPr>
      <w:r>
        <w:rPr>
          <w:rFonts w:ascii="Century Gothic" w:hAnsi="Century Gothic" w:cs="Century Gothic" w:eastAsia="Century Gothic"/>
          <w:b/>
          <w:i w:val="0"/>
          <w:sz w:val="20"/>
        </w:rPr>
        <w:t>Coherencia, E3, criterio 2, evidencia 2.2 / Producto 12.</w:t>
      </w:r>
      <w:r>
        <w:rPr>
          <w:rFonts w:ascii="Century Gothic" w:hAnsi="Century Gothic" w:cs="Century Gothic" w:eastAsia="Century Gothic"/>
          <w:b w:val="0"/>
          <w:i w:val="0"/>
          <w:sz w:val="20"/>
        </w:rPr>
        <w:t xml:space="preserve"> La rúbrica del Producto 12 evalúa la distinción principal-agente 'según la NIIF 15', contenido que no figura en los Temas 8 y 9. Sustituir ese criterio por uno propio de la liquidación de comisión y consignación o añadir el contenido.</w:t>
      </w:r>
    </w:p>
    <w:p>
      <w:pPr>
        <w:numPr>
          <w:ilvl w:val="0"/>
          <w:numId w:val="911"/>
        </w:numPr>
        <w:spacing w:before="0" w:after="160" w:line="240" w:lineRule="auto"/>
        <w:jc w:val="both"/>
      </w:pPr>
      <w:r>
        <w:rPr>
          <w:rFonts w:ascii="Century Gothic" w:hAnsi="Century Gothic" w:cs="Century Gothic" w:eastAsia="Century Gothic"/>
          <w:b/>
          <w:i w:val="0"/>
          <w:sz w:val="20"/>
        </w:rPr>
        <w:t>Coherencia, E9, enunciado y criterio 2 / Producto 36.</w:t>
      </w:r>
      <w:r>
        <w:rPr>
          <w:rFonts w:ascii="Century Gothic" w:hAnsi="Century Gothic" w:cs="Century Gothic" w:eastAsia="Century Gothic"/>
          <w:b w:val="0"/>
          <w:i w:val="0"/>
          <w:sz w:val="20"/>
        </w:rPr>
        <w:t xml:space="preserve"> El criterio 2 une las cuentas de orden con el mantenimiento del capital financiero y operativo, tema que el enunciado del elemento no menciona y que no guarda relación con las cuentas de orden. Integrar el mantenimiento del capital en el criterio 1 (patrimonio) y dejar el criterio 2 para cuentas de orden y contingencias.</w:t>
      </w:r>
    </w:p>
    <w:p>
      <w:pPr>
        <w:numPr>
          <w:ilvl w:val="0"/>
          <w:numId w:val="911"/>
        </w:numPr>
        <w:spacing w:before="0" w:after="160" w:line="240" w:lineRule="auto"/>
        <w:jc w:val="both"/>
      </w:pPr>
      <w:r>
        <w:rPr>
          <w:rFonts w:ascii="Century Gothic" w:hAnsi="Century Gothic" w:cs="Century Gothic" w:eastAsia="Century Gothic"/>
          <w:b/>
          <w:i w:val="0"/>
          <w:sz w:val="20"/>
        </w:rPr>
        <w:t>Coherencia, E2, Producto 5 y su rúbrica.</w:t>
      </w:r>
      <w:r>
        <w:rPr>
          <w:rFonts w:ascii="Century Gothic" w:hAnsi="Century Gothic" w:cs="Century Gothic" w:eastAsia="Century Gothic"/>
          <w:b w:val="0"/>
          <w:i w:val="0"/>
          <w:sz w:val="20"/>
        </w:rPr>
        <w:t xml:space="preserve"> El producto es 'Registro de asientos de otorgación, recuperación y ajustes por diferencias de cambio', pero la rúbrica se titula 'Registro auxiliar de cuentas por cobrar' y evalúa el saldo por cliente conciliado con la cuenta de control. Alinear el título y los criterios de la rúbrica con el producto declarado.</w:t>
      </w:r>
    </w:p>
    <w:p>
      <w:pPr>
        <w:numPr>
          <w:ilvl w:val="0"/>
          <w:numId w:val="911"/>
        </w:numPr>
        <w:spacing w:before="0" w:after="160" w:line="240" w:lineRule="auto"/>
        <w:jc w:val="both"/>
      </w:pPr>
      <w:r>
        <w:rPr>
          <w:rFonts w:ascii="Century Gothic" w:hAnsi="Century Gothic" w:cs="Century Gothic" w:eastAsia="Century Gothic"/>
          <w:b/>
          <w:i w:val="0"/>
          <w:sz w:val="20"/>
        </w:rPr>
        <w:t>Coherencia, E1, criterio 2, evidencia 2.2 / Producto 4.</w:t>
      </w:r>
      <w:r>
        <w:rPr>
          <w:rFonts w:ascii="Century Gothic" w:hAnsi="Century Gothic" w:cs="Century Gothic" w:eastAsia="Century Gothic"/>
          <w:b w:val="0"/>
          <w:i w:val="0"/>
          <w:sz w:val="20"/>
        </w:rPr>
        <w:t xml:space="preserve"> El Producto 4 'Exposición del efectivo y equivalentes…' nombra una acción, no un documento tangible; la rúbrica habla de 'la nota'. Denominarlo 'Nota de efectivo y equivalentes de efectivo en el estado de situación financiera'.</w:t>
      </w:r>
    </w:p>
    <w:p>
      <w:pPr>
        <w:numPr>
          <w:ilvl w:val="0"/>
          <w:numId w:val="911"/>
        </w:numPr>
        <w:spacing w:before="0" w:after="160" w:line="240" w:lineRule="auto"/>
        <w:jc w:val="both"/>
      </w:pPr>
      <w:r>
        <w:rPr>
          <w:rFonts w:ascii="Century Gothic" w:hAnsi="Century Gothic" w:cs="Century Gothic" w:eastAsia="Century Gothic"/>
          <w:b/>
          <w:i w:val="0"/>
          <w:sz w:val="20"/>
        </w:rPr>
        <w:t>Contenido técnico, E6, contenidos (Tema 14) y Producto 23.</w:t>
      </w:r>
      <w:r>
        <w:rPr>
          <w:rFonts w:ascii="Century Gothic" w:hAnsi="Century Gothic" w:cs="Century Gothic" w:eastAsia="Century Gothic"/>
          <w:b w:val="0"/>
          <w:i w:val="0"/>
          <w:sz w:val="20"/>
        </w:rPr>
        <w:t xml:space="preserve"> Las patentes se clasifican como intangibles de duración ilimitada, cuando tienen vida legal limitada (20 años) y se amortizan; el propio Producto 23 las amortiza. Reubicar las patentes entre los intangibles de vida limitada y usar como ejemplo de vida indefinida ciertas marcas o licencias renovables.</w:t>
      </w:r>
    </w:p>
    <w:p>
      <w:pPr>
        <w:numPr>
          <w:ilvl w:val="0"/>
          <w:numId w:val="911"/>
        </w:numPr>
        <w:spacing w:before="0" w:after="160" w:line="240" w:lineRule="auto"/>
        <w:jc w:val="both"/>
      </w:pPr>
      <w:r>
        <w:rPr>
          <w:rFonts w:ascii="Century Gothic" w:hAnsi="Century Gothic" w:cs="Century Gothic" w:eastAsia="Century Gothic"/>
          <w:b/>
          <w:i w:val="0"/>
          <w:sz w:val="20"/>
        </w:rPr>
        <w:t>Contenido técnico, E6, contenidos (Tema 14).</w:t>
      </w:r>
      <w:r>
        <w:rPr>
          <w:rFonts w:ascii="Century Gothic" w:hAnsi="Century Gothic" w:cs="Century Gothic" w:eastAsia="Century Gothic"/>
          <w:b w:val="0"/>
          <w:i w:val="0"/>
          <w:sz w:val="20"/>
        </w:rPr>
        <w:t xml:space="preserve"> Se tratan los 'costos o gastos de organización' como intangibles de duración limitada, pero la NIC 38 (citada en el mismo tema) exige reconocerlos como gasto. Indicar que, según la NIC 38, los gastos de organización y puesta en marcha se llevan a resultados, y diferenciar el tratamiento fiscal si se mantiene.</w:t>
      </w:r>
    </w:p>
    <w:p>
      <w:pPr>
        <w:numPr>
          <w:ilvl w:val="0"/>
          <w:numId w:val="911"/>
        </w:numPr>
        <w:spacing w:before="0" w:after="160" w:line="240" w:lineRule="auto"/>
        <w:jc w:val="both"/>
      </w:pPr>
      <w:r>
        <w:rPr>
          <w:rFonts w:ascii="Century Gothic" w:hAnsi="Century Gothic" w:cs="Century Gothic" w:eastAsia="Century Gothic"/>
          <w:b/>
          <w:i w:val="0"/>
          <w:sz w:val="20"/>
        </w:rPr>
        <w:t>Contenido técnico, E8, contenidos (Tema 20).</w:t>
      </w:r>
      <w:r>
        <w:rPr>
          <w:rFonts w:ascii="Century Gothic" w:hAnsi="Century Gothic" w:cs="Century Gothic" w:eastAsia="Century Gothic"/>
          <w:b w:val="0"/>
          <w:i w:val="0"/>
          <w:sz w:val="20"/>
        </w:rPr>
        <w:t xml:space="preserve"> La clasificación financiero/operativo para el arrendatario corresponde a la NIC 17 derogada; con la NIIF 16 el arrendatario reconoce un único modelo de derecho de uso, que sí exige el Producto 32. Precisar que la clasificación dual se mantiene solo para el arrendador y para la NC boliviana, si es el marco elegido.</w:t>
      </w:r>
    </w:p>
    <w:p>
      <w:pPr>
        <w:numPr>
          <w:ilvl w:val="0"/>
          <w:numId w:val="911"/>
        </w:numPr>
        <w:spacing w:before="0" w:after="160" w:line="240" w:lineRule="auto"/>
        <w:jc w:val="both"/>
      </w:pPr>
      <w:r>
        <w:rPr>
          <w:rFonts w:ascii="Century Gothic" w:hAnsi="Century Gothic" w:cs="Century Gothic" w:eastAsia="Century Gothic"/>
          <w:b/>
          <w:i w:val="0"/>
          <w:sz w:val="20"/>
        </w:rPr>
        <w:t>Contenido técnico, Elementos 1, 3, 4, 5, 6, 8 y 10, contenidos y rúbricas.</w:t>
      </w:r>
      <w:r>
        <w:rPr>
          <w:rFonts w:ascii="Century Gothic" w:hAnsi="Century Gothic" w:cs="Century Gothic" w:eastAsia="Century Gothic"/>
          <w:b w:val="0"/>
          <w:i w:val="0"/>
          <w:sz w:val="20"/>
        </w:rPr>
        <w:t xml:space="preserve"> Se mantienen NIC 7, NIC 2, NIIF 9, NIC 16, NIC 36, NIC 38, NIIF 15, NIIF 16, NIC 19 y NIC 37 como referencia principal, contrario a lo que el informe de la subcomisión declara haber modificado (NC 1 a NC 14 del CTNAC y NIIF completas diferidas a CPA-301). Definir el marco de la asignatura y alinear contenidos, criterios y rúbricas con él.</w:t>
      </w:r>
    </w:p>
    <w:p>
      <w:pPr>
        <w:numPr>
          <w:ilvl w:val="0"/>
          <w:numId w:val="911"/>
        </w:numPr>
        <w:spacing w:before="0" w:after="160" w:line="240" w:lineRule="auto"/>
        <w:jc w:val="both"/>
      </w:pPr>
      <w:r>
        <w:rPr>
          <w:rFonts w:ascii="Century Gothic" w:hAnsi="Century Gothic" w:cs="Century Gothic" w:eastAsia="Century Gothic"/>
          <w:b/>
          <w:i w:val="0"/>
          <w:sz w:val="20"/>
        </w:rPr>
        <w:t>Marcas de saber, E5, Tema 13: 'Normas de contabilidad… información requerida para peritos independientes y su independencia y objetividad… (C, P, A)'.</w:t>
      </w:r>
      <w:r>
        <w:rPr>
          <w:rFonts w:ascii="Century Gothic" w:hAnsi="Century Gothic" w:cs="Century Gothic" w:eastAsia="Century Gothic"/>
          <w:b w:val="0"/>
          <w:i w:val="0"/>
          <w:sz w:val="20"/>
        </w:rPr>
        <w:t xml:space="preserve"> La conducta descrita es la del perito y no del estudiante; (A) solo se sustenta si se pide al estudiante actuar con objetividad.</w:t>
      </w:r>
    </w:p>
    <w:p>
      <w:pPr>
        <w:numPr>
          <w:ilvl w:val="0"/>
          <w:numId w:val="911"/>
        </w:numPr>
        <w:spacing w:before="0" w:after="160" w:line="240" w:lineRule="auto"/>
        <w:jc w:val="both"/>
      </w:pPr>
      <w:r>
        <w:rPr>
          <w:rFonts w:ascii="Century Gothic" w:hAnsi="Century Gothic" w:cs="Century Gothic" w:eastAsia="Century Gothic"/>
          <w:b/>
          <w:i w:val="0"/>
          <w:sz w:val="20"/>
        </w:rPr>
        <w:t>Marcas de saber, Asignatura en su conjunto.</w:t>
      </w:r>
      <w:r>
        <w:rPr>
          <w:rFonts w:ascii="Century Gothic" w:hAnsi="Century Gothic" w:cs="Century Gothic" w:eastAsia="Century Gothic"/>
          <w:b w:val="0"/>
          <w:i w:val="0"/>
          <w:sz w:val="20"/>
        </w:rPr>
        <w:t xml:space="preserve"> Solo dos contenidos llevan (A) en 25 temas, y el de 'Integridad en el registro de gastos e ingresos' (P, A) no tiene evidencia ni rúbrica que observe la conducta.</w:t>
      </w:r>
    </w:p>
    <w:p>
      <w:pPr>
        <w:numPr>
          <w:ilvl w:val="0"/>
          <w:numId w:val="911"/>
        </w:numPr>
        <w:spacing w:before="0" w:after="160" w:line="240" w:lineRule="auto"/>
        <w:jc w:val="both"/>
      </w:pPr>
      <w:r>
        <w:rPr>
          <w:rFonts w:ascii="Century Gothic" w:hAnsi="Century Gothic" w:cs="Century Gothic" w:eastAsia="Century Gothic"/>
          <w:b/>
          <w:i w:val="0"/>
          <w:sz w:val="20"/>
        </w:rPr>
        <w:t>Circunstanciales, E10, conocimientos circunstanciales.</w:t>
      </w:r>
      <w:r>
        <w:rPr>
          <w:rFonts w:ascii="Century Gothic" w:hAnsi="Century Gothic" w:cs="Century Gothic" w:eastAsia="Century Gothic"/>
          <w:b w:val="0"/>
          <w:i w:val="0"/>
          <w:sz w:val="20"/>
        </w:rPr>
        <w:t xml:space="preserve"> 'Nociones de los sistemas de codificación numérica y alfanumérica' ya se dictan en CPA-101 Contabilidad Básica (Tema 5, requisitos para codificar).</w:t>
      </w:r>
    </w:p>
    <w:p>
      <w:pPr>
        <w:numPr>
          <w:ilvl w:val="0"/>
          <w:numId w:val="911"/>
        </w:numPr>
        <w:spacing w:before="0" w:after="160" w:line="240" w:lineRule="auto"/>
        <w:jc w:val="both"/>
      </w:pPr>
      <w:r>
        <w:rPr>
          <w:rFonts w:ascii="Century Gothic" w:hAnsi="Century Gothic" w:cs="Century Gothic" w:eastAsia="Century Gothic"/>
          <w:b/>
          <w:i w:val="0"/>
          <w:sz w:val="20"/>
        </w:rPr>
        <w:t>Circunstanciales, E9, conocimientos circunstanciales.</w:t>
      </w:r>
      <w:r>
        <w:rPr>
          <w:rFonts w:ascii="Century Gothic" w:hAnsi="Century Gothic" w:cs="Century Gothic" w:eastAsia="Century Gothic"/>
          <w:b w:val="0"/>
          <w:i w:val="0"/>
          <w:sz w:val="20"/>
        </w:rPr>
        <w:t xml:space="preserve"> La lectura del acta de junta que aprueba la distribución de utilidades se trata en CPA-202 Contabilidad de Sociedades (junta general de accionistas) y en DER-101.</w:t>
      </w:r>
    </w:p>
    <w:p>
      <w:pPr>
        <w:numPr>
          <w:ilvl w:val="0"/>
          <w:numId w:val="911"/>
        </w:numPr>
        <w:spacing w:before="0" w:after="160" w:line="240" w:lineRule="auto"/>
        <w:jc w:val="both"/>
      </w:pPr>
      <w:r>
        <w:rPr>
          <w:rFonts w:ascii="Century Gothic" w:hAnsi="Century Gothic" w:cs="Century Gothic" w:eastAsia="Century Gothic"/>
          <w:b/>
          <w:i w:val="0"/>
          <w:sz w:val="20"/>
        </w:rPr>
        <w:t>Circunstanciales, E8, conocimientos circunstanciales.</w:t>
      </w:r>
      <w:r>
        <w:rPr>
          <w:rFonts w:ascii="Century Gothic" w:hAnsi="Century Gothic" w:cs="Century Gothic" w:eastAsia="Century Gothic"/>
          <w:b w:val="0"/>
          <w:i w:val="0"/>
          <w:sz w:val="20"/>
        </w:rPr>
        <w:t xml:space="preserve"> Las cláusulas de los contratos de arrendamiento financiero y las garantías bancarias se tratan en DER-101 Derecho Comercial y Corporativo y en CPA-303 Contabilidad de Bancos y Entidades Financieras.</w:t>
      </w:r>
    </w:p>
    <w:p>
      <w:pPr>
        <w:numPr>
          <w:ilvl w:val="0"/>
          <w:numId w:val="911"/>
        </w:numPr>
        <w:spacing w:before="0" w:after="160" w:line="240" w:lineRule="auto"/>
        <w:jc w:val="both"/>
      </w:pPr>
      <w:r>
        <w:rPr>
          <w:rFonts w:ascii="Century Gothic" w:hAnsi="Century Gothic" w:cs="Century Gothic" w:eastAsia="Century Gothic"/>
          <w:b/>
          <w:i w:val="0"/>
          <w:sz w:val="20"/>
        </w:rPr>
        <w:t>Incoherencia interna, Datos generales, carga horaria.</w:t>
      </w:r>
      <w:r>
        <w:rPr>
          <w:rFonts w:ascii="Century Gothic" w:hAnsi="Century Gothic" w:cs="Century Gothic" w:eastAsia="Century Gothic"/>
          <w:b w:val="0"/>
          <w:i w:val="0"/>
          <w:sz w:val="20"/>
        </w:rPr>
        <w:t xml:space="preserve"> Se llenaron las horas (160, 20, 20, 20, 20; TOTAL 240) aunque la guía pide dejarlas en blanco; el total contradice las 160 h/año de la malla y difiere del criterio usado en CPA-101 (360).</w:t>
      </w:r>
    </w:p>
    <w:p>
      <w:pPr>
        <w:numPr>
          <w:ilvl w:val="0"/>
          <w:numId w:val="911"/>
        </w:numPr>
        <w:spacing w:before="0" w:after="160" w:line="240" w:lineRule="auto"/>
        <w:jc w:val="both"/>
      </w:pPr>
      <w:r>
        <w:rPr>
          <w:rFonts w:ascii="Century Gothic" w:hAnsi="Century Gothic" w:cs="Century Gothic" w:eastAsia="Century Gothic"/>
          <w:b/>
          <w:i w:val="0"/>
          <w:sz w:val="20"/>
        </w:rPr>
        <w:t>Incoherencia interna, E1 (Tema 3) y E2 (Tema 5), contenidos.</w:t>
      </w:r>
      <w:r>
        <w:rPr>
          <w:rFonts w:ascii="Century Gothic" w:hAnsi="Century Gothic" w:cs="Century Gothic" w:eastAsia="Century Gothic"/>
          <w:b w:val="0"/>
          <w:i w:val="0"/>
          <w:sz w:val="20"/>
        </w:rPr>
        <w:t xml:space="preserve"> Los aspectos legales del cheque y de la letra de cambio (requisitos, giro, endoso, protesto) repiten el Elemento 3 de DER-101 Derecho Comercial y Corporativo (títulos valores).</w:t>
      </w:r>
    </w:p>
    <w:p>
      <w:pPr>
        <w:numPr>
          <w:ilvl w:val="0"/>
          <w:numId w:val="911"/>
        </w:numPr>
        <w:spacing w:before="0" w:after="160" w:line="240" w:lineRule="auto"/>
        <w:jc w:val="both"/>
      </w:pPr>
      <w:r>
        <w:rPr>
          <w:rFonts w:ascii="Century Gothic" w:hAnsi="Century Gothic" w:cs="Century Gothic" w:eastAsia="Century Gothic"/>
          <w:b/>
          <w:i w:val="0"/>
          <w:sz w:val="20"/>
        </w:rPr>
        <w:t>Incoherencia interna, E10 (Temas 23 a 25, Productos 39 y 40).</w:t>
      </w:r>
      <w:r>
        <w:rPr>
          <w:rFonts w:ascii="Century Gothic" w:hAnsi="Century Gothic" w:cs="Century Gothic" w:eastAsia="Century Gothic"/>
          <w:b w:val="0"/>
          <w:i w:val="0"/>
          <w:sz w:val="20"/>
        </w:rPr>
        <w:t xml:space="preserve"> El plan de cuentas, su codificación y el manual de cuentas repiten casi textualmente CPA-101 (Tema 5 y Tema 19; Productos 7, 8 y 23), y la clasificación de gastos por función y naturaleza repite CPA-101 Tema 14.</w:t>
      </w:r>
    </w:p>
    <w:p>
      <w:pPr>
        <w:numPr>
          <w:ilvl w:val="0"/>
          <w:numId w:val="911"/>
        </w:numPr>
        <w:spacing w:before="0" w:after="160" w:line="240" w:lineRule="auto"/>
        <w:jc w:val="both"/>
      </w:pPr>
      <w:r>
        <w:rPr>
          <w:rFonts w:ascii="Century Gothic" w:hAnsi="Century Gothic" w:cs="Century Gothic" w:eastAsia="Century Gothic"/>
          <w:b/>
          <w:i w:val="0"/>
          <w:sz w:val="20"/>
        </w:rPr>
        <w:t>Incoherencia interna, E9, enunciado.</w:t>
      </w:r>
      <w:r>
        <w:rPr>
          <w:rFonts w:ascii="Century Gothic" w:hAnsi="Century Gothic" w:cs="Century Gothic" w:eastAsia="Century Gothic"/>
          <w:b w:val="0"/>
          <w:i w:val="0"/>
          <w:sz w:val="20"/>
        </w:rPr>
        <w:t xml:space="preserve"> El enunciado coincide con el E1 propuesto para CPA-202 (composición del patrimonio y estado de evolución del patrimonio), por lo que el tema se repite entre ambas asignaturas.</w:t>
      </w:r>
    </w:p>
    <w:p>
      <w:pPr>
        <w:numPr>
          <w:ilvl w:val="0"/>
          <w:numId w:val="911"/>
        </w:numPr>
        <w:spacing w:before="0" w:after="160" w:line="240" w:lineRule="auto"/>
        <w:jc w:val="both"/>
      </w:pPr>
      <w:r>
        <w:rPr>
          <w:rFonts w:ascii="Century Gothic" w:hAnsi="Century Gothic" w:cs="Century Gothic" w:eastAsia="Century Gothic"/>
          <w:b/>
          <w:i w:val="0"/>
          <w:sz w:val="20"/>
        </w:rPr>
        <w:t>Incoherencia interna, E9, enunciado frente a criterio 1 y Producto 34.</w:t>
      </w:r>
      <w:r>
        <w:rPr>
          <w:rFonts w:ascii="Century Gothic" w:hAnsi="Century Gothic" w:cs="Century Gothic" w:eastAsia="Century Gothic"/>
          <w:b w:val="0"/>
          <w:i w:val="0"/>
          <w:sz w:val="20"/>
        </w:rPr>
        <w:t xml:space="preserve"> Se usa 'estado de evolución del patrimonio' en el elemento y 'estado de cambios en el patrimonio' en el criterio y el producto.</w:t>
      </w:r>
    </w:p>
    <w:p>
      <w:pPr>
        <w:numPr>
          <w:ilvl w:val="0"/>
          <w:numId w:val="911"/>
        </w:numPr>
        <w:spacing w:before="0" w:after="200" w:line="240" w:lineRule="auto"/>
        <w:jc w:val="both"/>
      </w:pPr>
      <w:r>
        <w:rPr>
          <w:rFonts w:ascii="Century Gothic" w:hAnsi="Century Gothic" w:cs="Century Gothic" w:eastAsia="Century Gothic"/>
          <w:b/>
          <w:i w:val="0"/>
          <w:sz w:val="20"/>
        </w:rPr>
        <w:t>Incoherencia interna, E5, criterio 1 frente a contenidos.</w:t>
      </w:r>
      <w:r>
        <w:rPr>
          <w:rFonts w:ascii="Century Gothic" w:hAnsi="Century Gothic" w:cs="Century Gothic" w:eastAsia="Century Gothic"/>
          <w:b w:val="0"/>
          <w:i w:val="0"/>
          <w:sz w:val="20"/>
        </w:rPr>
        <w:t xml:space="preserve"> El criterio menciona depreciación 'acelerada o logarítmica' y los contenidos 'método acelerado y exponencial'; los métodos no coinciden.</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explica la nueva unidad de competencia y declara haber sustituido las NIIF/NIC por las NC 1 a NC 14 del CTNAC, retirado la NIC 7, incorporado la Identificación Específica, diferido la NIIF 16 a CPA-301, aplicado el AITB con UFV (NC 3), la depreciación con coeficientes del DS 24051 y aportes 'CNS, AFP/AAPS'. El itinerario solo refleja parte de esos cambios (Identificación Específica, nuevos enunciados de E2, E3, E5, E6, E8): conserva NIC 7, NIIF 9, NIC 16, NIC 38, NIIF 15 y NIIF 16, declara la 'suspensión vigente del ajuste por inflación' en lugar del AITB, y no incluye los coeficientes del DS 24051. El informe cita además 'AFP/AAPS', nomenclatura superada por la Gestora Pública de la Seguridad Social de Largo Plazo, y describe un cuadro de actividades de 5 columnas (Saber, Actividad, En clase, Autónomo, Recursos) distinto del de la guía, que el itinerario sí respeta. No hay cambio de nombre de la asignatura.</w:t>
      </w:r>
    </w:p>
    <w:p>
      <w:pPr>
        <w:spacing w:before="0" w:after="200" w:line="240" w:lineRule="auto"/>
        <w:jc w:val="both"/>
      </w:pPr>
      <w:r>
        <w:rPr>
          <w:rFonts w:ascii="Century Gothic" w:hAnsi="Century Gothic" w:cs="Century Gothic" w:eastAsia="Century Gothic"/>
          <w:b w:val="0"/>
          <w:i w:val="0"/>
          <w:sz w:val="20"/>
        </w:rPr>
        <w:t>Se aplicaron 17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7.10</w:t>
        <w:tab/>
      </w:r>
      <w:r>
        <w:rPr>
          <w:rFonts w:ascii="Century Gothic" w:hAnsi="Century Gothic" w:cs="Century Gothic" w:eastAsia="Century Gothic"/>
          <w:b/>
          <w:i w:val="0"/>
          <w:sz w:val="22"/>
        </w:rPr>
        <w:t>CPA-202 Contabilidad de Sociedades</w:t>
      </w:r>
    </w:p>
    <w:p>
      <w:pPr>
        <w:spacing w:before="0" w:after="200" w:line="240" w:lineRule="auto"/>
        <w:jc w:val="both"/>
      </w:pPr>
      <w:r>
        <w:rPr>
          <w:rFonts w:ascii="Century Gothic" w:hAnsi="Century Gothic" w:cs="Century Gothic" w:eastAsia="Century Gothic"/>
          <w:b w:val="0"/>
          <w:i w:val="0"/>
          <w:sz w:val="20"/>
        </w:rPr>
        <w:t xml:space="preserve">Archivo: CPA 202 Contabilidad de Sociedades.docx. Cumple 20 de 23 controles, 2 de forma parcial y no cumple 1.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muy trabajado, con rúbricas propias de cada producto, buena integración de la NIC 32, NIC 24 y NIIF 10 y actividades actitudinales y tecnológicas sustentadas. Lo debilitan la evidencia 2.2 del E5 desligada de su criterio, una unidad de competencia con orientación más jurídica que contable, la fuerte superposición con DER-101 y con CPA-201, y algunos errores técnicos (razón social de la asociación accidental, base FASB frente a la supletoriedad de las NIIF).</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20, 20, 20, 20,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12"/>
        </w:numPr>
        <w:spacing w:before="0" w:after="160" w:line="240" w:lineRule="auto"/>
        <w:jc w:val="both"/>
      </w:pPr>
      <w:r>
        <w:rPr>
          <w:rFonts w:ascii="Century Gothic" w:hAnsi="Century Gothic" w:cs="Century Gothic" w:eastAsia="Century Gothic"/>
          <w:b/>
          <w:i w:val="0"/>
          <w:sz w:val="20"/>
        </w:rPr>
        <w:t>Coherencia, E5, criterio 2, evidencia 2.2 / Producto 20.</w:t>
      </w:r>
      <w:r>
        <w:rPr>
          <w:rFonts w:ascii="Century Gothic" w:hAnsi="Century Gothic" w:cs="Century Gothic" w:eastAsia="Century Gothic"/>
          <w:b w:val="0"/>
          <w:i w:val="0"/>
          <w:sz w:val="20"/>
        </w:rPr>
        <w:t xml:space="preserve"> El criterio 2 trata aumentos, disminuciones y transferencia de participaciones de capital, pero la evidencia 2.2 y el Producto 20 se refieren a la distribución de resultados, que corresponde al criterio 1. Cambiar la evidencia 2.2 por la transferencia de participaciones o cuotas de una sociedad en comandita, o mover la distribución de resultados al criterio 1.</w:t>
      </w:r>
    </w:p>
    <w:p>
      <w:pPr>
        <w:numPr>
          <w:ilvl w:val="0"/>
          <w:numId w:val="912"/>
        </w:numPr>
        <w:spacing w:before="0" w:after="160" w:line="240" w:lineRule="auto"/>
        <w:jc w:val="both"/>
      </w:pPr>
      <w:r>
        <w:rPr>
          <w:rFonts w:ascii="Century Gothic" w:hAnsi="Century Gothic" w:cs="Century Gothic" w:eastAsia="Century Gothic"/>
          <w:b/>
          <w:i w:val="0"/>
          <w:sz w:val="20"/>
        </w:rPr>
        <w:t>Coherencia, E5, criterio 1, evidencia 1.2 / Producto 18.</w:t>
      </w:r>
      <w:r>
        <w:rPr>
          <w:rFonts w:ascii="Century Gothic" w:hAnsi="Century Gothic" w:cs="Century Gothic" w:eastAsia="Century Gothic"/>
          <w:b w:val="0"/>
          <w:i w:val="0"/>
          <w:sz w:val="20"/>
        </w:rPr>
        <w:t xml:space="preserve"> El criterio pide registrar la composición del capital por clase de socio, pero la evidencia 1.2 compara derechos, obligaciones y responsabilidad de los socios (cuadro comparativo), sin registro contable. Redactar el criterio de modo que incluya la distinción de la responsabilidad de los socios o reemplazar la evidencia por un registro.</w:t>
      </w:r>
    </w:p>
    <w:p>
      <w:pPr>
        <w:numPr>
          <w:ilvl w:val="0"/>
          <w:numId w:val="912"/>
        </w:numPr>
        <w:spacing w:before="0" w:after="160" w:line="240" w:lineRule="auto"/>
        <w:jc w:val="both"/>
      </w:pPr>
      <w:r>
        <w:rPr>
          <w:rFonts w:ascii="Century Gothic" w:hAnsi="Century Gothic" w:cs="Century Gothic" w:eastAsia="Century Gothic"/>
          <w:b/>
          <w:i w:val="0"/>
          <w:sz w:val="20"/>
        </w:rPr>
        <w:t>Coherencia, Unidad de competencia.</w:t>
      </w:r>
      <w:r>
        <w:rPr>
          <w:rFonts w:ascii="Century Gothic" w:hAnsi="Century Gothic" w:cs="Century Gothic" w:eastAsia="Century Gothic"/>
          <w:b w:val="0"/>
          <w:i w:val="0"/>
          <w:sz w:val="20"/>
        </w:rPr>
        <w:t xml:space="preserve"> La unidad inicia con tres verbos ('Interpreta, analiza y orienta sobre la aplicación de la legislación comercial') y centra el desempeño en la interpretación jurídica, mientras los elementos y productos son de tratamiento contable del patrimonio societario. Iniciar con un verbo de desempeño contable (por ejemplo, 'Aplica el tratamiento contable…') y dejar la interpretación legal como condición.</w:t>
      </w:r>
    </w:p>
    <w:p>
      <w:pPr>
        <w:numPr>
          <w:ilvl w:val="0"/>
          <w:numId w:val="912"/>
        </w:numPr>
        <w:spacing w:before="0" w:after="160" w:line="240" w:lineRule="auto"/>
        <w:jc w:val="both"/>
      </w:pPr>
      <w:r>
        <w:rPr>
          <w:rFonts w:ascii="Century Gothic" w:hAnsi="Century Gothic" w:cs="Century Gothic" w:eastAsia="Century Gothic"/>
          <w:b/>
          <w:i w:val="0"/>
          <w:sz w:val="20"/>
        </w:rPr>
        <w:t>Coherencia, E8, criterio 1.</w:t>
      </w:r>
      <w:r>
        <w:rPr>
          <w:rFonts w:ascii="Century Gothic" w:hAnsi="Century Gothic" w:cs="Century Gothic" w:eastAsia="Century Gothic"/>
          <w:b w:val="0"/>
          <w:i w:val="0"/>
          <w:sz w:val="20"/>
        </w:rPr>
        <w:t xml:space="preserve"> La redacción 'valuando activos y pasivos por grado de realización, respecto de valores en libros con afectación al patrimonio' no define un resultado observable claro. Redactar como 'valuando activos y pasivos a valor en libros y por grado de realización y registrando su efecto en el patrimonio'.</w:t>
      </w:r>
    </w:p>
    <w:p>
      <w:pPr>
        <w:numPr>
          <w:ilvl w:val="0"/>
          <w:numId w:val="912"/>
        </w:numPr>
        <w:spacing w:before="0" w:after="160" w:line="240" w:lineRule="auto"/>
        <w:jc w:val="both"/>
      </w:pPr>
      <w:r>
        <w:rPr>
          <w:rFonts w:ascii="Century Gothic" w:hAnsi="Century Gothic" w:cs="Century Gothic" w:eastAsia="Century Gothic"/>
          <w:b/>
          <w:i w:val="0"/>
          <w:sz w:val="20"/>
        </w:rPr>
        <w:t>Contenido técnico, E6, contenidos (Tema 19).</w:t>
      </w:r>
      <w:r>
        <w:rPr>
          <w:rFonts w:ascii="Century Gothic" w:hAnsi="Century Gothic" w:cs="Century Gothic" w:eastAsia="Century Gothic"/>
          <w:b w:val="0"/>
          <w:i w:val="0"/>
          <w:sz w:val="20"/>
        </w:rPr>
        <w:t xml:space="preserve"> Se enseña la 'razón social' de la asociación accidental, pero según el Código de Comercio la asociación accidental o de cuentas en participación no es persona jurídica ni tiene razón social o denominación. Retirar 'razón social' e indicar que actúa a nombre del gestor.</w:t>
      </w:r>
    </w:p>
    <w:p>
      <w:pPr>
        <w:numPr>
          <w:ilvl w:val="0"/>
          <w:numId w:val="912"/>
        </w:numPr>
        <w:spacing w:before="0" w:after="160" w:line="240" w:lineRule="auto"/>
        <w:jc w:val="both"/>
      </w:pPr>
      <w:r>
        <w:rPr>
          <w:rFonts w:ascii="Century Gothic" w:hAnsi="Century Gothic" w:cs="Century Gothic" w:eastAsia="Century Gothic"/>
          <w:b/>
          <w:i w:val="0"/>
          <w:sz w:val="20"/>
        </w:rPr>
        <w:t>Contenido técnico, E9, enunciado y contenidos (Tema 28).</w:t>
      </w:r>
      <w:r>
        <w:rPr>
          <w:rFonts w:ascii="Century Gothic" w:hAnsi="Century Gothic" w:cs="Century Gothic" w:eastAsia="Century Gothic"/>
          <w:b w:val="0"/>
          <w:i w:val="0"/>
          <w:sz w:val="20"/>
        </w:rPr>
        <w:t xml:space="preserve"> El elemento fija como base los pronunciamientos del FASB, mientras el propio Tema 28 señala que, según la Resolución CTNAC 01/2012, la norma supletoria en Bolivia son las NIIF. Presentar el FASB (ASC 958) como referencia técnica complementaria y mantener la jerarquía normativa boliviana como base.</w:t>
      </w:r>
    </w:p>
    <w:p>
      <w:pPr>
        <w:numPr>
          <w:ilvl w:val="0"/>
          <w:numId w:val="912"/>
        </w:numPr>
        <w:spacing w:before="0" w:after="160" w:line="240" w:lineRule="auto"/>
        <w:jc w:val="both"/>
      </w:pPr>
      <w:r>
        <w:rPr>
          <w:rFonts w:ascii="Century Gothic" w:hAnsi="Century Gothic" w:cs="Century Gothic" w:eastAsia="Century Gothic"/>
          <w:b/>
          <w:i w:val="0"/>
          <w:sz w:val="20"/>
        </w:rPr>
        <w:t>Contenido técnico, E9, contenidos (Tema 28).</w:t>
      </w:r>
      <w:r>
        <w:rPr>
          <w:rFonts w:ascii="Century Gothic" w:hAnsi="Century Gothic" w:cs="Century Gothic" w:eastAsia="Century Gothic"/>
          <w:b w:val="0"/>
          <w:i w:val="0"/>
          <w:sz w:val="20"/>
        </w:rPr>
        <w:t xml:space="preserve"> Se presenta como vigente la clasificación de activos netos en no restringidos, temporalmente y permanentemente restringidos del FAS-117, sustituida desde 2018 por la ASU 2016-14 (con y sin restricciones del donante). Enseñar la clasificación de dos clases como vigente y la de tres como antecedente.</w:t>
      </w:r>
    </w:p>
    <w:p>
      <w:pPr>
        <w:numPr>
          <w:ilvl w:val="0"/>
          <w:numId w:val="912"/>
        </w:numPr>
        <w:spacing w:before="0" w:after="160" w:line="240" w:lineRule="auto"/>
        <w:jc w:val="both"/>
      </w:pPr>
      <w:r>
        <w:rPr>
          <w:rFonts w:ascii="Century Gothic" w:hAnsi="Century Gothic" w:cs="Century Gothic" w:eastAsia="Century Gothic"/>
          <w:b/>
          <w:i w:val="0"/>
          <w:sz w:val="20"/>
        </w:rPr>
        <w:t>Contenido técnico, E8, contenidos (Tema 26).</w:t>
      </w:r>
      <w:r>
        <w:rPr>
          <w:rFonts w:ascii="Century Gothic" w:hAnsi="Century Gothic" w:cs="Century Gothic" w:eastAsia="Century Gothic"/>
          <w:b w:val="0"/>
          <w:i w:val="0"/>
          <w:sz w:val="20"/>
        </w:rPr>
        <w:t xml:space="preserve"> Se atribuye a la NIC 1 una 'base de liquidación'; la NIC 1 solo exige revelar la base utilizada cuando no se aplica la hipótesis de empresa en marcha, y la base de liquidación como tal proviene de la norma estadounidense (ASC 205-30). Precisar la referencia normativa.</w:t>
      </w:r>
    </w:p>
    <w:p>
      <w:pPr>
        <w:numPr>
          <w:ilvl w:val="0"/>
          <w:numId w:val="912"/>
        </w:numPr>
        <w:spacing w:before="0" w:after="160" w:line="240" w:lineRule="auto"/>
        <w:jc w:val="both"/>
      </w:pPr>
      <w:r>
        <w:rPr>
          <w:rFonts w:ascii="Century Gothic" w:hAnsi="Century Gothic" w:cs="Century Gothic" w:eastAsia="Century Gothic"/>
          <w:b/>
          <w:i w:val="0"/>
          <w:sz w:val="20"/>
        </w:rPr>
        <w:t>Marcas de saber, E5, Tema 15: 'Responsabilidad ilimitada de los socios comanditados y limitada de los comanditarios… (C, A)'.</w:t>
      </w:r>
      <w:r>
        <w:rPr>
          <w:rFonts w:ascii="Century Gothic" w:hAnsi="Century Gothic" w:cs="Century Gothic" w:eastAsia="Century Gothic"/>
          <w:b w:val="0"/>
          <w:i w:val="0"/>
          <w:sz w:val="20"/>
        </w:rPr>
        <w:t xml:space="preserve"> Describe el régimen de responsabilidad sin conducta esperada ni rúbrica que la observe; corresponde (C).</w:t>
      </w:r>
    </w:p>
    <w:p>
      <w:pPr>
        <w:numPr>
          <w:ilvl w:val="0"/>
          <w:numId w:val="912"/>
        </w:numPr>
        <w:spacing w:before="0" w:after="160" w:line="240" w:lineRule="auto"/>
        <w:jc w:val="both"/>
      </w:pPr>
      <w:r>
        <w:rPr>
          <w:rFonts w:ascii="Century Gothic" w:hAnsi="Century Gothic" w:cs="Century Gothic" w:eastAsia="Century Gothic"/>
          <w:b/>
          <w:i w:val="0"/>
          <w:sz w:val="20"/>
        </w:rPr>
        <w:t>Marcas de saber, E9, Tema 30: 'Plan de cuentas codificado para su uso en un sistema contable: concepto, objetivo… (C, T)'.</w:t>
      </w:r>
      <w:r>
        <w:rPr>
          <w:rFonts w:ascii="Century Gothic" w:hAnsi="Century Gothic" w:cs="Century Gothic" w:eastAsia="Century Gothic"/>
          <w:b w:val="0"/>
          <w:i w:val="0"/>
          <w:sz w:val="20"/>
        </w:rPr>
        <w:t xml:space="preserve"> Contenido conceptual; (T) solo por mencionar el sistema contable.</w:t>
      </w:r>
    </w:p>
    <w:p>
      <w:pPr>
        <w:numPr>
          <w:ilvl w:val="0"/>
          <w:numId w:val="912"/>
        </w:numPr>
        <w:spacing w:before="0" w:after="160" w:line="240" w:lineRule="auto"/>
        <w:jc w:val="both"/>
      </w:pPr>
      <w:r>
        <w:rPr>
          <w:rFonts w:ascii="Century Gothic" w:hAnsi="Century Gothic" w:cs="Century Gothic" w:eastAsia="Century Gothic"/>
          <w:b/>
          <w:i w:val="0"/>
          <w:sz w:val="20"/>
        </w:rPr>
        <w:t>Marcas de saber, E8, Tema 26: 'Hipótesis de empresa en marcha y base de liquidación… (P)'.</w:t>
      </w:r>
      <w:r>
        <w:rPr>
          <w:rFonts w:ascii="Century Gothic" w:hAnsi="Century Gothic" w:cs="Century Gothic" w:eastAsia="Century Gothic"/>
          <w:b w:val="0"/>
          <w:i w:val="0"/>
          <w:sz w:val="20"/>
        </w:rPr>
        <w:t xml:space="preserve"> Contenido conceptual marcado solo como procedimental; debería ser (C) o (C, P).</w:t>
      </w:r>
    </w:p>
    <w:p>
      <w:pPr>
        <w:numPr>
          <w:ilvl w:val="0"/>
          <w:numId w:val="912"/>
        </w:numPr>
        <w:spacing w:before="0" w:after="160" w:line="240" w:lineRule="auto"/>
        <w:jc w:val="both"/>
      </w:pPr>
      <w:r>
        <w:rPr>
          <w:rFonts w:ascii="Century Gothic" w:hAnsi="Century Gothic" w:cs="Century Gothic" w:eastAsia="Century Gothic"/>
          <w:b/>
          <w:i w:val="0"/>
          <w:sz w:val="20"/>
        </w:rPr>
        <w:t>Circunstanciales, E1, E2, E4 y E8, conocimientos circunstanciales.</w:t>
      </w:r>
      <w:r>
        <w:rPr>
          <w:rFonts w:ascii="Century Gothic" w:hAnsi="Century Gothic" w:cs="Century Gothic" w:eastAsia="Century Gothic"/>
          <w:b w:val="0"/>
          <w:i w:val="0"/>
          <w:sz w:val="20"/>
        </w:rPr>
        <w:t xml:space="preserve"> El trámite notarial de constitución, la redacción de actas de asamblea y de junta, el libro de registro de acciones y la publicación de acuerdos de fusión y liquidación se dictan en DER-101 Derecho Comercial y Corporativo (Temas 4 a 8 y 11).</w:t>
      </w:r>
    </w:p>
    <w:p>
      <w:pPr>
        <w:numPr>
          <w:ilvl w:val="0"/>
          <w:numId w:val="912"/>
        </w:numPr>
        <w:spacing w:before="0" w:after="160" w:line="240" w:lineRule="auto"/>
        <w:jc w:val="both"/>
      </w:pPr>
      <w:r>
        <w:rPr>
          <w:rFonts w:ascii="Century Gothic" w:hAnsi="Century Gothic" w:cs="Century Gothic" w:eastAsia="Century Gothic"/>
          <w:b/>
          <w:i w:val="0"/>
          <w:sz w:val="20"/>
        </w:rPr>
        <w:t>Incoherencia interna, Datos generales, carga horaria.</w:t>
      </w:r>
      <w:r>
        <w:rPr>
          <w:rFonts w:ascii="Century Gothic" w:hAnsi="Century Gothic" w:cs="Century Gothic" w:eastAsia="Century Gothic"/>
          <w:b w:val="0"/>
          <w:i w:val="0"/>
          <w:sz w:val="20"/>
        </w:rPr>
        <w:t xml:space="preserve"> Se llenaron las horas (160, 20, 20, 20, 20; TOTAL 240) aunque la guía pide dejarlas en blanco; el total contradice las 160 h/año de la malla.</w:t>
      </w:r>
    </w:p>
    <w:p>
      <w:pPr>
        <w:numPr>
          <w:ilvl w:val="0"/>
          <w:numId w:val="912"/>
        </w:numPr>
        <w:spacing w:before="0" w:after="160" w:line="240" w:lineRule="auto"/>
        <w:jc w:val="both"/>
      </w:pPr>
      <w:r>
        <w:rPr>
          <w:rFonts w:ascii="Century Gothic" w:hAnsi="Century Gothic" w:cs="Century Gothic" w:eastAsia="Century Gothic"/>
          <w:b/>
          <w:i w:val="0"/>
          <w:sz w:val="20"/>
        </w:rPr>
        <w:t>Incoherencia interna, E1, Temas 1 a 3, y Elementos 2 a 5 y 8, contenidos.</w:t>
      </w:r>
      <w:r>
        <w:rPr>
          <w:rFonts w:ascii="Century Gothic" w:hAnsi="Century Gothic" w:cs="Century Gothic" w:eastAsia="Century Gothic"/>
          <w:b w:val="0"/>
          <w:i w:val="0"/>
          <w:sz w:val="20"/>
        </w:rPr>
        <w:t xml:space="preserve"> Los aspectos jurídicos de cada tipo societario (concepto, razón social, constitución, derechos y prohibiciones de los socios, transformación, fusión y liquidación) repiten DER-101 Derecho Comercial y Corporativo.</w:t>
      </w:r>
    </w:p>
    <w:p>
      <w:pPr>
        <w:numPr>
          <w:ilvl w:val="0"/>
          <w:numId w:val="912"/>
        </w:numPr>
        <w:spacing w:before="0" w:after="160" w:line="240" w:lineRule="auto"/>
        <w:jc w:val="both"/>
      </w:pPr>
      <w:r>
        <w:rPr>
          <w:rFonts w:ascii="Century Gothic" w:hAnsi="Century Gothic" w:cs="Century Gothic" w:eastAsia="Century Gothic"/>
          <w:b/>
          <w:i w:val="0"/>
          <w:sz w:val="20"/>
        </w:rPr>
        <w:t>Incoherencia interna, E1, Tema 2.</w:t>
      </w:r>
      <w:r>
        <w:rPr>
          <w:rFonts w:ascii="Century Gothic" w:hAnsi="Century Gothic" w:cs="Century Gothic" w:eastAsia="Century Gothic"/>
          <w:b w:val="0"/>
          <w:i w:val="0"/>
          <w:sz w:val="20"/>
        </w:rPr>
        <w:t xml:space="preserve"> Patrimonio, reservas, resultados acumulados, mantenimiento del capital y estado de evolución del patrimonio repiten casi textualmente CPA-201 (E9, Tema 21).</w:t>
      </w:r>
    </w:p>
    <w:p>
      <w:pPr>
        <w:numPr>
          <w:ilvl w:val="0"/>
          <w:numId w:val="912"/>
        </w:numPr>
        <w:spacing w:before="0" w:after="160" w:line="240" w:lineRule="auto"/>
        <w:jc w:val="both"/>
      </w:pPr>
      <w:r>
        <w:rPr>
          <w:rFonts w:ascii="Century Gothic" w:hAnsi="Century Gothic" w:cs="Century Gothic" w:eastAsia="Century Gothic"/>
          <w:b/>
          <w:i w:val="0"/>
          <w:sz w:val="20"/>
        </w:rPr>
        <w:t>Incoherencia interna, E9, Tema 30.</w:t>
      </w:r>
      <w:r>
        <w:rPr>
          <w:rFonts w:ascii="Century Gothic" w:hAnsi="Century Gothic" w:cs="Century Gothic" w:eastAsia="Century Gothic"/>
          <w:b w:val="0"/>
          <w:i w:val="0"/>
          <w:sz w:val="20"/>
        </w:rPr>
        <w:t xml:space="preserve"> Los contenidos genéricos del plan de cuentas (cuentas de balance, de orden y de resultados) repiten CPA-101 Tema 19 y CPA-201 Tema 25.</w:t>
      </w:r>
    </w:p>
    <w:p>
      <w:pPr>
        <w:numPr>
          <w:ilvl w:val="0"/>
          <w:numId w:val="912"/>
        </w:numPr>
        <w:spacing w:before="0" w:after="160" w:line="240" w:lineRule="auto"/>
        <w:jc w:val="both"/>
      </w:pPr>
      <w:r>
        <w:rPr>
          <w:rFonts w:ascii="Century Gothic" w:hAnsi="Century Gothic" w:cs="Century Gothic" w:eastAsia="Century Gothic"/>
          <w:b/>
          <w:i w:val="0"/>
          <w:sz w:val="20"/>
        </w:rPr>
        <w:t>Incoherencia interna, E5, enunciado y criterio 1 frente a evidencias y contenidos.</w:t>
      </w:r>
      <w:r>
        <w:rPr>
          <w:rFonts w:ascii="Century Gothic" w:hAnsi="Century Gothic" w:cs="Century Gothic" w:eastAsia="Century Gothic"/>
          <w:b w:val="0"/>
          <w:i w:val="0"/>
          <w:sz w:val="20"/>
        </w:rPr>
        <w:t xml:space="preserve"> Se habla de socios 'colectivos y comanditarios' en el elemento y el criterio, y de socios 'comanditados y comanditarios' en evidencias, contenidos y rúbricas.</w:t>
      </w:r>
    </w:p>
    <w:p>
      <w:pPr>
        <w:numPr>
          <w:ilvl w:val="0"/>
          <w:numId w:val="912"/>
        </w:numPr>
        <w:spacing w:before="0" w:after="160" w:line="240" w:lineRule="auto"/>
        <w:jc w:val="both"/>
      </w:pPr>
      <w:r>
        <w:rPr>
          <w:rFonts w:ascii="Century Gothic" w:hAnsi="Century Gothic" w:cs="Century Gothic" w:eastAsia="Century Gothic"/>
          <w:b/>
          <w:i w:val="0"/>
          <w:sz w:val="20"/>
        </w:rPr>
        <w:t>Incoherencia interna, E6, criterio 1, evidencia 1.2 y contenidos.</w:t>
      </w:r>
      <w:r>
        <w:rPr>
          <w:rFonts w:ascii="Century Gothic" w:hAnsi="Century Gothic" w:cs="Century Gothic" w:eastAsia="Century Gothic"/>
          <w:b w:val="0"/>
          <w:i w:val="0"/>
          <w:sz w:val="20"/>
        </w:rPr>
        <w:t xml:space="preserve"> Quien rinde cuentas se llama 'empresa designada' en el criterio, 'gestor' en la evidencia y el producto, y 'administrador' en los contenidos.</w:t>
      </w:r>
    </w:p>
    <w:p>
      <w:pPr>
        <w:numPr>
          <w:ilvl w:val="0"/>
          <w:numId w:val="912"/>
        </w:numPr>
        <w:spacing w:before="0" w:after="200" w:line="240" w:lineRule="auto"/>
        <w:jc w:val="both"/>
      </w:pPr>
      <w:r>
        <w:rPr>
          <w:rFonts w:ascii="Century Gothic" w:hAnsi="Century Gothic" w:cs="Century Gothic" w:eastAsia="Century Gothic"/>
          <w:b/>
          <w:i w:val="0"/>
          <w:sz w:val="20"/>
        </w:rPr>
        <w:t>Incoherencia interna, E1, contenidos frente a CPA-201 E6.</w:t>
      </w:r>
      <w:r>
        <w:rPr>
          <w:rFonts w:ascii="Century Gothic" w:hAnsi="Century Gothic" w:cs="Century Gothic" w:eastAsia="Century Gothic"/>
          <w:b w:val="0"/>
          <w:i w:val="0"/>
          <w:sz w:val="20"/>
        </w:rPr>
        <w:t xml:space="preserve"> CPA-202 reconoce los costos de constitución como gasto según la NIC 38, mientras CPA-201 trata los gastos de organización como intangible amortizable; el plan da dos tratamientos contradictorios.</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de la subcomisión de Información Financiera General explica con detalle y el itinerario refleja: la nueva unidad de competencia ('Interpreta, analiza y orienta…'), la reformulación de los enunciados y criterios de los nueve elementos, el retiro de (A) en contenidos sin conducta, el ajuste de rúbricas, la evaluación sumativa sin puntaje por asistencia, las nuevas reglas de calificación, las actividades con IA, NIIF 18, coevaluación y extensión universitaria, y la escritura completa de siglas. No hay cambio de nombre de la asignatura. Solo una discrepancia: el informe dice que la entrada de las NIIF 2023 detalla NIC 1, 10, 16, 24, 32, 38, NIIF 3 y 10, pero la bibliografía del itinerario no lo hace.</w:t>
      </w:r>
    </w:p>
    <w:p>
      <w:pPr>
        <w:spacing w:before="0" w:after="200" w:line="240" w:lineRule="auto"/>
        <w:jc w:val="both"/>
      </w:pPr>
      <w:r>
        <w:rPr>
          <w:rFonts w:ascii="Century Gothic" w:hAnsi="Century Gothic" w:cs="Century Gothic" w:eastAsia="Century Gothic"/>
          <w:b w:val="0"/>
          <w:i w:val="0"/>
          <w:sz w:val="20"/>
        </w:rPr>
        <w:t>Se aplicaron 3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7.11</w:t>
        <w:tab/>
      </w:r>
      <w:r>
        <w:rPr>
          <w:rFonts w:ascii="Century Gothic" w:hAnsi="Century Gothic" w:cs="Century Gothic" w:eastAsia="Century Gothic"/>
          <w:b/>
          <w:i w:val="0"/>
          <w:sz w:val="22"/>
        </w:rPr>
        <w:t>CPA-203 Contabilidad de Tributos</w:t>
      </w:r>
    </w:p>
    <w:p>
      <w:pPr>
        <w:spacing w:before="0" w:after="200" w:line="240" w:lineRule="auto"/>
        <w:jc w:val="both"/>
      </w:pPr>
      <w:r>
        <w:rPr>
          <w:rFonts w:ascii="Century Gothic" w:hAnsi="Century Gothic" w:cs="Century Gothic" w:eastAsia="Century Gothic"/>
          <w:b w:val="0"/>
          <w:i w:val="0"/>
          <w:sz w:val="20"/>
        </w:rPr>
        <w:t xml:space="preserve">Archivo: CPA-203 Contabilidad de Tributos ARCHIVO FINAL Y MODIFICACIONES PROPUESTAS.docx. Cumple 18 de 23 controles, 4 de forma parcial y no cumple 1.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técnicamente rico y actualizado en la normativa tributaria boliviana, con buen uso de plataformas virtuales y una conciliación contable-fiscal bien planteada. Debilitan la cadena la unidad de competencia sin la estructura de la guía, varias marcas (C) en contenidos de liquidación, la rúbrica del Producto 7 desalineada y la superposición con DER-201, CPA-201 y DER-102; el peso del E2 (55 %) concentra la evaluación en un solo elemento.</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20, 15, 30, 15,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procesos en gerundio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(2 inversiones)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13"/>
        </w:numPr>
        <w:spacing w:before="0" w:after="160" w:line="240" w:lineRule="auto"/>
        <w:jc w:val="both"/>
      </w:pPr>
      <w:r>
        <w:rPr>
          <w:rFonts w:ascii="Century Gothic" w:hAnsi="Century Gothic" w:cs="Century Gothic" w:eastAsia="Century Gothic"/>
          <w:b/>
          <w:i w:val="0"/>
          <w:sz w:val="20"/>
        </w:rPr>
        <w:t>Coherencia, Unidad de competencia.</w:t>
      </w:r>
      <w:r>
        <w:rPr>
          <w:rFonts w:ascii="Century Gothic" w:hAnsi="Century Gothic" w:cs="Century Gothic" w:eastAsia="Century Gothic"/>
          <w:b w:val="0"/>
          <w:i w:val="0"/>
          <w:sz w:val="20"/>
        </w:rPr>
        <w:t xml:space="preserve"> La unidad encadena cinco verbos conjugados separados por punto y coma (interpreta y aplica; liquida; determina y concilia; utiliza; controla) sin procesos en gerundio ni contexto boliviano explícito del sujeto, lo que no sigue la estructura de la guía. Redactar con un verbo principal ('Liquida los tributos…') y los demás procesos en gerundio, cerrando con las condiciones de calidad.</w:t>
      </w:r>
    </w:p>
    <w:p>
      <w:pPr>
        <w:numPr>
          <w:ilvl w:val="0"/>
          <w:numId w:val="913"/>
        </w:numPr>
        <w:spacing w:before="0" w:after="160" w:line="240" w:lineRule="auto"/>
        <w:jc w:val="both"/>
      </w:pPr>
      <w:r>
        <w:rPr>
          <w:rFonts w:ascii="Century Gothic" w:hAnsi="Century Gothic" w:cs="Century Gothic" w:eastAsia="Century Gothic"/>
          <w:b/>
          <w:i w:val="0"/>
          <w:sz w:val="20"/>
        </w:rPr>
        <w:t>Coherencia, E2, criterio 2, evidencia 2.1 / Producto 7 y su rúbrica.</w:t>
      </w:r>
      <w:r>
        <w:rPr>
          <w:rFonts w:ascii="Century Gothic" w:hAnsi="Century Gothic" w:cs="Century Gothic" w:eastAsia="Century Gothic"/>
          <w:b w:val="0"/>
          <w:i w:val="0"/>
          <w:sz w:val="20"/>
        </w:rPr>
        <w:t xml:space="preserve"> El producto es 'Planilla tributaria del RC-IVA con el cuadro de retenciones', pero la rúbrica se titula 'Planilla: Sueldos y salarios, tributaria, Aportes Patronales y Beneficios Sociales, y retenciones' y sus criterios no evalúan sueldos, aportes ni beneficios. Igualar el título de la rúbrica al del producto.</w:t>
      </w:r>
    </w:p>
    <w:p>
      <w:pPr>
        <w:numPr>
          <w:ilvl w:val="0"/>
          <w:numId w:val="913"/>
        </w:numPr>
        <w:spacing w:before="0" w:after="160" w:line="240" w:lineRule="auto"/>
        <w:jc w:val="both"/>
      </w:pPr>
      <w:r>
        <w:rPr>
          <w:rFonts w:ascii="Century Gothic" w:hAnsi="Century Gothic" w:cs="Century Gothic" w:eastAsia="Century Gothic"/>
          <w:b/>
          <w:i w:val="0"/>
          <w:sz w:val="20"/>
        </w:rPr>
        <w:t>Coherencia, E3, criterio 2, evidencia 2.2 / Producto 12.</w:t>
      </w:r>
      <w:r>
        <w:rPr>
          <w:rFonts w:ascii="Century Gothic" w:hAnsi="Century Gothic" w:cs="Century Gothic" w:eastAsia="Century Gothic"/>
          <w:b w:val="0"/>
          <w:i w:val="0"/>
          <w:sz w:val="20"/>
        </w:rPr>
        <w:t xml:space="preserve"> La evidencia es explicar ante el curso el procedimiento de declaración y pago, mientras el producto es una lista de verificación de la documentación de respaldo. Ajustar el producto a la exposición del procedimiento o la evidencia a la elaboración de la lista de verificación.</w:t>
      </w:r>
    </w:p>
    <w:p>
      <w:pPr>
        <w:numPr>
          <w:ilvl w:val="0"/>
          <w:numId w:val="913"/>
        </w:numPr>
        <w:spacing w:before="0" w:after="160" w:line="240" w:lineRule="auto"/>
        <w:jc w:val="both"/>
      </w:pPr>
      <w:r>
        <w:rPr>
          <w:rFonts w:ascii="Century Gothic" w:hAnsi="Century Gothic" w:cs="Century Gothic" w:eastAsia="Century Gothic"/>
          <w:b/>
          <w:i w:val="0"/>
          <w:sz w:val="20"/>
        </w:rPr>
        <w:t>Contenido técnico, Unidad de competencia.</w:t>
      </w:r>
      <w:r>
        <w:rPr>
          <w:rFonts w:ascii="Century Gothic" w:hAnsi="Century Gothic" w:cs="Century Gothic" w:eastAsia="Century Gothic"/>
          <w:b w:val="0"/>
          <w:i w:val="0"/>
          <w:sz w:val="20"/>
        </w:rPr>
        <w:t xml:space="preserve"> Se denomina a la Ley N° 843 'Sistema Tributario Boliviano'; su nombre es Ley de Reforma Tributaria, como figura en la propia bibliografía. Escribir 'Ley N° 843 de Reforma Tributaria (texto ordenado vigente)'.</w:t>
      </w:r>
    </w:p>
    <w:p>
      <w:pPr>
        <w:numPr>
          <w:ilvl w:val="0"/>
          <w:numId w:val="913"/>
        </w:numPr>
        <w:spacing w:before="0" w:after="160" w:line="240" w:lineRule="auto"/>
        <w:jc w:val="both"/>
      </w:pPr>
      <w:r>
        <w:rPr>
          <w:rFonts w:ascii="Century Gothic" w:hAnsi="Century Gothic" w:cs="Century Gothic" w:eastAsia="Century Gothic"/>
          <w:b/>
          <w:i w:val="0"/>
          <w:sz w:val="20"/>
        </w:rPr>
        <w:t>Contenido técnico, E1, contenidos (Tema 1).</w:t>
      </w:r>
      <w:r>
        <w:rPr>
          <w:rFonts w:ascii="Century Gothic" w:hAnsi="Century Gothic" w:cs="Century Gothic" w:eastAsia="Century Gothic"/>
          <w:b w:val="0"/>
          <w:i w:val="0"/>
          <w:sz w:val="20"/>
        </w:rPr>
        <w:t xml:space="preserve"> Se atribuye la modificación de los artículos 59 y 60 del Código Tributario solo a la Ley N° 1733 de 2026, cuando esos artículos fueron modificados por las Leyes 291, 317 y 812 que figuran en la bibliografía. Citar la secuencia de modificaciones y verificar el alcance real de la Ley 1733 sobre la prescripción.</w:t>
      </w:r>
    </w:p>
    <w:p>
      <w:pPr>
        <w:numPr>
          <w:ilvl w:val="0"/>
          <w:numId w:val="913"/>
        </w:numPr>
        <w:spacing w:before="0" w:after="160" w:line="240" w:lineRule="auto"/>
        <w:jc w:val="both"/>
      </w:pPr>
      <w:r>
        <w:rPr>
          <w:rFonts w:ascii="Century Gothic" w:hAnsi="Century Gothic" w:cs="Century Gothic" w:eastAsia="Century Gothic"/>
          <w:b/>
          <w:i w:val="0"/>
          <w:sz w:val="20"/>
        </w:rPr>
        <w:t>Contenido técnico, E2, contenidos (Tema 5) frente a E4 (Tema 11).</w:t>
      </w:r>
      <w:r>
        <w:rPr>
          <w:rFonts w:ascii="Century Gothic" w:hAnsi="Century Gothic" w:cs="Century Gothic" w:eastAsia="Century Gothic"/>
          <w:b w:val="0"/>
          <w:i w:val="0"/>
          <w:sz w:val="20"/>
        </w:rPr>
        <w:t xml:space="preserve"> El mismo impuesto municipal se llama 'Impuesto Municipal a las Transferencias' en el Tema 5 e 'Impuesto Municipal a la Transferencia Onerosa… IMTO' en el Tema 11. Unificar la denominación según la ley municipal que se tome de referencia.</w:t>
      </w:r>
    </w:p>
    <w:p>
      <w:pPr>
        <w:numPr>
          <w:ilvl w:val="0"/>
          <w:numId w:val="913"/>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Incluye entradas sin autor ni título identificable ('Normas tributarias relacionadas con la preparación de estados financieros'), una obra sin ciudad ni editorial (Valdez Montoya, 2025) y enlaces a sitios privados (pixilegal, lexivox) en lugar de la Gaceta Oficial. Retirar la entrada genérica, completar los datos y preferir la Gaceta Oficial o el portal del SIN.</w:t>
      </w:r>
    </w:p>
    <w:p>
      <w:pPr>
        <w:numPr>
          <w:ilvl w:val="0"/>
          <w:numId w:val="913"/>
        </w:numPr>
        <w:spacing w:before="0" w:after="160" w:line="240" w:lineRule="auto"/>
        <w:jc w:val="both"/>
      </w:pPr>
      <w:r>
        <w:rPr>
          <w:rFonts w:ascii="Century Gothic" w:hAnsi="Century Gothic" w:cs="Century Gothic" w:eastAsia="Century Gothic"/>
          <w:b/>
          <w:i w:val="0"/>
          <w:sz w:val="20"/>
        </w:rPr>
        <w:t>Marcas de saber, E1, Tema 3: 'Prácticas de llenado de formularios de los regímenes especiales. (C)'.</w:t>
      </w:r>
      <w:r>
        <w:rPr>
          <w:rFonts w:ascii="Century Gothic" w:hAnsi="Century Gothic" w:cs="Century Gothic" w:eastAsia="Century Gothic"/>
          <w:b w:val="0"/>
          <w:i w:val="0"/>
          <w:sz w:val="20"/>
        </w:rPr>
        <w:t xml:space="preserve"> Es una práctica: corresponde (P) y, si se hace en la plataforma, (P, T).</w:t>
      </w:r>
    </w:p>
    <w:p>
      <w:pPr>
        <w:numPr>
          <w:ilvl w:val="0"/>
          <w:numId w:val="913"/>
        </w:numPr>
        <w:spacing w:before="0" w:after="160" w:line="240" w:lineRule="auto"/>
        <w:jc w:val="both"/>
      </w:pPr>
      <w:r>
        <w:rPr>
          <w:rFonts w:ascii="Century Gothic" w:hAnsi="Century Gothic" w:cs="Century Gothic" w:eastAsia="Century Gothic"/>
          <w:b/>
          <w:i w:val="0"/>
          <w:sz w:val="20"/>
        </w:rPr>
        <w:t>Marcas de saber, E3, Tema 10: 'Base imponible y valuación…' y 'Liquidación del Impuesto a la Transmisión Gratuita de Bienes. (C)'.</w:t>
      </w:r>
      <w:r>
        <w:rPr>
          <w:rFonts w:ascii="Century Gothic" w:hAnsi="Century Gothic" w:cs="Century Gothic" w:eastAsia="Century Gothic"/>
          <w:b w:val="0"/>
          <w:i w:val="0"/>
          <w:sz w:val="20"/>
        </w:rPr>
        <w:t xml:space="preserve"> Valuar y liquidar son procedimentales; marcados solo (C).</w:t>
      </w:r>
    </w:p>
    <w:p>
      <w:pPr>
        <w:numPr>
          <w:ilvl w:val="0"/>
          <w:numId w:val="913"/>
        </w:numPr>
        <w:spacing w:before="0" w:after="160" w:line="240" w:lineRule="auto"/>
        <w:jc w:val="both"/>
      </w:pPr>
      <w:r>
        <w:rPr>
          <w:rFonts w:ascii="Century Gothic" w:hAnsi="Century Gothic" w:cs="Century Gothic" w:eastAsia="Century Gothic"/>
          <w:b/>
          <w:i w:val="0"/>
          <w:sz w:val="20"/>
        </w:rPr>
        <w:t>Marcas de saber, E4, Tema 11: 'IMTO: objeto, sujeto y liquidación (C)', 'Tasas y patentes… liquidación (C)' y 'Consulta y liquidación… en la plataforma virtual del RUAT. (C, T)'.</w:t>
      </w:r>
      <w:r>
        <w:rPr>
          <w:rFonts w:ascii="Century Gothic" w:hAnsi="Century Gothic" w:cs="Century Gothic" w:eastAsia="Century Gothic"/>
          <w:b w:val="0"/>
          <w:i w:val="0"/>
          <w:sz w:val="20"/>
        </w:rPr>
        <w:t xml:space="preserve"> La liquidación y la operación de la plataforma son procedimentales; falta (P).</w:t>
      </w:r>
    </w:p>
    <w:p>
      <w:pPr>
        <w:numPr>
          <w:ilvl w:val="0"/>
          <w:numId w:val="913"/>
        </w:numPr>
        <w:spacing w:before="0" w:after="160" w:line="240" w:lineRule="auto"/>
        <w:jc w:val="both"/>
      </w:pPr>
      <w:r>
        <w:rPr>
          <w:rFonts w:ascii="Century Gothic" w:hAnsi="Century Gothic" w:cs="Century Gothic" w:eastAsia="Century Gothic"/>
          <w:b/>
          <w:i w:val="0"/>
          <w:sz w:val="20"/>
        </w:rPr>
        <w:t>Marcas de saber, E2, Tema 6: 'Elaboración de la planilla de sueldos… planilla tributaria del RC-IVA… (P, A)'.</w:t>
      </w:r>
      <w:r>
        <w:rPr>
          <w:rFonts w:ascii="Century Gothic" w:hAnsi="Century Gothic" w:cs="Century Gothic" w:eastAsia="Century Gothic"/>
          <w:b w:val="0"/>
          <w:i w:val="0"/>
          <w:sz w:val="20"/>
        </w:rPr>
        <w:t xml:space="preserve"> (A) sin conducta esperada ni criterio de rúbrica que la observe.</w:t>
      </w:r>
    </w:p>
    <w:p>
      <w:pPr>
        <w:numPr>
          <w:ilvl w:val="0"/>
          <w:numId w:val="913"/>
        </w:numPr>
        <w:spacing w:before="0" w:after="160" w:line="240" w:lineRule="auto"/>
        <w:jc w:val="both"/>
      </w:pPr>
      <w:r>
        <w:rPr>
          <w:rFonts w:ascii="Century Gothic" w:hAnsi="Century Gothic" w:cs="Century Gothic" w:eastAsia="Century Gothic"/>
          <w:b/>
          <w:i w:val="0"/>
          <w:sz w:val="20"/>
        </w:rPr>
        <w:t>Marcas de saber, E2, Tema 9: 'Análisis crítico del efecto de los impuestos… (P)'.</w:t>
      </w:r>
      <w:r>
        <w:rPr>
          <w:rFonts w:ascii="Century Gothic" w:hAnsi="Century Gothic" w:cs="Century Gothic" w:eastAsia="Century Gothic"/>
          <w:b w:val="0"/>
          <w:i w:val="0"/>
          <w:sz w:val="20"/>
        </w:rPr>
        <w:t xml:space="preserve"> El análisis es cognitivo; corresponde (C).</w:t>
      </w:r>
    </w:p>
    <w:p>
      <w:pPr>
        <w:numPr>
          <w:ilvl w:val="0"/>
          <w:numId w:val="913"/>
        </w:numPr>
        <w:spacing w:before="0" w:after="160" w:line="240" w:lineRule="auto"/>
        <w:jc w:val="both"/>
      </w:pPr>
      <w:r>
        <w:rPr>
          <w:rFonts w:ascii="Century Gothic" w:hAnsi="Century Gothic" w:cs="Century Gothic" w:eastAsia="Century Gothic"/>
          <w:b/>
          <w:i w:val="0"/>
          <w:sz w:val="20"/>
        </w:rPr>
        <w:t>Circunstanciales, E2, conocimientos circunstanciales.</w:t>
      </w:r>
      <w:r>
        <w:rPr>
          <w:rFonts w:ascii="Century Gothic" w:hAnsi="Century Gothic" w:cs="Century Gothic" w:eastAsia="Century Gothic"/>
          <w:b w:val="0"/>
          <w:i w:val="0"/>
          <w:sz w:val="20"/>
        </w:rPr>
        <w:t xml:space="preserve"> El archivo y la conservación de facturas y comprobantes ya se tratan en CPA-101 Contabilidad Básica (deberes formales de conservación) y en DER-201 Derecho Tributario.</w:t>
      </w:r>
    </w:p>
    <w:p>
      <w:pPr>
        <w:numPr>
          <w:ilvl w:val="0"/>
          <w:numId w:val="913"/>
        </w:numPr>
        <w:spacing w:before="0" w:after="160" w:line="240" w:lineRule="auto"/>
        <w:jc w:val="both"/>
      </w:pPr>
      <w:r>
        <w:rPr>
          <w:rFonts w:ascii="Century Gothic" w:hAnsi="Century Gothic" w:cs="Century Gothic" w:eastAsia="Century Gothic"/>
          <w:b/>
          <w:i w:val="0"/>
          <w:sz w:val="20"/>
        </w:rPr>
        <w:t>Incoherencia interna, Datos generales, carga horaria.</w:t>
      </w:r>
      <w:r>
        <w:rPr>
          <w:rFonts w:ascii="Century Gothic" w:hAnsi="Century Gothic" w:cs="Century Gothic" w:eastAsia="Century Gothic"/>
          <w:b w:val="0"/>
          <w:i w:val="0"/>
          <w:sz w:val="20"/>
        </w:rPr>
        <w:t xml:space="preserve"> Se llenaron las horas (160, 20, 15, 30, 15; TOTAL 240) aunque la guía pide dejarlas en blanco; el total contradice las 160 h/año de la malla.</w:t>
      </w:r>
    </w:p>
    <w:p>
      <w:pPr>
        <w:numPr>
          <w:ilvl w:val="0"/>
          <w:numId w:val="913"/>
        </w:numPr>
        <w:spacing w:before="0" w:after="160" w:line="240" w:lineRule="auto"/>
        <w:jc w:val="both"/>
      </w:pPr>
      <w:r>
        <w:rPr>
          <w:rFonts w:ascii="Century Gothic" w:hAnsi="Century Gothic" w:cs="Century Gothic" w:eastAsia="Century Gothic"/>
          <w:b/>
          <w:i w:val="0"/>
          <w:sz w:val="20"/>
        </w:rPr>
        <w:t>Incoherencia interna, E1, Tema 1, y E2, Tema 4 (deuda tributaria).</w:t>
      </w:r>
      <w:r>
        <w:rPr>
          <w:rFonts w:ascii="Century Gothic" w:hAnsi="Century Gothic" w:cs="Century Gothic" w:eastAsia="Century Gothic"/>
          <w:b w:val="0"/>
          <w:i w:val="0"/>
          <w:sz w:val="20"/>
        </w:rPr>
        <w:t xml:space="preserve"> Código Tributario, obligación tributaria, ilícitos, prescripción y deuda tributaria (mantenimiento de valor, intereses, sanciones) repiten DER-201 Derecho Tributario y Legislación Aduanera (Elementos 2 y 3).</w:t>
      </w:r>
    </w:p>
    <w:p>
      <w:pPr>
        <w:numPr>
          <w:ilvl w:val="0"/>
          <w:numId w:val="913"/>
        </w:numPr>
        <w:spacing w:before="0" w:after="160" w:line="240" w:lineRule="auto"/>
        <w:jc w:val="both"/>
      </w:pPr>
      <w:r>
        <w:rPr>
          <w:rFonts w:ascii="Century Gothic" w:hAnsi="Century Gothic" w:cs="Century Gothic" w:eastAsia="Century Gothic"/>
          <w:b/>
          <w:i w:val="0"/>
          <w:sz w:val="20"/>
        </w:rPr>
        <w:t>Incoherencia interna, E2, Tema 6 (planilla de sueldos y RC-IVA).</w:t>
      </w:r>
      <w:r>
        <w:rPr>
          <w:rFonts w:ascii="Century Gothic" w:hAnsi="Century Gothic" w:cs="Century Gothic" w:eastAsia="Century Gothic"/>
          <w:b w:val="0"/>
          <w:i w:val="0"/>
          <w:sz w:val="20"/>
        </w:rPr>
        <w:t xml:space="preserve"> La planilla de sueldos, la planilla tributaria del RC-IVA y los aportes patronales repiten CPA-201 (E7, Tema 17) y DER-102 (planilla de sueldos en hoja de cálculo).</w:t>
      </w:r>
    </w:p>
    <w:p>
      <w:pPr>
        <w:numPr>
          <w:ilvl w:val="0"/>
          <w:numId w:val="913"/>
        </w:numPr>
        <w:spacing w:before="0" w:after="160" w:line="240" w:lineRule="auto"/>
        <w:jc w:val="both"/>
      </w:pPr>
      <w:r>
        <w:rPr>
          <w:rFonts w:ascii="Century Gothic" w:hAnsi="Century Gothic" w:cs="Century Gothic" w:eastAsia="Century Gothic"/>
          <w:b/>
          <w:i w:val="0"/>
          <w:sz w:val="20"/>
        </w:rPr>
        <w:t>Incoherencia interna, E2, Tema 9, frente al informe de la subcomisión.</w:t>
      </w:r>
      <w:r>
        <w:rPr>
          <w:rFonts w:ascii="Century Gothic" w:hAnsi="Century Gothic" w:cs="Century Gothic" w:eastAsia="Century Gothic"/>
          <w:b w:val="0"/>
          <w:i w:val="0"/>
          <w:sz w:val="20"/>
        </w:rPr>
        <w:t xml:space="preserve"> El itinerario mantiene el 'Impuesto a la Participación en Juego', que el informe declara haber retirado por no vigente.</w:t>
      </w:r>
    </w:p>
    <w:p>
      <w:pPr>
        <w:numPr>
          <w:ilvl w:val="0"/>
          <w:numId w:val="913"/>
        </w:numPr>
        <w:spacing w:before="0" w:after="200" w:line="240" w:lineRule="auto"/>
        <w:jc w:val="both"/>
      </w:pPr>
      <w:r>
        <w:rPr>
          <w:rFonts w:ascii="Century Gothic" w:hAnsi="Century Gothic" w:cs="Century Gothic" w:eastAsia="Century Gothic"/>
          <w:b/>
          <w:i w:val="0"/>
          <w:sz w:val="20"/>
        </w:rPr>
        <w:t>Incoherencia interna, Estrategias de evaluación, sumativa.</w:t>
      </w:r>
      <w:r>
        <w:rPr>
          <w:rFonts w:ascii="Century Gothic" w:hAnsi="Century Gothic" w:cs="Century Gothic" w:eastAsia="Century Gothic"/>
          <w:b w:val="0"/>
          <w:i w:val="0"/>
          <w:sz w:val="20"/>
        </w:rPr>
        <w:t xml:space="preserve"> Incluye 'asistencia' como componente sumativo, mientras los criterios de calificación asignan el 100 % a los productos.</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explica la unidad de competencia reformulada (citando las Leyes 2492 y 843), los nuevos enunciados de los cuatro elementos, el retiro de 'en aula' en la evidencia 1.1, la reorganización en 11 temas (fusión de IVA e IUE, tasas y patentes dentro de Impuestos municipales), la incorporación de la deuda tributaria y el uso genérico de 'Administración Tributaria'; el itinerario refleja esos cambios. No hay cambio de nombre de la asignatura. Discrepancias: el informe registra 'HP 160, HAA 20, HTG 15, HIP 30, HE 15; total 240', contrario a la guía (horas en blanco) y a la malla (160 h/año); declara retirados los impuestos a los juegos, pero el Tema 9 conserva el Impuesto a la Participación en Juego; y el uso de 'Administración Tributaria' no es total, pues siguen apareciendo SIN y RUAT en contenidos y evidencias.</w:t>
      </w:r>
    </w:p>
    <w:p>
      <w:pPr>
        <w:spacing w:before="0" w:after="200" w:line="240" w:lineRule="auto"/>
        <w:jc w:val="both"/>
      </w:pPr>
      <w:r>
        <w:rPr>
          <w:rFonts w:ascii="Century Gothic" w:hAnsi="Century Gothic" w:cs="Century Gothic" w:eastAsia="Century Gothic"/>
          <w:b w:val="0"/>
          <w:i w:val="0"/>
          <w:sz w:val="20"/>
        </w:rPr>
        <w:t>Se aplicaron 7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7.12</w:t>
        <w:tab/>
      </w:r>
      <w:r>
        <w:rPr>
          <w:rFonts w:ascii="Century Gothic" w:hAnsi="Century Gothic" w:cs="Century Gothic" w:eastAsia="Century Gothic"/>
          <w:b/>
          <w:i w:val="0"/>
          <w:sz w:val="22"/>
        </w:rPr>
        <w:t>CPA-204 Métodos y Técnicas de Investigación</w:t>
      </w:r>
    </w:p>
    <w:p>
      <w:pPr>
        <w:spacing w:before="0" w:after="200" w:line="240" w:lineRule="auto"/>
        <w:jc w:val="both"/>
      </w:pPr>
      <w:r>
        <w:rPr>
          <w:rFonts w:ascii="Century Gothic" w:hAnsi="Century Gothic" w:cs="Century Gothic" w:eastAsia="Century Gothic"/>
          <w:b w:val="0"/>
          <w:i w:val="0"/>
          <w:sz w:val="20"/>
        </w:rPr>
        <w:t xml:space="preserve">Archivo: CPA-204 Métodos y Técnicas de Investigación FINAL.docx. Cumple 18 de 23 controles, 4 de forma parcial y no cumple 1.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Es el itinerario mejor construido del grupo: cadena coherente en los E1 a E3, rúbricas propias de cada producto y buen tratamiento de la ética y del uso verificado de la IA. Las observaciones principales son la confusión entre propuesta e informe final con resultados en el E4, un descriptor de rúbrica sin sentido y algunas marcas (C) que deberían llevar (P, T).</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 sin condiciones de calidad explícitas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Rúbricas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rúbricas sin exactamente tres criterios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3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 en color rojo (1 fragmentos)</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14"/>
        </w:numPr>
        <w:spacing w:before="0" w:after="160" w:line="240" w:lineRule="auto"/>
        <w:jc w:val="both"/>
      </w:pPr>
      <w:r>
        <w:rPr>
          <w:rFonts w:ascii="Century Gothic" w:hAnsi="Century Gothic" w:cs="Century Gothic" w:eastAsia="Century Gothic"/>
          <w:b/>
          <w:i w:val="0"/>
          <w:sz w:val="20"/>
        </w:rPr>
        <w:t>Coherencia, Unidad de competencia frente al E4, criterio 2 / Productos 15 y 16.</w:t>
      </w:r>
      <w:r>
        <w:rPr>
          <w:rFonts w:ascii="Century Gothic" w:hAnsi="Century Gothic" w:cs="Century Gothic" w:eastAsia="Century Gothic"/>
          <w:b w:val="0"/>
          <w:i w:val="0"/>
          <w:sz w:val="20"/>
        </w:rPr>
        <w:t xml:space="preserve"> La unidad pide diseñar un proyecto (perfil) de investigación, pero el E4 exige un 'informe final' con resultados y conclusiones, y la rúbrica del P15 evalúa si 'las conclusiones se apoyan en los datos'. Con datos hipotéticos, una propuesta no tiene resultados. Llamar al P15 'Proyecto o perfil de investigación' y evaluar los resultados esperados y el plan de análisis, no las conclusiones.</w:t>
      </w:r>
    </w:p>
    <w:p>
      <w:pPr>
        <w:numPr>
          <w:ilvl w:val="0"/>
          <w:numId w:val="914"/>
        </w:numPr>
        <w:spacing w:before="0" w:after="160" w:line="240" w:lineRule="auto"/>
        <w:jc w:val="both"/>
      </w:pPr>
      <w:r>
        <w:rPr>
          <w:rFonts w:ascii="Century Gothic" w:hAnsi="Century Gothic" w:cs="Century Gothic" w:eastAsia="Century Gothic"/>
          <w:b/>
          <w:i w:val="0"/>
          <w:sz w:val="20"/>
        </w:rPr>
        <w:t>Coherencia, Rúbrica del Producto 15, criterio 'Resumen de la propuesta en inglés'.</w:t>
      </w:r>
      <w:r>
        <w:rPr>
          <w:rFonts w:ascii="Century Gothic" w:hAnsi="Century Gothic" w:cs="Century Gothic" w:eastAsia="Century Gothic"/>
          <w:b w:val="0"/>
          <w:i w:val="0"/>
          <w:sz w:val="20"/>
        </w:rPr>
        <w:t xml:space="preserve"> El nivel Suficiente dice 'El resumen de la propuesta es objeto de corrección', que no describe un cumplimiento correcto. Por ejemplo: 'Redacta un resumen en inglés comprensible y fiel a la propuesta'.</w:t>
      </w:r>
    </w:p>
    <w:p>
      <w:pPr>
        <w:numPr>
          <w:ilvl w:val="0"/>
          <w:numId w:val="914"/>
        </w:numPr>
        <w:spacing w:before="0" w:after="160" w:line="240" w:lineRule="auto"/>
        <w:jc w:val="both"/>
      </w:pPr>
      <w:r>
        <w:rPr>
          <w:rFonts w:ascii="Century Gothic" w:hAnsi="Century Gothic" w:cs="Century Gothic" w:eastAsia="Century Gothic"/>
          <w:b/>
          <w:i w:val="0"/>
          <w:sz w:val="20"/>
        </w:rPr>
        <w:t>Coherencia, E4, criterio 1.</w:t>
      </w:r>
      <w:r>
        <w:rPr>
          <w:rFonts w:ascii="Century Gothic" w:hAnsi="Century Gothic" w:cs="Century Gothic" w:eastAsia="Century Gothic"/>
          <w:b w:val="0"/>
          <w:i w:val="0"/>
          <w:sz w:val="20"/>
        </w:rPr>
        <w:t xml:space="preserve"> Mezcla en un mismo criterio el diseño del instrumento (validez, confiabilidad) y el análisis descriptivo ('…y el análisis de los datos con estadística descriptiva'), y la sintaxis queda forzada. 'Diseña el instrumento… verificando su validez y su confiabilidad, y analiza los datos con estadística descriptiva'.</w:t>
      </w:r>
    </w:p>
    <w:p>
      <w:pPr>
        <w:numPr>
          <w:ilvl w:val="0"/>
          <w:numId w:val="914"/>
        </w:numPr>
        <w:spacing w:before="0" w:after="160" w:line="240" w:lineRule="auto"/>
        <w:jc w:val="both"/>
      </w:pPr>
      <w:r>
        <w:rPr>
          <w:rFonts w:ascii="Century Gothic" w:hAnsi="Century Gothic" w:cs="Century Gothic" w:eastAsia="Century Gothic"/>
          <w:b/>
          <w:i w:val="0"/>
          <w:sz w:val="20"/>
        </w:rPr>
        <w:t>Contenido técnico, Bibliografía complementaria, 'Ketele, J. M. y Roegiers, X. (2000)'.</w:t>
      </w:r>
      <w:r>
        <w:rPr>
          <w:rFonts w:ascii="Century Gothic" w:hAnsi="Century Gothic" w:cs="Century Gothic" w:eastAsia="Century Gothic"/>
          <w:b w:val="0"/>
          <w:i w:val="0"/>
          <w:sz w:val="20"/>
        </w:rPr>
        <w:t xml:space="preserve"> El apellido del autor es De Ketele (Jean-Marie De Ketele). 'De Ketele, J.-M. y Roegiers, X.'</w:t>
      </w:r>
    </w:p>
    <w:p>
      <w:pPr>
        <w:numPr>
          <w:ilvl w:val="0"/>
          <w:numId w:val="914"/>
        </w:numPr>
        <w:spacing w:before="0" w:after="160" w:line="240" w:lineRule="auto"/>
        <w:jc w:val="both"/>
      </w:pPr>
      <w:r>
        <w:rPr>
          <w:rFonts w:ascii="Century Gothic" w:hAnsi="Century Gothic" w:cs="Century Gothic" w:eastAsia="Century Gothic"/>
          <w:b/>
          <w:i w:val="0"/>
          <w:sz w:val="20"/>
        </w:rPr>
        <w:t>Marcas de saber, E2, 'Gestores bibliográficos Word, Zotero y Mendeley… (C)' y 'Búsqueda de literatura en repositorios… (C)'.</w:t>
      </w:r>
      <w:r>
        <w:rPr>
          <w:rFonts w:ascii="Century Gothic" w:hAnsi="Century Gothic" w:cs="Century Gothic" w:eastAsia="Century Gothic"/>
          <w:b w:val="0"/>
          <w:i w:val="0"/>
          <w:sz w:val="20"/>
        </w:rPr>
        <w:t xml:space="preserve"> La evidencia 1.1 opera el gestor en el laboratorio; corresponde (P, T).</w:t>
      </w:r>
    </w:p>
    <w:p>
      <w:pPr>
        <w:numPr>
          <w:ilvl w:val="0"/>
          <w:numId w:val="914"/>
        </w:numPr>
        <w:spacing w:before="0" w:after="160" w:line="240" w:lineRule="auto"/>
        <w:jc w:val="both"/>
      </w:pPr>
      <w:r>
        <w:rPr>
          <w:rFonts w:ascii="Century Gothic" w:hAnsi="Century Gothic" w:cs="Century Gothic" w:eastAsia="Century Gothic"/>
          <w:b/>
          <w:i w:val="0"/>
          <w:sz w:val="20"/>
        </w:rPr>
        <w:t>Marcas de saber, E3, contenidos.</w:t>
      </w:r>
      <w:r>
        <w:rPr>
          <w:rFonts w:ascii="Century Gothic" w:hAnsi="Century Gothic" w:cs="Century Gothic" w:eastAsia="Century Gothic"/>
          <w:b w:val="0"/>
          <w:i w:val="0"/>
          <w:sz w:val="20"/>
        </w:rPr>
        <w:t xml:space="preserve"> Siete de los ocho contenidos están en (C). 'Operacionalización de las variables en indicadores medibles… (C)' se ejecuta en la evidencia 2.2: (C, P).</w:t>
      </w:r>
    </w:p>
    <w:p>
      <w:pPr>
        <w:numPr>
          <w:ilvl w:val="0"/>
          <w:numId w:val="914"/>
        </w:numPr>
        <w:spacing w:before="0" w:after="160" w:line="240" w:lineRule="auto"/>
        <w:jc w:val="both"/>
      </w:pPr>
      <w:r>
        <w:rPr>
          <w:rFonts w:ascii="Century Gothic" w:hAnsi="Century Gothic" w:cs="Century Gothic" w:eastAsia="Century Gothic"/>
          <w:b/>
          <w:i w:val="0"/>
          <w:sz w:val="20"/>
        </w:rPr>
        <w:t>Incoherencia interna, E4, estadística descriptiva y E3, hipótesis nula y alternativa.</w:t>
      </w:r>
      <w:r>
        <w:rPr>
          <w:rFonts w:ascii="Century Gothic" w:hAnsi="Century Gothic" w:cs="Century Gothic" w:eastAsia="Century Gothic"/>
          <w:b w:val="0"/>
          <w:i w:val="0"/>
          <w:sz w:val="20"/>
        </w:rPr>
        <w:t xml:space="preserve"> Las medidas de tendencia central y dispersión y la contrastación H0/H1 se dictan en MAT-301 Estadística (tercer año, E1 y E5). En segundo año se usan antes de esa asignatura, así que conviene limitarlas a lo instrumental.</w:t>
      </w:r>
    </w:p>
    <w:p>
      <w:pPr>
        <w:numPr>
          <w:ilvl w:val="0"/>
          <w:numId w:val="914"/>
        </w:numPr>
        <w:spacing w:before="0" w:after="200" w:line="240" w:lineRule="auto"/>
        <w:jc w:val="both"/>
      </w:pPr>
      <w:r>
        <w:rPr>
          <w:rFonts w:ascii="Century Gothic" w:hAnsi="Century Gothic" w:cs="Century Gothic" w:eastAsia="Century Gothic"/>
          <w:b/>
          <w:i w:val="0"/>
          <w:sz w:val="20"/>
        </w:rPr>
        <w:t>Incoherencia interna, Solapamiento con CPA-510.</w:t>
      </w:r>
      <w:r>
        <w:rPr>
          <w:rFonts w:ascii="Century Gothic" w:hAnsi="Century Gothic" w:cs="Century Gothic" w:eastAsia="Century Gothic"/>
          <w:b w:val="0"/>
          <w:i w:val="0"/>
          <w:sz w:val="20"/>
        </w:rPr>
        <w:t xml:space="preserve"> El planteamiento del problema, los objetivos, las hipótesis, la matriz de variables, el marco teórico, la ética, el plagio y la IA se repiten en CPA-510 E3 y E4. Es una progresión razonable si CPA-510 los aplica al perfil propio sin volver a dictarlos.</w:t>
      </w:r>
    </w:p>
    <w:p>
      <w:pPr>
        <w:spacing w:before="0" w:after="200" w:line="240" w:lineRule="auto"/>
        <w:jc w:val="both"/>
      </w:pPr>
      <w:r>
        <w:rPr>
          <w:rFonts w:ascii="Century Gothic" w:hAnsi="Century Gothic" w:cs="Century Gothic" w:eastAsia="Century Gothic"/>
          <w:b w:val="0"/>
          <w:i w:val="0"/>
          <w:sz w:val="20"/>
        </w:rPr>
        <w:t>Se aplicaron 4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7.13</w:t>
        <w:tab/>
      </w:r>
      <w:r>
        <w:rPr>
          <w:rFonts w:ascii="Century Gothic" w:hAnsi="Century Gothic" w:cs="Century Gothic" w:eastAsia="Century Gothic"/>
          <w:b/>
          <w:i w:val="0"/>
          <w:sz w:val="22"/>
        </w:rPr>
        <w:t>ADM-201 Administración de Sistemas Gerenciales</w:t>
      </w:r>
    </w:p>
    <w:p>
      <w:pPr>
        <w:spacing w:before="0" w:after="200" w:line="240" w:lineRule="auto"/>
        <w:jc w:val="both"/>
      </w:pPr>
      <w:r>
        <w:rPr>
          <w:rFonts w:ascii="Century Gothic" w:hAnsi="Century Gothic" w:cs="Century Gothic" w:eastAsia="Century Gothic"/>
          <w:b w:val="0"/>
          <w:i w:val="0"/>
          <w:sz w:val="20"/>
        </w:rPr>
        <w:t xml:space="preserve">Archivo: adm 2 fin.docx.pdf. Cumple 9 de 23 controles, 7 de forma parcial y no cumple 7. Estado: </w:t>
      </w:r>
      <w:r>
        <w:rPr>
          <w:rFonts w:ascii="Century Gothic" w:hAnsi="Century Gothic" w:cs="Century Gothic" w:eastAsia="Century Gothic"/>
          <w:b/>
          <w:i w:val="0"/>
          <w:sz w:val="20"/>
        </w:rPr>
        <w:t>requiere reformulación parcial</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Es el itinerario más débil del grupo. Tiene cadenas rotas: el elemento 2 no corresponde a sus contenidos, el Producto 7 no sale de su evidencia, las rúbricas 11 y 12 no evalúan su producto y la rúbrica 2 no tiene niveles. También tiene pesos no enteros con una nota de trabajo que debe eliminarse y errores normativos sobre la Ley 1178. Necesita reordenar los elementos y reescribir varias rúbricas antes de aprobarse.</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 , , ,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 sin condiciones de calidad explícitas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C5</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Elementos y capítulos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E3 sin unidades de aprendizaje (temas)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de desempeño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E3: 4 evidencias (numeración 1.1, 1.2, 1.1, 2.2)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6 contenidos sin marca C, P, A o T</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Saberes A y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contenidos tecnológicos (T)</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Rúbricas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rúbricas con niveles distintos de 1–50, 51–80 y 81–100 (sin fila de niveles)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C17</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Pesos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pesos no enteros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(4 inversiones); 1 de 15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(2), «a través»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entregado en PDF y no en Word editable</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Redacción de enunciados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enunciados en infinitivo o futuro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15"/>
        </w:numPr>
        <w:spacing w:before="0" w:after="160" w:line="240" w:lineRule="auto"/>
        <w:jc w:val="both"/>
      </w:pPr>
      <w:r>
        <w:rPr>
          <w:rFonts w:ascii="Century Gothic" w:hAnsi="Century Gothic" w:cs="Century Gothic" w:eastAsia="Century Gothic"/>
          <w:b/>
          <w:i w:val="0"/>
          <w:sz w:val="20"/>
        </w:rPr>
        <w:t>Coherencia, Unidad de competencia.</w:t>
      </w:r>
      <w:r>
        <w:rPr>
          <w:rFonts w:ascii="Century Gothic" w:hAnsi="Century Gothic" w:cs="Century Gothic" w:eastAsia="Century Gothic"/>
          <w:b w:val="0"/>
          <w:i w:val="0"/>
          <w:sz w:val="20"/>
        </w:rPr>
        <w:t xml:space="preserve"> Empieza con «Comprende», un verbo no observable de nivel bajo, para un desempeño que luego exige aplicar y evaluar. Usar un verbo observable, por ejemplo «Analiza y aplica los sistemas gerenciales…».</w:t>
      </w:r>
    </w:p>
    <w:p>
      <w:pPr>
        <w:numPr>
          <w:ilvl w:val="0"/>
          <w:numId w:val="915"/>
        </w:numPr>
        <w:spacing w:before="0" w:after="160" w:line="240" w:lineRule="auto"/>
        <w:jc w:val="both"/>
      </w:pPr>
      <w:r>
        <w:rPr>
          <w:rFonts w:ascii="Century Gothic" w:hAnsi="Century Gothic" w:cs="Century Gothic" w:eastAsia="Century Gothic"/>
          <w:b/>
          <w:i w:val="0"/>
          <w:sz w:val="20"/>
        </w:rPr>
        <w:t>Coherencia, E1, criterio 2 / contenidos Temas 1 a 3.</w:t>
      </w:r>
      <w:r>
        <w:rPr>
          <w:rFonts w:ascii="Century Gothic" w:hAnsi="Century Gothic" w:cs="Century Gothic" w:eastAsia="Century Gothic"/>
          <w:b w:val="0"/>
          <w:i w:val="0"/>
          <w:sz w:val="20"/>
        </w:rPr>
        <w:t xml:space="preserve"> El elemento y el criterio 2 piden aplicar el marco normativo gerencial y evaluar riesgos con criterios de sostenibilidad, pero los contenidos de E1 solo tratan la teoría de sistemas, las funciones y el proceso administrativo; no hay contenidos de riesgos, sostenibilidad ni normativa. Añadir contenidos de identificación y valoración de riesgos, sostenibilidad y responsabilidades normativas de la gerencia, o trasladar ese criterio.</w:t>
      </w:r>
    </w:p>
    <w:p>
      <w:pPr>
        <w:numPr>
          <w:ilvl w:val="0"/>
          <w:numId w:val="915"/>
        </w:numPr>
        <w:spacing w:before="0" w:after="160" w:line="240" w:lineRule="auto"/>
        <w:jc w:val="both"/>
      </w:pPr>
      <w:r>
        <w:rPr>
          <w:rFonts w:ascii="Century Gothic" w:hAnsi="Century Gothic" w:cs="Century Gothic" w:eastAsia="Century Gothic"/>
          <w:b/>
          <w:i w:val="0"/>
          <w:sz w:val="20"/>
        </w:rPr>
        <w:t>Coherencia, E2, elemento frente a contenidos (Temas 4 a 8).</w:t>
      </w:r>
      <w:r>
        <w:rPr>
          <w:rFonts w:ascii="Century Gothic" w:hAnsi="Century Gothic" w:cs="Century Gothic" w:eastAsia="Century Gothic"/>
          <w:b w:val="0"/>
          <w:i w:val="0"/>
          <w:sz w:val="20"/>
        </w:rPr>
        <w:t xml:space="preserve"> El elemento 2 trata del sistema de toma de decisiones, pero sus contenidos son los sistemas de planificación, organización, integración, dirección y control; solo 7.3.2 trata de las decisiones. Reasignar los Temas 4 a 8 a un elemento sobre los sistemas del proceso administrativo y dar a E2 contenidos del ciclo de decisiones, sus técnicas (árboles, matrices de pago, multicriterio) y su control interno.</w:t>
      </w:r>
    </w:p>
    <w:p>
      <w:pPr>
        <w:numPr>
          <w:ilvl w:val="0"/>
          <w:numId w:val="915"/>
        </w:numPr>
        <w:spacing w:before="0" w:after="160" w:line="240" w:lineRule="auto"/>
        <w:jc w:val="both"/>
      </w:pPr>
      <w:r>
        <w:rPr>
          <w:rFonts w:ascii="Century Gothic" w:hAnsi="Century Gothic" w:cs="Century Gothic" w:eastAsia="Century Gothic"/>
          <w:b/>
          <w:i w:val="0"/>
          <w:sz w:val="20"/>
        </w:rPr>
        <w:t>Coherencia, E2, criterio 2, evidencia 2.1 / Producto 7.</w:t>
      </w:r>
      <w:r>
        <w:rPr>
          <w:rFonts w:ascii="Century Gothic" w:hAnsi="Century Gothic" w:cs="Century Gothic" w:eastAsia="Century Gothic"/>
          <w:b w:val="0"/>
          <w:i w:val="0"/>
          <w:sz w:val="20"/>
        </w:rPr>
        <w:t xml:space="preserve"> La evidencia es resolver un caso con árboles de decisión y matrices de pago, pero el Producto 7 describe un organigrama, un MOF y un manual de procesos. Su rúbrica sí evalúa herramientas de decisión, por lo que la descripción del producto no corresponde. Describir el Producto 7 como el informe de resolución del caso con los modelos de decisión aplicados.</w:t>
      </w:r>
    </w:p>
    <w:p>
      <w:pPr>
        <w:numPr>
          <w:ilvl w:val="0"/>
          <w:numId w:val="915"/>
        </w:numPr>
        <w:spacing w:before="0" w:after="160" w:line="240" w:lineRule="auto"/>
        <w:jc w:val="both"/>
      </w:pPr>
      <w:r>
        <w:rPr>
          <w:rFonts w:ascii="Century Gothic" w:hAnsi="Century Gothic" w:cs="Century Gothic" w:eastAsia="Century Gothic"/>
          <w:b/>
          <w:i w:val="0"/>
          <w:sz w:val="20"/>
        </w:rPr>
        <w:t>Coherencia, E3, criterio 2 / Productos 11 y 12 y sus rúbricas.</w:t>
      </w:r>
      <w:r>
        <w:rPr>
          <w:rFonts w:ascii="Century Gothic" w:hAnsi="Century Gothic" w:cs="Century Gothic" w:eastAsia="Century Gothic"/>
          <w:b w:val="0"/>
          <w:i w:val="0"/>
          <w:sz w:val="20"/>
        </w:rPr>
        <w:t xml:space="preserve"> La rúbrica del Producto 11 (Informe de evaluación de sistemas de información) evalúa organigrama, MOF y coherencia del expediente, y la del Producto 12 (Informe de administración y control gubernamental) evalúa descripción de procesos y flujogramas. Ninguna corresponde a su producto. Rehacer las rúbricas 11 y 12 con criterios propios: componentes y tipología del SIG, seguridad y uso de IA; sistemas de la Ley 1178, tipos de control y responsabilidad por la función pública.</w:t>
      </w:r>
    </w:p>
    <w:p>
      <w:pPr>
        <w:numPr>
          <w:ilvl w:val="0"/>
          <w:numId w:val="915"/>
        </w:numPr>
        <w:spacing w:before="0" w:after="160" w:line="240" w:lineRule="auto"/>
        <w:jc w:val="both"/>
      </w:pPr>
      <w:r>
        <w:rPr>
          <w:rFonts w:ascii="Century Gothic" w:hAnsi="Century Gothic" w:cs="Century Gothic" w:eastAsia="Century Gothic"/>
          <w:b/>
          <w:i w:val="0"/>
          <w:sz w:val="20"/>
        </w:rPr>
        <w:t>Coherencia, E3, criterio 2.</w:t>
      </w:r>
      <w:r>
        <w:rPr>
          <w:rFonts w:ascii="Century Gothic" w:hAnsi="Century Gothic" w:cs="Century Gothic" w:eastAsia="Century Gothic"/>
          <w:b w:val="0"/>
          <w:i w:val="0"/>
          <w:sz w:val="20"/>
        </w:rPr>
        <w:t xml:space="preserve"> El criterio dice «diseñando la estructura y los procesos de una organización», pero ninguna evidencia de E3 pide diseñar estructura o procesos. Quitar esa frase del criterio o añadir una evidencia de diseño.</w:t>
      </w:r>
    </w:p>
    <w:p>
      <w:pPr>
        <w:numPr>
          <w:ilvl w:val="0"/>
          <w:numId w:val="915"/>
        </w:numPr>
        <w:spacing w:before="0" w:after="160" w:line="240" w:lineRule="auto"/>
        <w:jc w:val="both"/>
      </w:pPr>
      <w:r>
        <w:rPr>
          <w:rFonts w:ascii="Century Gothic" w:hAnsi="Century Gothic" w:cs="Century Gothic" w:eastAsia="Century Gothic"/>
          <w:b/>
          <w:i w:val="0"/>
          <w:sz w:val="20"/>
        </w:rPr>
        <w:t>Coherencia, E3, criterio 1 / evidencias 1.1 y 1.2 / Productos 9 y 10.</w:t>
      </w:r>
      <w:r>
        <w:rPr>
          <w:rFonts w:ascii="Century Gothic" w:hAnsi="Century Gothic" w:cs="Century Gothic" w:eastAsia="Century Gothic"/>
          <w:b w:val="0"/>
          <w:i w:val="0"/>
          <w:sz w:val="20"/>
        </w:rPr>
        <w:t xml:space="preserve"> El criterio trata del sistema operativo (de operaciones), pero las evidencias y productos son un plan estratégico y un tablero de KPI, que corresponden al sistema de planificación (Tema 4). Los ODS que menciona el criterio no aparecen en ningún contenido. Alinear las evidencias con la gestión de operaciones (procesos, capacidad, inventarios, calidad) y añadir los ODS a los contenidos o quitarlos del criterio.</w:t>
      </w:r>
    </w:p>
    <w:p>
      <w:pPr>
        <w:numPr>
          <w:ilvl w:val="0"/>
          <w:numId w:val="915"/>
        </w:numPr>
        <w:spacing w:before="0" w:after="160" w:line="240" w:lineRule="auto"/>
        <w:jc w:val="both"/>
      </w:pPr>
      <w:r>
        <w:rPr>
          <w:rFonts w:ascii="Century Gothic" w:hAnsi="Century Gothic" w:cs="Century Gothic" w:eastAsia="Century Gothic"/>
          <w:b/>
          <w:i w:val="0"/>
          <w:sz w:val="20"/>
        </w:rPr>
        <w:t>Coherencia, E3, Producto 9.</w:t>
      </w:r>
      <w:r>
        <w:rPr>
          <w:rFonts w:ascii="Century Gothic" w:hAnsi="Century Gothic" w:cs="Century Gothic" w:eastAsia="Century Gothic"/>
          <w:b w:val="0"/>
          <w:i w:val="0"/>
          <w:sz w:val="20"/>
        </w:rPr>
        <w:t xml:space="preserve"> La descripción queda incompleta («contiene el análisis estratégico, la formulación de objetivos.»), mientras que la rúbrica evalúa además el despliegue del plan. Completar la descripción con el plan de acción, los responsables, los recursos y los plazos.</w:t>
      </w:r>
    </w:p>
    <w:p>
      <w:pPr>
        <w:numPr>
          <w:ilvl w:val="0"/>
          <w:numId w:val="915"/>
        </w:numPr>
        <w:spacing w:before="0" w:after="160" w:line="240" w:lineRule="auto"/>
        <w:jc w:val="both"/>
      </w:pPr>
      <w:r>
        <w:rPr>
          <w:rFonts w:ascii="Century Gothic" w:hAnsi="Century Gothic" w:cs="Century Gothic" w:eastAsia="Century Gothic"/>
          <w:b/>
          <w:i w:val="0"/>
          <w:sz w:val="20"/>
        </w:rPr>
        <w:t>Contenido técnico, E3, contenido 12.3.1 y evidencia 2.2.</w:t>
      </w:r>
      <w:r>
        <w:rPr>
          <w:rFonts w:ascii="Century Gothic" w:hAnsi="Century Gothic" w:cs="Century Gothic" w:eastAsia="Century Gothic"/>
          <w:b w:val="0"/>
          <w:i w:val="0"/>
          <w:sz w:val="20"/>
        </w:rPr>
        <w:t xml:space="preserve"> «Control previo, interno y posterior» mezcla categorías: según la Ley 1178, el control gubernamental se compone del control interno (previo y posterior) y del control externo posterior. Redactar: «Sistema de control gubernamental: control interno previo y posterior, y control externo posterior (Ley 1178)».</w:t>
      </w:r>
    </w:p>
    <w:p>
      <w:pPr>
        <w:numPr>
          <w:ilvl w:val="0"/>
          <w:numId w:val="915"/>
        </w:numPr>
        <w:spacing w:before="0" w:after="160" w:line="240" w:lineRule="auto"/>
        <w:jc w:val="both"/>
      </w:pPr>
      <w:r>
        <w:rPr>
          <w:rFonts w:ascii="Century Gothic" w:hAnsi="Century Gothic" w:cs="Century Gothic" w:eastAsia="Century Gothic"/>
          <w:b/>
          <w:i w:val="0"/>
          <w:sz w:val="20"/>
        </w:rPr>
        <w:t>Contenido técnico, E3, contenido 12.2.1 / Producto 12.</w:t>
      </w:r>
      <w:r>
        <w:rPr>
          <w:rFonts w:ascii="Century Gothic" w:hAnsi="Century Gothic" w:cs="Century Gothic" w:eastAsia="Century Gothic"/>
          <w:b w:val="0"/>
          <w:i w:val="0"/>
          <w:sz w:val="20"/>
        </w:rPr>
        <w:t xml:space="preserve"> Los sistemas se nombran de forma imprecisa: «planificación» y «programación presupuestaria» no son sistemas de la Ley 1178, y faltan Organización Administrativa, Administración de Personal y Contabilidad Integrada. Usar los nombres de la Ley 1178 (Programación de Operaciones, Organización Administrativa, Presupuesto, Administración de Personal, Administración de Bienes y Servicios, Tesorería y Crédito Público, Contabilidad Integrada y Control Gubernamental) y citar el SPIE (Ley 777) para la planificación.</w:t>
      </w:r>
    </w:p>
    <w:p>
      <w:pPr>
        <w:numPr>
          <w:ilvl w:val="0"/>
          <w:numId w:val="915"/>
        </w:numPr>
        <w:spacing w:before="0" w:after="160" w:line="240" w:lineRule="auto"/>
        <w:jc w:val="both"/>
      </w:pPr>
      <w:r>
        <w:rPr>
          <w:rFonts w:ascii="Century Gothic" w:hAnsi="Century Gothic" w:cs="Century Gothic" w:eastAsia="Century Gothic"/>
          <w:b/>
          <w:i w:val="0"/>
          <w:sz w:val="20"/>
        </w:rPr>
        <w:t>Contenido técnico, E3, Tema 9 «Sistemas Operativos» y criterio 1.</w:t>
      </w:r>
      <w:r>
        <w:rPr>
          <w:rFonts w:ascii="Century Gothic" w:hAnsi="Century Gothic" w:cs="Century Gothic" w:eastAsia="Century Gothic"/>
          <w:b w:val="0"/>
          <w:i w:val="0"/>
          <w:sz w:val="20"/>
        </w:rPr>
        <w:t xml:space="preserve"> «Sistema operativo» se confunde con el software de base de un computador; los contenidos tratan la gestión de operaciones. Usar «Sistema de operaciones» o «Gestión de operaciones».</w:t>
      </w:r>
    </w:p>
    <w:p>
      <w:pPr>
        <w:numPr>
          <w:ilvl w:val="0"/>
          <w:numId w:val="915"/>
        </w:numPr>
        <w:spacing w:before="0" w:after="160" w:line="240" w:lineRule="auto"/>
        <w:jc w:val="both"/>
      </w:pPr>
      <w:r>
        <w:rPr>
          <w:rFonts w:ascii="Century Gothic" w:hAnsi="Century Gothic" w:cs="Century Gothic" w:eastAsia="Century Gothic"/>
          <w:b/>
          <w:i w:val="0"/>
          <w:sz w:val="20"/>
        </w:rPr>
        <w:t>Contenido técnico, Bibliografía básica, primeras dos referencias.</w:t>
      </w:r>
      <w:r>
        <w:rPr>
          <w:rFonts w:ascii="Century Gothic" w:hAnsi="Century Gothic" w:cs="Century Gothic" w:eastAsia="Century Gothic"/>
          <w:b w:val="0"/>
          <w:i w:val="0"/>
          <w:sz w:val="20"/>
        </w:rPr>
        <w:t xml:space="preserve"> Hay datos de autor erróneos o incompletos: «Robbin,Stephen P y Coulter,mary» (es Robbins, S. P. y Coulter, M.) y «Koontz,Harold; Heinz y Cannice, Mark» (falta el apellido Weihrich); ninguna tiene año ni editorial. Citar como «Robbins, S. P. y Coulter, M. (año). Administración. Pearson» y «Koontz, H., Weihrich, H. y Cannice, M. (año). Administración: una perspectiva global y empresarial. McGraw-Hill».</w:t>
      </w:r>
    </w:p>
    <w:p>
      <w:pPr>
        <w:numPr>
          <w:ilvl w:val="0"/>
          <w:numId w:val="915"/>
        </w:numPr>
        <w:spacing w:before="0" w:after="160" w:line="240" w:lineRule="auto"/>
        <w:jc w:val="both"/>
      </w:pPr>
      <w:r>
        <w:rPr>
          <w:rFonts w:ascii="Century Gothic" w:hAnsi="Century Gothic" w:cs="Century Gothic" w:eastAsia="Century Gothic"/>
          <w:b/>
          <w:i w:val="0"/>
          <w:sz w:val="20"/>
        </w:rPr>
        <w:t>Marcas de saber, E2, contenidos 4.3.1, 5.2.2 y 8.3.1.</w:t>
      </w:r>
      <w:r>
        <w:rPr>
          <w:rFonts w:ascii="Century Gothic" w:hAnsi="Century Gothic" w:cs="Century Gothic" w:eastAsia="Century Gothic"/>
          <w:b w:val="0"/>
          <w:i w:val="0"/>
          <w:sz w:val="20"/>
        </w:rPr>
        <w:t xml:space="preserve"> Llevan (T) sin mencionar ni exigir operar una herramienta digital (KPI/CMI, organigramas, tramos de control).</w:t>
      </w:r>
    </w:p>
    <w:p>
      <w:pPr>
        <w:numPr>
          <w:ilvl w:val="0"/>
          <w:numId w:val="915"/>
        </w:numPr>
        <w:spacing w:before="0" w:after="160" w:line="240" w:lineRule="auto"/>
        <w:jc w:val="both"/>
      </w:pPr>
      <w:r>
        <w:rPr>
          <w:rFonts w:ascii="Century Gothic" w:hAnsi="Century Gothic" w:cs="Century Gothic" w:eastAsia="Century Gothic"/>
          <w:b/>
          <w:i w:val="0"/>
          <w:sz w:val="20"/>
        </w:rPr>
        <w:t>Marcas de saber, E3, contenidos 10.3.2, 11.3.2 y 12.1.2; E2, 7.1.2.</w:t>
      </w:r>
      <w:r>
        <w:rPr>
          <w:rFonts w:ascii="Century Gothic" w:hAnsi="Century Gothic" w:cs="Century Gothic" w:eastAsia="Century Gothic"/>
          <w:b w:val="0"/>
          <w:i w:val="0"/>
          <w:sz w:val="20"/>
        </w:rPr>
        <w:t xml:space="preserve"> Llevan (A) en contenidos que solo describen temas (gobernanza de TI, RSE y ESG, principios del sector público, autoridad y poder), sin conducta observable.</w:t>
      </w:r>
    </w:p>
    <w:p>
      <w:pPr>
        <w:numPr>
          <w:ilvl w:val="0"/>
          <w:numId w:val="915"/>
        </w:numPr>
        <w:spacing w:before="0" w:after="160" w:line="240" w:lineRule="auto"/>
        <w:jc w:val="both"/>
      </w:pPr>
      <w:r>
        <w:rPr>
          <w:rFonts w:ascii="Century Gothic" w:hAnsi="Century Gothic" w:cs="Century Gothic" w:eastAsia="Century Gothic"/>
          <w:b/>
          <w:i w:val="0"/>
          <w:sz w:val="20"/>
        </w:rPr>
        <w:t>Marcas de saber, E1, Temas 1 a 3.</w:t>
      </w:r>
      <w:r>
        <w:rPr>
          <w:rFonts w:ascii="Century Gothic" w:hAnsi="Century Gothic" w:cs="Century Gothic" w:eastAsia="Century Gothic"/>
          <w:b w:val="0"/>
          <w:i w:val="0"/>
          <w:sz w:val="20"/>
        </w:rPr>
        <w:t xml:space="preserve"> 12 de los 14 contenidos son solo (C), aunque el elemento pide aplicar y evaluar.</w:t>
      </w:r>
    </w:p>
    <w:p>
      <w:pPr>
        <w:numPr>
          <w:ilvl w:val="0"/>
          <w:numId w:val="915"/>
        </w:numPr>
        <w:spacing w:before="0" w:after="160" w:line="240" w:lineRule="auto"/>
        <w:jc w:val="both"/>
      </w:pPr>
      <w:r>
        <w:rPr>
          <w:rFonts w:ascii="Century Gothic" w:hAnsi="Century Gothic" w:cs="Century Gothic" w:eastAsia="Century Gothic"/>
          <w:b/>
          <w:i w:val="0"/>
          <w:sz w:val="20"/>
        </w:rPr>
        <w:t>Circunstanciales, E1.</w:t>
      </w:r>
      <w:r>
        <w:rPr>
          <w:rFonts w:ascii="Century Gothic" w:hAnsi="Century Gothic" w:cs="Century Gothic" w:eastAsia="Century Gothic"/>
          <w:b w:val="0"/>
          <w:i w:val="0"/>
          <w:sz w:val="20"/>
        </w:rPr>
        <w:t xml:space="preserve"> «Apropiación de la teoría general de sistemas» es contenido propio del Tema 1 (1.1); «Fundamentos comunicacionales y TICs» corresponde a CPA-102; «Diseño básico de modelo de negocios» se dicta en ADM-301 (E5).</w:t>
      </w:r>
    </w:p>
    <w:p>
      <w:pPr>
        <w:numPr>
          <w:ilvl w:val="0"/>
          <w:numId w:val="915"/>
        </w:numPr>
        <w:spacing w:before="0" w:after="160" w:line="240" w:lineRule="auto"/>
        <w:jc w:val="both"/>
      </w:pPr>
      <w:r>
        <w:rPr>
          <w:rFonts w:ascii="Century Gothic" w:hAnsi="Century Gothic" w:cs="Century Gothic" w:eastAsia="Century Gothic"/>
          <w:b/>
          <w:i w:val="0"/>
          <w:sz w:val="20"/>
        </w:rPr>
        <w:t>Circunstanciales, E2.</w:t>
      </w:r>
      <w:r>
        <w:rPr>
          <w:rFonts w:ascii="Century Gothic" w:hAnsi="Century Gothic" w:cs="Century Gothic" w:eastAsia="Century Gothic"/>
          <w:b w:val="0"/>
          <w:i w:val="0"/>
          <w:sz w:val="20"/>
        </w:rPr>
        <w:t xml:space="preserve"> «Habilidades de motivación, liderazgo, empoderamiento» repite el Tema 7 de la misma asignatura y ADM-301 (E1). «Talleres de planificación participativa…» es una actividad, no un conocimiento.</w:t>
      </w:r>
    </w:p>
    <w:p>
      <w:pPr>
        <w:numPr>
          <w:ilvl w:val="0"/>
          <w:numId w:val="915"/>
        </w:numPr>
        <w:spacing w:before="0" w:after="160" w:line="240" w:lineRule="auto"/>
        <w:jc w:val="both"/>
      </w:pPr>
      <w:r>
        <w:rPr>
          <w:rFonts w:ascii="Century Gothic" w:hAnsi="Century Gothic" w:cs="Century Gothic" w:eastAsia="Century Gothic"/>
          <w:b/>
          <w:i w:val="0"/>
          <w:sz w:val="20"/>
        </w:rPr>
        <w:t>Circunstanciales, E3.</w:t>
      </w:r>
      <w:r>
        <w:rPr>
          <w:rFonts w:ascii="Century Gothic" w:hAnsi="Century Gothic" w:cs="Century Gothic" w:eastAsia="Century Gothic"/>
          <w:b w:val="0"/>
          <w:i w:val="0"/>
          <w:sz w:val="20"/>
        </w:rPr>
        <w:t xml:space="preserve"> La aplicación de la Ley N.º 1178 se dicta en CPA-304 y CPA-504, por lo que no es circunstancial.</w:t>
      </w:r>
    </w:p>
    <w:p>
      <w:pPr>
        <w:numPr>
          <w:ilvl w:val="0"/>
          <w:numId w:val="915"/>
        </w:numPr>
        <w:spacing w:before="0" w:after="160" w:line="240" w:lineRule="auto"/>
        <w:jc w:val="both"/>
      </w:pPr>
      <w:r>
        <w:rPr>
          <w:rFonts w:ascii="Century Gothic" w:hAnsi="Century Gothic" w:cs="Century Gothic" w:eastAsia="Century Gothic"/>
          <w:b/>
          <w:i w:val="0"/>
          <w:sz w:val="20"/>
        </w:rPr>
        <w:t>Incoherencia interna, Verificación manual de estructura.</w:t>
      </w:r>
      <w:r>
        <w:rPr>
          <w:rFonts w:ascii="Century Gothic" w:hAnsi="Century Gothic" w:cs="Century Gothic" w:eastAsia="Century Gothic"/>
          <w:b w:val="0"/>
          <w:i w:val="0"/>
          <w:sz w:val="20"/>
        </w:rPr>
        <w:t xml:space="preserve"> 3 elementos con 2 criterios cada uno y 4 evidencias y 4 productos por elemento (Productos 1 a 12). En E3 las evidencias se numeran 1.1, 1.2, 1.1, 2.2: la tercera debe ser 2.1. Hay 12 rúbricas con 3 criterios cada una, pero la del Producto 2 no tiene la fila de niveles (Insuficiente 1–50, Suficiente 51–80, Destacado 81–100). Los pesos suman 100 %, pero 4 no son enteros (7,5 % en los Productos 4, 5, 6 y 12). Los avisos automáticos «6 contenidos», «sin contenidos (T)» y «E3 sin temas» son errores de conversión: hay 71 contenidos marcados, 5 con (T), y E3 tiene los temas 9 a 12.</w:t>
      </w:r>
    </w:p>
    <w:p>
      <w:pPr>
        <w:numPr>
          <w:ilvl w:val="0"/>
          <w:numId w:val="915"/>
        </w:numPr>
        <w:spacing w:before="0" w:after="160" w:line="240" w:lineRule="auto"/>
        <w:jc w:val="both"/>
      </w:pPr>
      <w:r>
        <w:rPr>
          <w:rFonts w:ascii="Century Gothic" w:hAnsi="Century Gothic" w:cs="Century Gothic" w:eastAsia="Century Gothic"/>
          <w:b/>
          <w:i w:val="0"/>
          <w:sz w:val="20"/>
        </w:rPr>
        <w:t>Incoherencia interna, Criterios de calificación, «Nota metodológica».</w:t>
      </w:r>
      <w:r>
        <w:rPr>
          <w:rFonts w:ascii="Century Gothic" w:hAnsi="Century Gothic" w:cs="Century Gothic" w:eastAsia="Century Gothic"/>
          <w:b w:val="0"/>
          <w:i w:val="0"/>
          <w:sz w:val="20"/>
        </w:rPr>
        <w:t xml:space="preserve"> Quedó un texto de trabajo que explica que los pesos originales sumaban 40 % y se multiplicaron por 2,5 como «propuesta técnica sujeta a aprobación docente». Ese mismo texto llama a la asignatura «ADM 2» en lugar de ADM-201. Eliminar la nota y fijar pesos enteros aprobados por el docente.</w:t>
      </w:r>
    </w:p>
    <w:p>
      <w:pPr>
        <w:numPr>
          <w:ilvl w:val="0"/>
          <w:numId w:val="915"/>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HP = 160 y TOTAL = 240 están llenados; el total no coincide con la suma de lo llenado ni con las 160 h/año de la malla.</w:t>
      </w:r>
    </w:p>
    <w:p>
      <w:pPr>
        <w:numPr>
          <w:ilvl w:val="0"/>
          <w:numId w:val="915"/>
        </w:numPr>
        <w:spacing w:before="0" w:after="160" w:line="240" w:lineRule="auto"/>
        <w:jc w:val="both"/>
      </w:pPr>
      <w:r>
        <w:rPr>
          <w:rFonts w:ascii="Century Gothic" w:hAnsi="Century Gothic" w:cs="Century Gothic" w:eastAsia="Century Gothic"/>
          <w:b/>
          <w:i w:val="0"/>
          <w:sz w:val="20"/>
        </w:rPr>
        <w:t>Incoherencia interna, E1, Tema 3 y E2, Temas 4 a 8.</w:t>
      </w:r>
      <w:r>
        <w:rPr>
          <w:rFonts w:ascii="Century Gothic" w:hAnsi="Century Gothic" w:cs="Century Gothic" w:eastAsia="Century Gothic"/>
          <w:b w:val="0"/>
          <w:i w:val="0"/>
          <w:sz w:val="20"/>
        </w:rPr>
        <w:t xml:space="preserve"> El proceso administrativo (planeación, organización, dirección y control) se repite dentro del mismo itinerario y también con ADM-101 (E2); el Cuadro de Mando Integral aparece en 4.3.1, 8.3.1 y 11.2.2. El Producto 9 (plan estratégico) repite el Producto 5 de ADM-101 y los Productos 7 y 8 de ADM-301.</w:t>
      </w:r>
    </w:p>
    <w:p>
      <w:pPr>
        <w:numPr>
          <w:ilvl w:val="0"/>
          <w:numId w:val="915"/>
        </w:numPr>
        <w:spacing w:before="0" w:after="160" w:line="240" w:lineRule="auto"/>
        <w:jc w:val="both"/>
      </w:pPr>
      <w:r>
        <w:rPr>
          <w:rFonts w:ascii="Century Gothic" w:hAnsi="Century Gothic" w:cs="Century Gothic" w:eastAsia="Century Gothic"/>
          <w:b/>
          <w:i w:val="0"/>
          <w:sz w:val="20"/>
        </w:rPr>
        <w:t>Incoherencia interna, E3, contenidos del Tema 12 y Tema 10.</w:t>
      </w:r>
      <w:r>
        <w:rPr>
          <w:rFonts w:ascii="Century Gothic" w:hAnsi="Century Gothic" w:cs="Century Gothic" w:eastAsia="Century Gothic"/>
          <w:b w:val="0"/>
          <w:i w:val="0"/>
          <w:sz w:val="20"/>
        </w:rPr>
        <w:t xml:space="preserve"> Los sistemas de administración y control gubernamental se superponen con CPA-304 y CPA-504, y los ERP con CPA-305.</w:t>
      </w:r>
    </w:p>
    <w:p>
      <w:pPr>
        <w:numPr>
          <w:ilvl w:val="0"/>
          <w:numId w:val="915"/>
        </w:numPr>
        <w:spacing w:before="0" w:after="160" w:line="240" w:lineRule="auto"/>
        <w:jc w:val="both"/>
      </w:pPr>
      <w:r>
        <w:rPr>
          <w:rFonts w:ascii="Century Gothic" w:hAnsi="Century Gothic" w:cs="Century Gothic" w:eastAsia="Century Gothic"/>
          <w:b/>
          <w:i w:val="0"/>
          <w:sz w:val="20"/>
        </w:rPr>
        <w:t>Incoherencia interna, Evidencias de desempeño (todas).</w:t>
      </w:r>
      <w:r>
        <w:rPr>
          <w:rFonts w:ascii="Century Gothic" w:hAnsi="Century Gothic" w:cs="Century Gothic" w:eastAsia="Century Gothic"/>
          <w:b w:val="0"/>
          <w:i w:val="0"/>
          <w:sz w:val="20"/>
        </w:rPr>
        <w:t xml:space="preserve"> Están redactadas como sustantivos («Exposición analítica…: Demostración…») y no como verbo + modalidad + objeto, y usan «el alumno» o «el estudiante» como sujeto (E1 1.2; E2 1.2 y 2.2; E3 1.2, 1.1 [2.1] y 2.2).</w:t>
      </w:r>
    </w:p>
    <w:p>
      <w:pPr>
        <w:numPr>
          <w:ilvl w:val="0"/>
          <w:numId w:val="915"/>
        </w:numPr>
        <w:spacing w:before="0" w:after="200" w:line="240" w:lineRule="auto"/>
        <w:jc w:val="both"/>
      </w:pPr>
      <w:r>
        <w:rPr>
          <w:rFonts w:ascii="Century Gothic" w:hAnsi="Century Gothic" w:cs="Century Gothic" w:eastAsia="Century Gothic"/>
          <w:b/>
          <w:i w:val="0"/>
          <w:sz w:val="20"/>
        </w:rPr>
        <w:t>Incoherencia interna, Bibliografía y recursos.</w:t>
      </w:r>
      <w:r>
        <w:rPr>
          <w:rFonts w:ascii="Century Gothic" w:hAnsi="Century Gothic" w:cs="Century Gothic" w:eastAsia="Century Gothic"/>
          <w:b w:val="0"/>
          <w:i w:val="0"/>
          <w:sz w:val="20"/>
        </w:rPr>
        <w:t xml:space="preserve"> Diez referencias básicas no tienen año («s.f.») ni editorial. Se incluyen «Artículos científicos recientes…» y «Páginas de internet» como referencias, y los recursos dicen solo «Plataformas».</w:t>
      </w:r>
    </w:p>
    <w:p>
      <w:pPr>
        <w:spacing w:before="0" w:after="200" w:line="240" w:lineRule="auto"/>
        <w:jc w:val="both"/>
      </w:pPr>
      <w:r>
        <w:rPr>
          <w:rFonts w:ascii="Century Gothic" w:hAnsi="Century Gothic" w:cs="Century Gothic" w:eastAsia="Century Gothic"/>
          <w:b w:val="0"/>
          <w:i w:val="0"/>
          <w:sz w:val="20"/>
        </w:rPr>
        <w:t>Se identificaron 7 correcciones ortográficas, listadas en el Anexo A, que el área debe aplicar en su versión en Word.</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7.14</w:t>
        <w:tab/>
      </w:r>
      <w:r>
        <w:rPr>
          <w:rFonts w:ascii="Century Gothic" w:hAnsi="Century Gothic" w:cs="Century Gothic" w:eastAsia="Century Gothic"/>
          <w:b/>
          <w:i w:val="0"/>
          <w:sz w:val="22"/>
        </w:rPr>
        <w:t>DER-201 Derecho Tributario y Legislación Aduanera</w:t>
      </w:r>
    </w:p>
    <w:p>
      <w:pPr>
        <w:spacing w:before="0" w:after="200" w:line="240" w:lineRule="auto"/>
        <w:jc w:val="both"/>
      </w:pPr>
      <w:r>
        <w:rPr>
          <w:rFonts w:ascii="Century Gothic" w:hAnsi="Century Gothic" w:cs="Century Gothic" w:eastAsia="Century Gothic"/>
          <w:b w:val="0"/>
          <w:i w:val="0"/>
          <w:sz w:val="20"/>
        </w:rPr>
        <w:t xml:space="preserve">Archivo: FINAL DER-201 DERECHO TRIBUTARIO.docx. Cumple 15 de 23 controles, 5 de forma parcial y no cumple 3.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de buen nivel técnico, con normativa boliviana actualizada (Código Tributario, Ley N° 843, Ley General de Aduanas, Decisión 578) y una cadena clara en E1, E2 y E4. Debe corregir varias rúbricas que evalúan otro producto (11, 12 y 17), el error 'deuda razonable' y el nombre del ICE, e incorporar contenidos procedimentales y tecnológicos, porque la asignatura queda casi toda en (C).</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16, 16, 32, 16,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procesos en gerundio; 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Saberes A y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contenidos tecnológicos (T)</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Rúbricas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rúbricas sin exactamente tres criterios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de 15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(1)</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16"/>
        </w:numPr>
        <w:spacing w:before="0" w:after="160" w:line="240" w:lineRule="auto"/>
        <w:jc w:val="both"/>
      </w:pPr>
      <w:r>
        <w:rPr>
          <w:rFonts w:ascii="Century Gothic" w:hAnsi="Century Gothic" w:cs="Century Gothic" w:eastAsia="Century Gothic"/>
          <w:b/>
          <w:i w:val="0"/>
          <w:sz w:val="20"/>
        </w:rPr>
        <w:t>Coherencia, E1, Producto 2 / rúbrica, criterio 'Métodos de interpretación'.</w:t>
      </w:r>
      <w:r>
        <w:rPr>
          <w:rFonts w:ascii="Century Gothic" w:hAnsi="Century Gothic" w:cs="Century Gothic" w:eastAsia="Century Gothic"/>
          <w:b w:val="0"/>
          <w:i w:val="0"/>
          <w:sz w:val="20"/>
        </w:rPr>
        <w:t xml:space="preserve"> Los niveles están invertidos: el Suficiente ('Compara los resultados de cada método') exige más que el Destacado ('Aplica los métodos de interpretación en materia tributaria'). Suficiente: 'Aplica los métodos de interpretación'; Destacado: 'Compara los resultados de cada método y justifica el aplicable'.</w:t>
      </w:r>
    </w:p>
    <w:p>
      <w:pPr>
        <w:numPr>
          <w:ilvl w:val="0"/>
          <w:numId w:val="916"/>
        </w:numPr>
        <w:spacing w:before="0" w:after="160" w:line="240" w:lineRule="auto"/>
        <w:jc w:val="both"/>
      </w:pPr>
      <w:r>
        <w:rPr>
          <w:rFonts w:ascii="Century Gothic" w:hAnsi="Century Gothic" w:cs="Century Gothic" w:eastAsia="Century Gothic"/>
          <w:b/>
          <w:i w:val="0"/>
          <w:sz w:val="20"/>
        </w:rPr>
        <w:t>Coherencia, E3, Producto 11 / rúbrica.</w:t>
      </w:r>
      <w:r>
        <w:rPr>
          <w:rFonts w:ascii="Century Gothic" w:hAnsi="Century Gothic" w:cs="Century Gothic" w:eastAsia="Century Gothic"/>
          <w:b w:val="0"/>
          <w:i w:val="0"/>
          <w:sz w:val="20"/>
        </w:rPr>
        <w:t xml:space="preserve"> El esquema del proceso de impugnación se evalúa con los criterios 'Ejecución tributaria' y 'Análisis de la resolución', que no corresponden a la evidencia 2.1 sino a otro contenido y al Producto 12. Usar criterios del esquema: vías, recursos, plazos y autoridades competentes.</w:t>
      </w:r>
    </w:p>
    <w:p>
      <w:pPr>
        <w:numPr>
          <w:ilvl w:val="0"/>
          <w:numId w:val="916"/>
        </w:numPr>
        <w:spacing w:before="0" w:after="160" w:line="240" w:lineRule="auto"/>
        <w:jc w:val="both"/>
      </w:pPr>
      <w:r>
        <w:rPr>
          <w:rFonts w:ascii="Century Gothic" w:hAnsi="Century Gothic" w:cs="Century Gothic" w:eastAsia="Century Gothic"/>
          <w:b/>
          <w:i w:val="0"/>
          <w:sz w:val="20"/>
        </w:rPr>
        <w:t>Coherencia, E3, criterio 2, evidencia 2.2 / Producto 12 y su rúbrica.</w:t>
      </w:r>
      <w:r>
        <w:rPr>
          <w:rFonts w:ascii="Century Gothic" w:hAnsi="Century Gothic" w:cs="Century Gothic" w:eastAsia="Century Gothic"/>
          <w:b w:val="0"/>
          <w:i w:val="0"/>
          <w:sz w:val="20"/>
        </w:rPr>
        <w:t xml:space="preserve"> La evidencia es individual en aula, pero la rúbrica evalúa 'Trabajo en equipo'; además el Destacado 'Análisis contable del contenido del recurso' no es una conducta y no corresponde al análisis jurídico de una resolución de la AIT. Reemplazar por 'Extrae el criterio de la resolución y lo aplica a un caso similar' y retirar el trabajo en equipo o hacer grupal la evidencia.</w:t>
      </w:r>
    </w:p>
    <w:p>
      <w:pPr>
        <w:numPr>
          <w:ilvl w:val="0"/>
          <w:numId w:val="916"/>
        </w:numPr>
        <w:spacing w:before="0" w:after="160" w:line="240" w:lineRule="auto"/>
        <w:jc w:val="both"/>
      </w:pPr>
      <w:r>
        <w:rPr>
          <w:rFonts w:ascii="Century Gothic" w:hAnsi="Century Gothic" w:cs="Century Gothic" w:eastAsia="Century Gothic"/>
          <w:b/>
          <w:i w:val="0"/>
          <w:sz w:val="20"/>
        </w:rPr>
        <w:t>Coherencia, E3, enunciado del elemento / criterio 1.</w:t>
      </w:r>
      <w:r>
        <w:rPr>
          <w:rFonts w:ascii="Century Gothic" w:hAnsi="Century Gothic" w:cs="Century Gothic" w:eastAsia="Century Gothic"/>
          <w:b w:val="0"/>
          <w:i w:val="0"/>
          <w:sz w:val="20"/>
        </w:rPr>
        <w:t xml:space="preserve"> El elemento dice 'Aplica el régimen sancionatorio', pero las evidencias 1.1 y 1.2 solo describen y comparan ilícitos; ninguna determina una sanción en un caso. Reformular 1.2: 'Determina en equipo la sanción de una contravención y la calificación de un delito tributario en un caso'.</w:t>
      </w:r>
    </w:p>
    <w:p>
      <w:pPr>
        <w:numPr>
          <w:ilvl w:val="0"/>
          <w:numId w:val="916"/>
        </w:numPr>
        <w:spacing w:before="0" w:after="160" w:line="240" w:lineRule="auto"/>
        <w:jc w:val="both"/>
      </w:pPr>
      <w:r>
        <w:rPr>
          <w:rFonts w:ascii="Century Gothic" w:hAnsi="Century Gothic" w:cs="Century Gothic" w:eastAsia="Century Gothic"/>
          <w:b/>
          <w:i w:val="0"/>
          <w:sz w:val="20"/>
        </w:rPr>
        <w:t>Coherencia, E5, criterio 1, evidencia 1.1 / Producto 17 y su rúbrica.</w:t>
      </w:r>
      <w:r>
        <w:rPr>
          <w:rFonts w:ascii="Century Gothic" w:hAnsi="Century Gothic" w:cs="Century Gothic" w:eastAsia="Century Gothic"/>
          <w:b w:val="0"/>
          <w:i w:val="0"/>
          <w:sz w:val="20"/>
        </w:rPr>
        <w:t xml:space="preserve"> El producto es un 'Cuadro de obligaciones tributarias aduaneras', pero la rúbrica evalúa el método de valoración y el Incoterm, que corresponden a la evidencia 1.2 y al Producto 18 (valor en aduana). Evaluar el Producto 17 con criterios de sujetos, hecho generador y clases de obligaciones aduaneras.</w:t>
      </w:r>
    </w:p>
    <w:p>
      <w:pPr>
        <w:numPr>
          <w:ilvl w:val="0"/>
          <w:numId w:val="916"/>
        </w:numPr>
        <w:spacing w:before="0" w:after="160" w:line="240" w:lineRule="auto"/>
        <w:jc w:val="both"/>
      </w:pPr>
      <w:r>
        <w:rPr>
          <w:rFonts w:ascii="Century Gothic" w:hAnsi="Century Gothic" w:cs="Century Gothic" w:eastAsia="Century Gothic"/>
          <w:b/>
          <w:i w:val="0"/>
          <w:sz w:val="20"/>
        </w:rPr>
        <w:t>Coherencia, E5, rúbrica del Producto 17 (criterio 'Incoterms').</w:t>
      </w:r>
      <w:r>
        <w:rPr>
          <w:rFonts w:ascii="Century Gothic" w:hAnsi="Century Gothic" w:cs="Century Gothic" w:eastAsia="Century Gothic"/>
          <w:b w:val="0"/>
          <w:i w:val="0"/>
          <w:sz w:val="20"/>
        </w:rPr>
        <w:t xml:space="preserve"> Se exige ajustar el valor según el Incoterm, pero los Incoterms no figuran en los contenidos de E5. Añadir un contenido 'Incoterms 2020 y su efecto en el valor en aduana. (C, P)'.</w:t>
      </w:r>
    </w:p>
    <w:p>
      <w:pPr>
        <w:numPr>
          <w:ilvl w:val="0"/>
          <w:numId w:val="916"/>
        </w:numPr>
        <w:spacing w:before="0" w:after="160" w:line="240" w:lineRule="auto"/>
        <w:jc w:val="both"/>
      </w:pPr>
      <w:r>
        <w:rPr>
          <w:rFonts w:ascii="Century Gothic" w:hAnsi="Century Gothic" w:cs="Century Gothic" w:eastAsia="Century Gothic"/>
          <w:b/>
          <w:i w:val="0"/>
          <w:sz w:val="20"/>
        </w:rPr>
        <w:t>Contenido técnico, E5, evidencia 1.2.</w:t>
      </w:r>
      <w:r>
        <w:rPr>
          <w:rFonts w:ascii="Century Gothic" w:hAnsi="Century Gothic" w:cs="Century Gothic" w:eastAsia="Century Gothic"/>
          <w:b w:val="0"/>
          <w:i w:val="0"/>
          <w:sz w:val="20"/>
        </w:rPr>
        <w:t xml:space="preserve"> Dice 'deuda razonable'; la figura de la valoración aduanera es la 'duda razonable', como figura en los contenidos. Corregir a 'duda razonable'.</w:t>
      </w:r>
    </w:p>
    <w:p>
      <w:pPr>
        <w:numPr>
          <w:ilvl w:val="0"/>
          <w:numId w:val="916"/>
        </w:numPr>
        <w:spacing w:before="0" w:after="160" w:line="240" w:lineRule="auto"/>
        <w:jc w:val="both"/>
      </w:pPr>
      <w:r>
        <w:rPr>
          <w:rFonts w:ascii="Century Gothic" w:hAnsi="Century Gothic" w:cs="Century Gothic" w:eastAsia="Century Gothic"/>
          <w:b/>
          <w:i w:val="0"/>
          <w:sz w:val="20"/>
        </w:rPr>
        <w:t>Contenido técnico, E5, contenidos: 'Impuesto al Consumo Específico'.</w:t>
      </w:r>
      <w:r>
        <w:rPr>
          <w:rFonts w:ascii="Century Gothic" w:hAnsi="Century Gothic" w:cs="Century Gothic" w:eastAsia="Century Gothic"/>
          <w:b w:val="0"/>
          <w:i w:val="0"/>
          <w:sz w:val="20"/>
        </w:rPr>
        <w:t xml:space="preserve"> El impuesto de la Ley N° 843 se denomina Impuesto a los Consumos Específicos (ICE). Usar 'Impuesto a los Consumos Específicos'.</w:t>
      </w:r>
    </w:p>
    <w:p>
      <w:pPr>
        <w:numPr>
          <w:ilvl w:val="0"/>
          <w:numId w:val="916"/>
        </w:numPr>
        <w:spacing w:before="0" w:after="160" w:line="240" w:lineRule="auto"/>
        <w:jc w:val="both"/>
      </w:pPr>
      <w:r>
        <w:rPr>
          <w:rFonts w:ascii="Century Gothic" w:hAnsi="Century Gothic" w:cs="Century Gothic" w:eastAsia="Century Gothic"/>
          <w:b/>
          <w:i w:val="0"/>
          <w:sz w:val="20"/>
        </w:rPr>
        <w:t>Contenido técnico, E3, contenidos: 'Sanciones administrativas por incumplimiento del pago de tributos: intereses moratorios, mantenimiento de valor..., multa y clausura'.</w:t>
      </w:r>
      <w:r>
        <w:rPr>
          <w:rFonts w:ascii="Century Gothic" w:hAnsi="Century Gothic" w:cs="Century Gothic" w:eastAsia="Century Gothic"/>
          <w:b w:val="0"/>
          <w:i w:val="0"/>
          <w:sz w:val="20"/>
        </w:rPr>
        <w:t xml:space="preserve"> El mantenimiento de valor y los intereses no son sanciones sino componentes de la deuda tributaria (artículo 47 del Código Tributario), y la clausura no sanciona la falta de pago sino, entre otras, la no emisión de factura. Separar 'Deuda tributaria: tributo omitido, mantenimiento de valor e intereses' de 'Sanciones: multa, clausura y otras'.</w:t>
      </w:r>
    </w:p>
    <w:p>
      <w:pPr>
        <w:numPr>
          <w:ilvl w:val="0"/>
          <w:numId w:val="916"/>
        </w:numPr>
        <w:spacing w:before="0" w:after="160" w:line="240" w:lineRule="auto"/>
        <w:jc w:val="both"/>
      </w:pPr>
      <w:r>
        <w:rPr>
          <w:rFonts w:ascii="Century Gothic" w:hAnsi="Century Gothic" w:cs="Century Gothic" w:eastAsia="Century Gothic"/>
          <w:b/>
          <w:i w:val="0"/>
          <w:sz w:val="20"/>
        </w:rPr>
        <w:t>Contenido técnico, Bibliografía básica: 'Ley N° 031, de Autonomías y Descentralización'.</w:t>
      </w:r>
      <w:r>
        <w:rPr>
          <w:rFonts w:ascii="Century Gothic" w:hAnsi="Century Gothic" w:cs="Century Gothic" w:eastAsia="Century Gothic"/>
          <w:b w:val="0"/>
          <w:i w:val="0"/>
          <w:sz w:val="20"/>
        </w:rPr>
        <w:t xml:space="preserve"> El nombre oficial es Ley N° 031, Marco de Autonomías y Descentralización 'Andrés Ibáñez'. Citar el nombre completo.</w:t>
      </w:r>
    </w:p>
    <w:p>
      <w:pPr>
        <w:numPr>
          <w:ilvl w:val="0"/>
          <w:numId w:val="916"/>
        </w:numPr>
        <w:spacing w:before="0" w:after="160" w:line="240" w:lineRule="auto"/>
        <w:jc w:val="both"/>
      </w:pPr>
      <w:r>
        <w:rPr>
          <w:rFonts w:ascii="Century Gothic" w:hAnsi="Century Gothic" w:cs="Century Gothic" w:eastAsia="Century Gothic"/>
          <w:b/>
          <w:i w:val="0"/>
          <w:sz w:val="20"/>
        </w:rPr>
        <w:t>Marcas de saber, Asignatura en conjunto.</w:t>
      </w:r>
      <w:r>
        <w:rPr>
          <w:rFonts w:ascii="Century Gothic" w:hAnsi="Century Gothic" w:cs="Century Gothic" w:eastAsia="Century Gothic"/>
          <w:b w:val="0"/>
          <w:i w:val="0"/>
          <w:sz w:val="20"/>
        </w:rPr>
        <w:t xml:space="preserve"> No hay ningún contenido con (T), aunque la unidad de competencia anuncia 'herramientas digitales y fuentes oficiales' y las actividades prevén trámites ante el SIN y la VUCE; faltan contenidos como 'Consulta de normas y resoluciones en los portales del SIN y de la AIT' o 'Llenado de la declaración de mercancías en el sistema de la Aduana Nacional'.</w:t>
      </w:r>
    </w:p>
    <w:p>
      <w:pPr>
        <w:numPr>
          <w:ilvl w:val="0"/>
          <w:numId w:val="916"/>
        </w:numPr>
        <w:spacing w:before="0" w:after="160" w:line="240" w:lineRule="auto"/>
        <w:jc w:val="both"/>
      </w:pPr>
      <w:r>
        <w:rPr>
          <w:rFonts w:ascii="Century Gothic" w:hAnsi="Century Gothic" w:cs="Century Gothic" w:eastAsia="Century Gothic"/>
          <w:b/>
          <w:i w:val="0"/>
          <w:sz w:val="20"/>
        </w:rPr>
        <w:t>Marcas de saber, Asignatura en conjunto.</w:t>
      </w:r>
      <w:r>
        <w:rPr>
          <w:rFonts w:ascii="Century Gothic" w:hAnsi="Century Gothic" w:cs="Century Gothic" w:eastAsia="Century Gothic"/>
          <w:b w:val="0"/>
          <w:i w:val="0"/>
          <w:sz w:val="20"/>
        </w:rPr>
        <w:t xml:space="preserve"> La asignatura es casi toda (C): solo hay un contenido (C, A), que describe principios constitucionales sin conducta observable, y E4 es íntegramente (C), aunque su evidencia 2.1 resuelve casos con los métodos de exención e imputación.</w:t>
      </w:r>
    </w:p>
    <w:p>
      <w:pPr>
        <w:numPr>
          <w:ilvl w:val="0"/>
          <w:numId w:val="916"/>
        </w:numPr>
        <w:spacing w:before="0" w:after="160" w:line="240" w:lineRule="auto"/>
        <w:jc w:val="both"/>
      </w:pPr>
      <w:r>
        <w:rPr>
          <w:rFonts w:ascii="Century Gothic" w:hAnsi="Century Gothic" w:cs="Century Gothic" w:eastAsia="Century Gothic"/>
          <w:b/>
          <w:i w:val="0"/>
          <w:sz w:val="20"/>
        </w:rPr>
        <w:t>Marcas de saber, E3, contenidos: 'Clases de contravenciones: Omisión de inscripción... (P)'.</w:t>
      </w:r>
      <w:r>
        <w:rPr>
          <w:rFonts w:ascii="Century Gothic" w:hAnsi="Century Gothic" w:cs="Century Gothic" w:eastAsia="Century Gothic"/>
          <w:b w:val="0"/>
          <w:i w:val="0"/>
          <w:sz w:val="20"/>
        </w:rPr>
        <w:t xml:space="preserve"> Es una enumeración de contravenciones, cognitiva; la marca (P) sola no corresponde.</w:t>
      </w:r>
    </w:p>
    <w:p>
      <w:pPr>
        <w:numPr>
          <w:ilvl w:val="0"/>
          <w:numId w:val="916"/>
        </w:numPr>
        <w:spacing w:before="0" w:after="160" w:line="240" w:lineRule="auto"/>
        <w:jc w:val="both"/>
      </w:pPr>
      <w:r>
        <w:rPr>
          <w:rFonts w:ascii="Century Gothic" w:hAnsi="Century Gothic" w:cs="Century Gothic" w:eastAsia="Century Gothic"/>
          <w:b/>
          <w:i w:val="0"/>
          <w:sz w:val="20"/>
        </w:rPr>
        <w:t>Circunstanciales, E5, conocimientos circunstanciales: 'documentos del comercio exterior y de las cartas de crédito'.</w:t>
      </w:r>
      <w:r>
        <w:rPr>
          <w:rFonts w:ascii="Century Gothic" w:hAnsi="Century Gothic" w:cs="Century Gothic" w:eastAsia="Century Gothic"/>
          <w:b w:val="0"/>
          <w:i w:val="0"/>
          <w:sz w:val="20"/>
        </w:rPr>
        <w:t xml:space="preserve"> Las cartas de crédito se dictan en CPA-303 Contabilidad de Bancos y Entidades Financieras (operaciones contingentes).</w:t>
      </w:r>
    </w:p>
    <w:p>
      <w:pPr>
        <w:numPr>
          <w:ilvl w:val="0"/>
          <w:numId w:val="916"/>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160, TOTAL 240), aunque la guía pide dejarlas en blanco; el TOTAL de 240 h no coincide con las 160 h/año de la malla.</w:t>
      </w:r>
    </w:p>
    <w:p>
      <w:pPr>
        <w:numPr>
          <w:ilvl w:val="0"/>
          <w:numId w:val="916"/>
        </w:numPr>
        <w:spacing w:before="0" w:after="160" w:line="240" w:lineRule="auto"/>
        <w:jc w:val="both"/>
      </w:pPr>
      <w:r>
        <w:rPr>
          <w:rFonts w:ascii="Century Gothic" w:hAnsi="Century Gothic" w:cs="Century Gothic" w:eastAsia="Century Gothic"/>
          <w:b/>
          <w:i w:val="0"/>
          <w:sz w:val="20"/>
        </w:rPr>
        <w:t>Incoherencia interna, Rúbricas de los Productos 2, 6, 7, 8, 9, 10, 14, 15, 17, 18 y 19.</w:t>
      </w:r>
      <w:r>
        <w:rPr>
          <w:rFonts w:ascii="Century Gothic" w:hAnsi="Century Gothic" w:cs="Century Gothic" w:eastAsia="Century Gothic"/>
          <w:b w:val="0"/>
          <w:i w:val="0"/>
          <w:sz w:val="20"/>
        </w:rPr>
        <w:t xml:space="preserve"> Tienen solo dos criterios, cuando la guía pide tres por rúbrica.</w:t>
      </w:r>
    </w:p>
    <w:p>
      <w:pPr>
        <w:numPr>
          <w:ilvl w:val="0"/>
          <w:numId w:val="916"/>
        </w:numPr>
        <w:spacing w:before="0" w:after="160" w:line="240" w:lineRule="auto"/>
        <w:jc w:val="both"/>
      </w:pPr>
      <w:r>
        <w:rPr>
          <w:rFonts w:ascii="Century Gothic" w:hAnsi="Century Gothic" w:cs="Century Gothic" w:eastAsia="Century Gothic"/>
          <w:b/>
          <w:i w:val="0"/>
          <w:sz w:val="20"/>
        </w:rPr>
        <w:t>Incoherencia interna, E3 (ilícitos y recursos de alzada y jerárquico).</w:t>
      </w:r>
      <w:r>
        <w:rPr>
          <w:rFonts w:ascii="Century Gothic" w:hAnsi="Century Gothic" w:cs="Century Gothic" w:eastAsia="Century Gothic"/>
          <w:b w:val="0"/>
          <w:i w:val="0"/>
          <w:sz w:val="20"/>
        </w:rPr>
        <w:t xml:space="preserve"> Los ilícitos tributarios y los recursos de alzada, jerárquico y contencioso se repiten en CPA-503 Auditoría Tributaria; conviene acordar que DER-201 dé el fundamento jurídico y CPA-503 la aplicación en auditoría.</w:t>
      </w:r>
    </w:p>
    <w:p>
      <w:pPr>
        <w:numPr>
          <w:ilvl w:val="0"/>
          <w:numId w:val="916"/>
        </w:numPr>
        <w:spacing w:before="0" w:after="200" w:line="240" w:lineRule="auto"/>
        <w:jc w:val="both"/>
      </w:pPr>
      <w:r>
        <w:rPr>
          <w:rFonts w:ascii="Century Gothic" w:hAnsi="Century Gothic" w:cs="Century Gothic" w:eastAsia="Century Gothic"/>
          <w:b/>
          <w:i w:val="0"/>
          <w:sz w:val="20"/>
        </w:rPr>
        <w:t>Incoherencia interna, E1, E2, E3 y E4, contenidos.</w:t>
      </w:r>
      <w:r>
        <w:rPr>
          <w:rFonts w:ascii="Century Gothic" w:hAnsi="Century Gothic" w:cs="Century Gothic" w:eastAsia="Century Gothic"/>
          <w:b w:val="0"/>
          <w:i w:val="0"/>
          <w:sz w:val="20"/>
        </w:rPr>
        <w:t xml:space="preserve"> Varios contenidos no terminan en punto antes de la marca ('Actividad financiera del Estado (C)', 'Concepto del Derecho Tributario Material (C)', 'retroactividad e irretroactividad (C, P)', entre otros).</w:t>
      </w:r>
    </w:p>
    <w:p>
      <w:pPr>
        <w:spacing w:before="0" w:after="200" w:line="240" w:lineRule="auto"/>
        <w:jc w:val="both"/>
      </w:pPr>
      <w:r>
        <w:rPr>
          <w:rFonts w:ascii="Century Gothic" w:hAnsi="Century Gothic" w:cs="Century Gothic" w:eastAsia="Century Gothic"/>
          <w:b w:val="0"/>
          <w:i w:val="0"/>
          <w:sz w:val="20"/>
        </w:rPr>
        <w:t>Se aplicaron 12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7.15</w:t>
        <w:tab/>
      </w:r>
      <w:r>
        <w:rPr>
          <w:rFonts w:ascii="Century Gothic" w:hAnsi="Century Gothic" w:cs="Century Gothic" w:eastAsia="Century Gothic"/>
          <w:b/>
          <w:i w:val="0"/>
          <w:sz w:val="22"/>
        </w:rPr>
        <w:t>ECO-201 Macroeconomía</w:t>
      </w:r>
    </w:p>
    <w:p>
      <w:pPr>
        <w:spacing w:before="0" w:after="200" w:line="240" w:lineRule="auto"/>
        <w:jc w:val="both"/>
      </w:pPr>
      <w:r>
        <w:rPr>
          <w:rFonts w:ascii="Century Gothic" w:hAnsi="Century Gothic" w:cs="Century Gothic" w:eastAsia="Century Gothic"/>
          <w:b w:val="0"/>
          <w:i w:val="0"/>
          <w:sz w:val="20"/>
        </w:rPr>
        <w:t xml:space="preserve">Archivo: MOD ECO-201 Macroeconomia nuevo.docx. Cumple 17 de 23 controles, 3 de forma parcial y no cumple 3.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rico y bien contextualizado en Bolivia (BCB, INE, régimen autonómico), con rúbricas específicas y buen uso de hojas de cálculo en E3 y E5. Necesita completar la incorporación de Mundell-Fleming, alinear la unidad de competencia con E5, depurar contenidos que se dictan en CPA-301, DER-201, MAT-102 y ECO-301, y ordenar la bibliografía básica.</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16 hs., 16 hs., 32 hr., 16 hr.,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condiciones de calidad explícitas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(1 inversiones); 6 de 22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«a través»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17"/>
        </w:numPr>
        <w:spacing w:before="0" w:after="160" w:line="240" w:lineRule="auto"/>
        <w:jc w:val="both"/>
      </w:pPr>
      <w:r>
        <w:rPr>
          <w:rFonts w:ascii="Century Gothic" w:hAnsi="Century Gothic" w:cs="Century Gothic" w:eastAsia="Century Gothic"/>
          <w:b/>
          <w:i w:val="0"/>
          <w:sz w:val="20"/>
        </w:rPr>
        <w:t>Coherencia, E4, criterio 2.</w:t>
      </w:r>
      <w:r>
        <w:rPr>
          <w:rFonts w:ascii="Century Gothic" w:hAnsi="Century Gothic" w:cs="Century Gothic" w:eastAsia="Century Gothic"/>
          <w:b w:val="0"/>
          <w:i w:val="0"/>
          <w:sz w:val="20"/>
        </w:rPr>
        <w:t xml:space="preserve"> El criterio empieza con 'El modelo Mundell-Fleming.', un rótulo que no forma parte de un enunciado observable; ni las evidencias 2.1 y 2.2, ni los Productos 15 y 16, ni los contenidos del elemento tratan el modelo Mundell-Fleming. Redactar un criterio propio ('Analiza con el modelo Mundell-Fleming los efectos de la política fiscal y monetaria en una economía abierta...') y añadir su contenido, evidencia y producto.</w:t>
      </w:r>
    </w:p>
    <w:p>
      <w:pPr>
        <w:numPr>
          <w:ilvl w:val="0"/>
          <w:numId w:val="917"/>
        </w:numPr>
        <w:spacing w:before="0" w:after="160" w:line="240" w:lineRule="auto"/>
        <w:jc w:val="both"/>
      </w:pPr>
      <w:r>
        <w:rPr>
          <w:rFonts w:ascii="Century Gothic" w:hAnsi="Century Gothic" w:cs="Century Gothic" w:eastAsia="Century Gothic"/>
          <w:b/>
          <w:i w:val="0"/>
          <w:sz w:val="20"/>
        </w:rPr>
        <w:t>Coherencia, Unidad de competencia / E5.</w:t>
      </w:r>
      <w:r>
        <w:rPr>
          <w:rFonts w:ascii="Century Gothic" w:hAnsi="Century Gothic" w:cs="Century Gothic" w:eastAsia="Century Gothic"/>
          <w:b w:val="0"/>
          <w:i w:val="0"/>
          <w:sz w:val="20"/>
        </w:rPr>
        <w:t xml:space="preserve"> La nueva unidad no menciona la política fiscal en el régimen autonómico, la salud financiera de las entidades públicas ni la planificación tributaria, que son todo el elemento 5 (25 % de la nota). Incluir en la unidad el análisis de las finanzas públicas y del régimen autonómico boliviano.</w:t>
      </w:r>
    </w:p>
    <w:p>
      <w:pPr>
        <w:numPr>
          <w:ilvl w:val="0"/>
          <w:numId w:val="917"/>
        </w:numPr>
        <w:spacing w:before="0" w:after="160" w:line="240" w:lineRule="auto"/>
        <w:jc w:val="both"/>
      </w:pPr>
      <w:r>
        <w:rPr>
          <w:rFonts w:ascii="Century Gothic" w:hAnsi="Century Gothic" w:cs="Century Gothic" w:eastAsia="Century Gothic"/>
          <w:b/>
          <w:i w:val="0"/>
          <w:sz w:val="20"/>
        </w:rPr>
        <w:t>Coherencia, E1, criterio 2, evidencia 2.2 / Producto 4.</w:t>
      </w:r>
      <w:r>
        <w:rPr>
          <w:rFonts w:ascii="Century Gothic" w:hAnsi="Century Gothic" w:cs="Century Gothic" w:eastAsia="Century Gothic"/>
          <w:b w:val="0"/>
          <w:i w:val="0"/>
          <w:sz w:val="20"/>
        </w:rPr>
        <w:t xml:space="preserve"> La evidencia mezcla la evaluación de un proyecto con VAN y TIR con el equilibrio ahorro-inversión; el VAN y la TIR son el objeto de ECO-301 y MAT-102 y no demuestran el criterio de deducir la función de inversión macroeconómica. Centrar la evidencia en la función de inversión y la eficiencia marginal del capital y el equilibrio ahorro-inversión.</w:t>
      </w:r>
    </w:p>
    <w:p>
      <w:pPr>
        <w:numPr>
          <w:ilvl w:val="0"/>
          <w:numId w:val="917"/>
        </w:numPr>
        <w:spacing w:before="0" w:after="160" w:line="240" w:lineRule="auto"/>
        <w:jc w:val="both"/>
      </w:pPr>
      <w:r>
        <w:rPr>
          <w:rFonts w:ascii="Century Gothic" w:hAnsi="Century Gothic" w:cs="Century Gothic" w:eastAsia="Century Gothic"/>
          <w:b/>
          <w:i w:val="0"/>
          <w:sz w:val="20"/>
        </w:rPr>
        <w:t>Coherencia, E5, enunciado del elemento.</w:t>
      </w:r>
      <w:r>
        <w:rPr>
          <w:rFonts w:ascii="Century Gothic" w:hAnsi="Century Gothic" w:cs="Century Gothic" w:eastAsia="Century Gothic"/>
          <w:b w:val="0"/>
          <w:i w:val="0"/>
          <w:sz w:val="20"/>
        </w:rPr>
        <w:t xml:space="preserve"> El elemento es un párrafo que incluye 'para diseñar estrategias de planificación tributaria...', más extenso que la unidad de competencia; la guía pide una oración con verbo, objeto y condición. Reducirlo a 'Analiza la política fiscal y las finanzas del sector público boliviano en el régimen autonómico, evaluando la sostenibilidad fiscal y la salud financiera de las entidades territoriales'.</w:t>
      </w:r>
    </w:p>
    <w:p>
      <w:pPr>
        <w:numPr>
          <w:ilvl w:val="0"/>
          <w:numId w:val="917"/>
        </w:numPr>
        <w:spacing w:before="0" w:after="160" w:line="240" w:lineRule="auto"/>
        <w:jc w:val="both"/>
      </w:pPr>
      <w:r>
        <w:rPr>
          <w:rFonts w:ascii="Century Gothic" w:hAnsi="Century Gothic" w:cs="Century Gothic" w:eastAsia="Century Gothic"/>
          <w:b/>
          <w:i w:val="0"/>
          <w:sz w:val="20"/>
        </w:rPr>
        <w:t>Contenido técnico, Bibliografía básica: Fondo Monetario Internacional (2001) y (2014).</w:t>
      </w:r>
      <w:r>
        <w:rPr>
          <w:rFonts w:ascii="Century Gothic" w:hAnsi="Century Gothic" w:cs="Century Gothic" w:eastAsia="Century Gothic"/>
          <w:b w:val="0"/>
          <w:i w:val="0"/>
          <w:sz w:val="20"/>
        </w:rPr>
        <w:t xml:space="preserve"> Se citan los dos Manuales de Estadísticas de las Finanzas Públicas; el de 2014 sustituye al de 2001. Dejar solo el manual de 2014.</w:t>
      </w:r>
    </w:p>
    <w:p>
      <w:pPr>
        <w:numPr>
          <w:ilvl w:val="0"/>
          <w:numId w:val="917"/>
        </w:numPr>
        <w:spacing w:before="0" w:after="160" w:line="240" w:lineRule="auto"/>
        <w:jc w:val="both"/>
      </w:pPr>
      <w:r>
        <w:rPr>
          <w:rFonts w:ascii="Century Gothic" w:hAnsi="Century Gothic" w:cs="Century Gothic" w:eastAsia="Century Gothic"/>
          <w:b/>
          <w:i w:val="0"/>
          <w:sz w:val="20"/>
        </w:rPr>
        <w:t>Contenido técnico, Bibliografía básica / rúbrica del Producto 8.</w:t>
      </w:r>
      <w:r>
        <w:rPr>
          <w:rFonts w:ascii="Century Gothic" w:hAnsi="Century Gothic" w:cs="Century Gothic" w:eastAsia="Century Gothic"/>
          <w:b w:val="0"/>
          <w:i w:val="0"/>
          <w:sz w:val="20"/>
        </w:rPr>
        <w:t xml:space="preserve"> Se eliminó el contenido sobre la elevación del encaje legal de 2026 por coyuntural, pero se mantiene la Resolución de Directorio N° 118/2026 del Banco Central de Bolivia en la bibliografía básica. Retirarla o pasarla a la complementaria.</w:t>
      </w:r>
    </w:p>
    <w:p>
      <w:pPr>
        <w:numPr>
          <w:ilvl w:val="0"/>
          <w:numId w:val="917"/>
        </w:numPr>
        <w:spacing w:before="0" w:after="160" w:line="240" w:lineRule="auto"/>
        <w:jc w:val="both"/>
      </w:pPr>
      <w:r>
        <w:rPr>
          <w:rFonts w:ascii="Century Gothic" w:hAnsi="Century Gothic" w:cs="Century Gothic" w:eastAsia="Century Gothic"/>
          <w:b/>
          <w:i w:val="0"/>
          <w:sz w:val="20"/>
        </w:rPr>
        <w:t>Marcas de saber, E5, contenidos: 'El gasto público corriente y de capital; el Presupuesto General del Estado, su formulación y su ejecución. (P)'.</w:t>
      </w:r>
      <w:r>
        <w:rPr>
          <w:rFonts w:ascii="Century Gothic" w:hAnsi="Century Gothic" w:cs="Century Gothic" w:eastAsia="Century Gothic"/>
          <w:b w:val="0"/>
          <w:i w:val="0"/>
          <w:sz w:val="20"/>
        </w:rPr>
        <w:t xml:space="preserve"> Es un contenido conceptual marcado solo (P); corresponde (C) o (C, P) si se elabora un presupuesto.</w:t>
      </w:r>
    </w:p>
    <w:p>
      <w:pPr>
        <w:numPr>
          <w:ilvl w:val="0"/>
          <w:numId w:val="917"/>
        </w:numPr>
        <w:spacing w:before="0" w:after="160" w:line="240" w:lineRule="auto"/>
        <w:jc w:val="both"/>
      </w:pPr>
      <w:r>
        <w:rPr>
          <w:rFonts w:ascii="Century Gothic" w:hAnsi="Century Gothic" w:cs="Century Gothic" w:eastAsia="Century Gothic"/>
          <w:b/>
          <w:i w:val="0"/>
          <w:sz w:val="20"/>
        </w:rPr>
        <w:t>Marcas de saber, E5, contenidos: 'Significado y objetivos de la política fiscal... (C, P)'.</w:t>
      </w:r>
      <w:r>
        <w:rPr>
          <w:rFonts w:ascii="Century Gothic" w:hAnsi="Century Gothic" w:cs="Century Gothic" w:eastAsia="Century Gothic"/>
          <w:b w:val="0"/>
          <w:i w:val="0"/>
          <w:sz w:val="20"/>
        </w:rPr>
        <w:t xml:space="preserve"> No hay procedimiento en el enunciado; la (P) no tiene sustento.</w:t>
      </w:r>
    </w:p>
    <w:p>
      <w:pPr>
        <w:numPr>
          <w:ilvl w:val="0"/>
          <w:numId w:val="917"/>
        </w:numPr>
        <w:spacing w:before="0" w:after="160" w:line="240" w:lineRule="auto"/>
        <w:jc w:val="both"/>
      </w:pPr>
      <w:r>
        <w:rPr>
          <w:rFonts w:ascii="Century Gothic" w:hAnsi="Century Gothic" w:cs="Century Gothic" w:eastAsia="Century Gothic"/>
          <w:b/>
          <w:i w:val="0"/>
          <w:sz w:val="20"/>
        </w:rPr>
        <w:t>Circunstanciales, E4, contenidos: 'Norma de Contabilidad N° 3, NIC 29 y criterios de una economía hiperinflacionaria'.</w:t>
      </w:r>
      <w:r>
        <w:rPr>
          <w:rFonts w:ascii="Century Gothic" w:hAnsi="Century Gothic" w:cs="Century Gothic" w:eastAsia="Century Gothic"/>
          <w:b w:val="0"/>
          <w:i w:val="0"/>
          <w:sz w:val="20"/>
        </w:rPr>
        <w:t xml:space="preserve"> El ajuste por inflación (NC 3) y la NIC 29 se dictan en CPA-301 Contabilidad Internacional; en ECO-201 basta el efecto económico de la inflación.</w:t>
      </w:r>
    </w:p>
    <w:p>
      <w:pPr>
        <w:numPr>
          <w:ilvl w:val="0"/>
          <w:numId w:val="917"/>
        </w:numPr>
        <w:spacing w:before="0" w:after="160" w:line="240" w:lineRule="auto"/>
        <w:jc w:val="both"/>
      </w:pPr>
      <w:r>
        <w:rPr>
          <w:rFonts w:ascii="Century Gothic" w:hAnsi="Century Gothic" w:cs="Century Gothic" w:eastAsia="Century Gothic"/>
          <w:b/>
          <w:i w:val="0"/>
          <w:sz w:val="20"/>
        </w:rPr>
        <w:t>Circunstanciales, E1, contenidos: VAN, TIR y evaluación de un proyecto con hoja de cálculo.</w:t>
      </w:r>
      <w:r>
        <w:rPr>
          <w:rFonts w:ascii="Century Gothic" w:hAnsi="Century Gothic" w:cs="Century Gothic" w:eastAsia="Century Gothic"/>
          <w:b w:val="0"/>
          <w:i w:val="0"/>
          <w:sz w:val="20"/>
        </w:rPr>
        <w:t xml:space="preserve"> Se dictan en MAT-102 Matemáticas Financieras y en ECO-301 Preparación y Evaluación de Proyectos.</w:t>
      </w:r>
    </w:p>
    <w:p>
      <w:pPr>
        <w:numPr>
          <w:ilvl w:val="0"/>
          <w:numId w:val="917"/>
        </w:numPr>
        <w:spacing w:before="0" w:after="160" w:line="240" w:lineRule="auto"/>
        <w:jc w:val="both"/>
      </w:pPr>
      <w:r>
        <w:rPr>
          <w:rFonts w:ascii="Century Gothic" w:hAnsi="Century Gothic" w:cs="Century Gothic" w:eastAsia="Century Gothic"/>
          <w:b/>
          <w:i w:val="0"/>
          <w:sz w:val="20"/>
        </w:rPr>
        <w:t>Circunstanciales, E5, Tema 15 (competencias y dominio de los impuestos por nivel de gobierno).</w:t>
      </w:r>
      <w:r>
        <w:rPr>
          <w:rFonts w:ascii="Century Gothic" w:hAnsi="Century Gothic" w:cs="Century Gothic" w:eastAsia="Century Gothic"/>
          <w:b w:val="0"/>
          <w:i w:val="0"/>
          <w:sz w:val="20"/>
        </w:rPr>
        <w:t xml:space="preserve"> La organización territorial, las competencias y los impuestos de dominio nacional, departamental y municipal se dictan en DER-201 (E1, Producto 3), y el Presupuesto General del Estado y su ejecución en CPA-304.</w:t>
      </w:r>
    </w:p>
    <w:p>
      <w:pPr>
        <w:numPr>
          <w:ilvl w:val="0"/>
          <w:numId w:val="917"/>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160, TOTAL 240) con unidades mezcladas ('16 hs.', '32 hr.'), aunque la guía pide dejarlas en blanco; el TOTAL de 240 h no coincide con las 160 h/año de la malla.</w:t>
      </w:r>
    </w:p>
    <w:p>
      <w:pPr>
        <w:numPr>
          <w:ilvl w:val="0"/>
          <w:numId w:val="917"/>
        </w:numPr>
        <w:spacing w:before="0" w:after="160" w:line="240" w:lineRule="auto"/>
        <w:jc w:val="both"/>
      </w:pPr>
      <w:r>
        <w:rPr>
          <w:rFonts w:ascii="Century Gothic" w:hAnsi="Century Gothic" w:cs="Century Gothic" w:eastAsia="Century Gothic"/>
          <w:b/>
          <w:i w:val="0"/>
          <w:sz w:val="20"/>
        </w:rPr>
        <w:t>Incoherencia interna, Rúbricas de los Productos 3, 4, 7, 11, 15 y 17.</w:t>
      </w:r>
      <w:r>
        <w:rPr>
          <w:rFonts w:ascii="Century Gothic" w:hAnsi="Century Gothic" w:cs="Century Gothic" w:eastAsia="Century Gothic"/>
          <w:b w:val="0"/>
          <w:i w:val="0"/>
          <w:sz w:val="20"/>
        </w:rPr>
        <w:t xml:space="preserve"> El cambio de 'Práctico' a 'Práctica' se aplicó solo a las evidencias de producto 3, 4 y 7; sus rúbricas y los Productos 11, 15 y 17 siguen con 'Práctico'.</w:t>
      </w:r>
    </w:p>
    <w:p>
      <w:pPr>
        <w:numPr>
          <w:ilvl w:val="0"/>
          <w:numId w:val="917"/>
        </w:numPr>
        <w:spacing w:before="0" w:after="160" w:line="240" w:lineRule="auto"/>
        <w:jc w:val="both"/>
      </w:pPr>
      <w:r>
        <w:rPr>
          <w:rFonts w:ascii="Century Gothic" w:hAnsi="Century Gothic" w:cs="Century Gothic" w:eastAsia="Century Gothic"/>
          <w:b/>
          <w:i w:val="0"/>
          <w:sz w:val="20"/>
        </w:rPr>
        <w:t>Incoherencia interna, E4, contenidos y actividades.</w:t>
      </w:r>
      <w:r>
        <w:rPr>
          <w:rFonts w:ascii="Century Gothic" w:hAnsi="Century Gothic" w:cs="Century Gothic" w:eastAsia="Century Gothic"/>
          <w:b w:val="0"/>
          <w:i w:val="0"/>
          <w:sz w:val="20"/>
        </w:rPr>
        <w:t xml:space="preserve"> Se conserva 'Terminología macroeconómica en inglés...' como contenido y en Investigación/Práctica, aunque la subcomisión eliminó la terminología monetaria en inglés porque 'los conceptos se desarrollan en español'; también queda el contenido fechado 'Balanza de pagos de Bolivia de 2025'.</w:t>
      </w:r>
    </w:p>
    <w:p>
      <w:pPr>
        <w:numPr>
          <w:ilvl w:val="0"/>
          <w:numId w:val="917"/>
        </w:numPr>
        <w:spacing w:before="0" w:after="200" w:line="240" w:lineRule="auto"/>
        <w:jc w:val="both"/>
      </w:pPr>
      <w:r>
        <w:rPr>
          <w:rFonts w:ascii="Century Gothic" w:hAnsi="Century Gothic" w:cs="Century Gothic" w:eastAsia="Century Gothic"/>
          <w:b/>
          <w:i w:val="0"/>
          <w:sz w:val="20"/>
        </w:rPr>
        <w:t>Incoherencia interna, Bibliografía básica.</w:t>
      </w:r>
      <w:r>
        <w:rPr>
          <w:rFonts w:ascii="Century Gothic" w:hAnsi="Century Gothic" w:cs="Century Gothic" w:eastAsia="Century Gothic"/>
          <w:b w:val="0"/>
          <w:i w:val="0"/>
          <w:sz w:val="20"/>
        </w:rPr>
        <w:t xml:space="preserve"> No está en orden alfabético (los cinco primeros textos van antes de 'Banco Central de Bolivia'), tiene una línea vacía y formato distinto; repite autores con ediciones antiguas en la complementaria (Mankiw 2007, Sachs y Larraín 2002) y escribe 'Dornbuch' y 'Greogory', mientras la complementaria escribe bien 'Dornbusch'.</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no registra cambio de nombre. Explica 5 cambios: nueva unidad de competencia ('extensa y redundante'), eliminación del contenido del encaje legal al 7,5 % ('medida coyuntural') y de la terminología monetaria en inglés, incorporación del modelo Mundell-Fleming en el criterio 2 de E4, y ajustes de redacción ('Práctico' a 'Práctica' y supresión de fechas). En el itinerario se aplicaron, pero con discordancias: Mundell-Fleming quedó como un rótulo antepuesto al criterio, sin evidencia, producto ni contenido; 'Práctica' solo cambió en las evidencias de producto, no en las rúbricas; la terminología en inglés de E4 y la Resolución del encaje 2026 en la bibliografía siguen; la nueva unidad omite el elemento 5 (régimen autonómico). El informe también lista como docente de ECO-201 a Lic. Juvenal Espejo Dávalos (D y E), que no figura en su tabla de asignaturas, y marca la carga horaria conforme a la malla pese a sumar 240 h.</w:t>
      </w:r>
    </w:p>
    <w:p>
      <w:pPr>
        <w:spacing w:before="0" w:after="200" w:line="240" w:lineRule="auto"/>
        <w:jc w:val="both"/>
      </w:pPr>
      <w:r>
        <w:rPr>
          <w:rFonts w:ascii="Century Gothic" w:hAnsi="Century Gothic" w:cs="Century Gothic" w:eastAsia="Century Gothic"/>
          <w:b w:val="0"/>
          <w:i w:val="0"/>
          <w:sz w:val="20"/>
        </w:rPr>
        <w:t>Se aplicaron 14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7.16</w:t>
        <w:tab/>
      </w:r>
      <w:r>
        <w:rPr>
          <w:rFonts w:ascii="Century Gothic" w:hAnsi="Century Gothic" w:cs="Century Gothic" w:eastAsia="Century Gothic"/>
          <w:b/>
          <w:i w:val="0"/>
          <w:sz w:val="22"/>
        </w:rPr>
        <w:t>MAT-201 Álgebra Lineal y Programación Operativa Aplicada a los Negocios</w:t>
      </w:r>
    </w:p>
    <w:p>
      <w:pPr>
        <w:spacing w:before="0" w:after="200" w:line="240" w:lineRule="auto"/>
        <w:jc w:val="both"/>
      </w:pPr>
      <w:r>
        <w:rPr>
          <w:rFonts w:ascii="Century Gothic" w:hAnsi="Century Gothic" w:cs="Century Gothic" w:eastAsia="Century Gothic"/>
          <w:b w:val="0"/>
          <w:i w:val="0"/>
          <w:sz w:val="20"/>
        </w:rPr>
        <w:t xml:space="preserve">Archivo: MAT-201 Algebra y Programaciones Lineales.docx. Cumple 13 de 23 controles, 4 de forma parcial y no cumple 6. Estado: </w:t>
      </w:r>
      <w:r>
        <w:rPr>
          <w:rFonts w:ascii="Century Gothic" w:hAnsi="Century Gothic" w:cs="Century Gothic" w:eastAsia="Century Gothic"/>
          <w:b/>
          <w:i w:val="0"/>
          <w:sz w:val="20"/>
        </w:rPr>
        <w:t>requiere reformulación parcial</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Es el itinerario más débil del grupo: tiene rúbricas copiadas o ajenas a su producto (Productos 5 y 6), productos que no corresponden a su evidencia en E3, nombres de métodos mal escritos y una bibliografía con decretos tributarios, salariales y arancelarios sin relación con el álgebra. Requiere una revisión completa de la cadena de E2 y E3, de la numeración, de las marcas (no hay ningún contenido actitudinal) y de los datos generales.</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Datos generales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nombre «Álgebra y Programación Lineales» frente a «Álgebra Lineal y Programación Operativa Aplicada a los Negocios» en la malla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siglas: HP, HAA, HTC, HIP, HE, TOTAL; horas llenadas (160, 16, 32, 16, 16,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condiciones de calidad explícitas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de desempeño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E1: 4 evidencias, sin numeración completa; E2: 4 evidencias, sin numeración completa; E3: 4 evidencias, sin numeración completa (numeración 1.2, 2.1, 2.2); E4: 4 evidencias, sin numeración completa; E5: 4 evidencias, sin numeración completa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Saberes A y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contenidos actitudinales (A)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de 3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«a través»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18"/>
        </w:numPr>
        <w:spacing w:before="0" w:after="160" w:line="240" w:lineRule="auto"/>
        <w:jc w:val="both"/>
      </w:pPr>
      <w:r>
        <w:rPr>
          <w:rFonts w:ascii="Century Gothic" w:hAnsi="Century Gothic" w:cs="Century Gothic" w:eastAsia="Century Gothic"/>
          <w:b/>
          <w:i w:val="0"/>
          <w:sz w:val="20"/>
        </w:rPr>
        <w:t>Coherencia, E2, Producto 5 / rúbrica.</w:t>
      </w:r>
      <w:r>
        <w:rPr>
          <w:rFonts w:ascii="Century Gothic" w:hAnsi="Century Gothic" w:cs="Century Gothic" w:eastAsia="Century Gothic"/>
          <w:b w:val="0"/>
          <w:i w:val="0"/>
          <w:sz w:val="20"/>
        </w:rPr>
        <w:t xml:space="preserve"> El producto es un modelo de programación lineal resuelto por el método gráfico, pero la rúbrica evalúa 'Representación de la red' y 'Algoritmos' (ruta más corta y flujo máximo), propios de modelos de redes que no están en el programa. Redactar la rúbrica sobre la región factible, los vértices y la solución óptima gráfica.</w:t>
      </w:r>
    </w:p>
    <w:p>
      <w:pPr>
        <w:numPr>
          <w:ilvl w:val="0"/>
          <w:numId w:val="918"/>
        </w:numPr>
        <w:spacing w:before="0" w:after="160" w:line="240" w:lineRule="auto"/>
        <w:jc w:val="both"/>
      </w:pPr>
      <w:r>
        <w:rPr>
          <w:rFonts w:ascii="Century Gothic" w:hAnsi="Century Gothic" w:cs="Century Gothic" w:eastAsia="Century Gothic"/>
          <w:b/>
          <w:i w:val="0"/>
          <w:sz w:val="20"/>
        </w:rPr>
        <w:t>Coherencia, E2, Producto 6 / rúbrica.</w:t>
      </w:r>
      <w:r>
        <w:rPr>
          <w:rFonts w:ascii="Century Gothic" w:hAnsi="Century Gothic" w:cs="Century Gothic" w:eastAsia="Century Gothic"/>
          <w:b w:val="0"/>
          <w:i w:val="0"/>
          <w:sz w:val="20"/>
        </w:rPr>
        <w:t xml:space="preserve"> La rúbrica del método algebraico es copia literal de la del Producto 8 (problema dual, precios sombra, pensamiento crítico). Elaborar una rúbrica propia: planteo de variables de holgura, soluciones básicas y comparación de vértices.</w:t>
      </w:r>
    </w:p>
    <w:p>
      <w:pPr>
        <w:numPr>
          <w:ilvl w:val="0"/>
          <w:numId w:val="918"/>
        </w:numPr>
        <w:spacing w:before="0" w:after="160" w:line="240" w:lineRule="auto"/>
        <w:jc w:val="both"/>
      </w:pPr>
      <w:r>
        <w:rPr>
          <w:rFonts w:ascii="Century Gothic" w:hAnsi="Century Gothic" w:cs="Century Gothic" w:eastAsia="Century Gothic"/>
          <w:b/>
          <w:i w:val="0"/>
          <w:sz w:val="20"/>
        </w:rPr>
        <w:t>Coherencia, E3, criterio 2 / evidencia 2.1 / Producto 11.</w:t>
      </w:r>
      <w:r>
        <w:rPr>
          <w:rFonts w:ascii="Century Gothic" w:hAnsi="Century Gothic" w:cs="Century Gothic" w:eastAsia="Century Gothic"/>
          <w:b w:val="0"/>
          <w:i w:val="0"/>
          <w:sz w:val="20"/>
        </w:rPr>
        <w:t xml:space="preserve"> La evidencia 2.1 pide 'problemas con referencia al cálculo de probabilidades', que no figura en los contenidos (es materia de MAT-301), y el Producto 11 es un informe de conteo, no de probabilidades. Reformular 2.1 como problema de conteo aplicado.</w:t>
      </w:r>
    </w:p>
    <w:p>
      <w:pPr>
        <w:numPr>
          <w:ilvl w:val="0"/>
          <w:numId w:val="918"/>
        </w:numPr>
        <w:spacing w:before="0" w:after="160" w:line="240" w:lineRule="auto"/>
        <w:jc w:val="both"/>
      </w:pPr>
      <w:r>
        <w:rPr>
          <w:rFonts w:ascii="Century Gothic" w:hAnsi="Century Gothic" w:cs="Century Gothic" w:eastAsia="Century Gothic"/>
          <w:b/>
          <w:i w:val="0"/>
          <w:sz w:val="20"/>
        </w:rPr>
        <w:t>Coherencia, E3, evidencia 2.2 / Producto 12.</w:t>
      </w:r>
      <w:r>
        <w:rPr>
          <w:rFonts w:ascii="Century Gothic" w:hAnsi="Century Gothic" w:cs="Century Gothic" w:eastAsia="Century Gothic"/>
          <w:b w:val="0"/>
          <w:i w:val="0"/>
          <w:sz w:val="20"/>
        </w:rPr>
        <w:t xml:space="preserve"> La evidencia determina el número de muestras posibles de una población de comprobantes, pero el producto y la rúbrica son una 'Matriz de escenarios de riesgo'. Producto: 'Cálculo del número de muestras posibles de una población de comprobantes'.</w:t>
      </w:r>
    </w:p>
    <w:p>
      <w:pPr>
        <w:numPr>
          <w:ilvl w:val="0"/>
          <w:numId w:val="918"/>
        </w:numPr>
        <w:spacing w:before="0" w:after="160" w:line="240" w:lineRule="auto"/>
        <w:jc w:val="both"/>
      </w:pPr>
      <w:r>
        <w:rPr>
          <w:rFonts w:ascii="Century Gothic" w:hAnsi="Century Gothic" w:cs="Century Gothic" w:eastAsia="Century Gothic"/>
          <w:b/>
          <w:i w:val="0"/>
          <w:sz w:val="20"/>
        </w:rPr>
        <w:t>Coherencia, E3, evidencia 1.2 / rúbrica del Producto 10.</w:t>
      </w:r>
      <w:r>
        <w:rPr>
          <w:rFonts w:ascii="Century Gothic" w:hAnsi="Century Gothic" w:cs="Century Gothic" w:eastAsia="Century Gothic"/>
          <w:b w:val="0"/>
          <w:i w:val="0"/>
          <w:sz w:val="20"/>
        </w:rPr>
        <w:t xml:space="preserve"> La evidencia diferencia variaciones, permutaciones y combinaciones con ejemplos en aula, pero la rúbrica evalúa 'Funciones empleadas' y 'La hoja es desordenada', es decir, el uso de la hoja de cálculo. Alinear la rúbrica con el cálculo manual o llevar la evidencia a la hoja de cálculo.</w:t>
      </w:r>
    </w:p>
    <w:p>
      <w:pPr>
        <w:numPr>
          <w:ilvl w:val="0"/>
          <w:numId w:val="918"/>
        </w:numPr>
        <w:spacing w:before="0" w:after="160" w:line="240" w:lineRule="auto"/>
        <w:jc w:val="both"/>
      </w:pPr>
      <w:r>
        <w:rPr>
          <w:rFonts w:ascii="Century Gothic" w:hAnsi="Century Gothic" w:cs="Century Gothic" w:eastAsia="Century Gothic"/>
          <w:b/>
          <w:i w:val="0"/>
          <w:sz w:val="20"/>
        </w:rPr>
        <w:t>Coherencia, Rúbricas de los Productos 9 y 11.</w:t>
      </w:r>
      <w:r>
        <w:rPr>
          <w:rFonts w:ascii="Century Gothic" w:hAnsi="Century Gothic" w:cs="Century Gothic" w:eastAsia="Century Gothic"/>
          <w:b w:val="0"/>
          <w:i w:val="0"/>
          <w:sz w:val="20"/>
        </w:rPr>
        <w:t xml:space="preserve"> El nivel Suficiente describe un logro parcial con errores ('de forma parcial y comete algunos errores'), contra la guía (Suficiente = cumplimiento correcto); el Destacado del Producto 11 ('Interpreta adecuadamente los resultados') no añade valor. Reescribir los niveles según la sección 7 de la guía.</w:t>
      </w:r>
    </w:p>
    <w:p>
      <w:pPr>
        <w:numPr>
          <w:ilvl w:val="0"/>
          <w:numId w:val="918"/>
        </w:numPr>
        <w:spacing w:before="0" w:after="160" w:line="240" w:lineRule="auto"/>
        <w:jc w:val="both"/>
      </w:pPr>
      <w:r>
        <w:rPr>
          <w:rFonts w:ascii="Century Gothic" w:hAnsi="Century Gothic" w:cs="Century Gothic" w:eastAsia="Century Gothic"/>
          <w:b/>
          <w:i w:val="0"/>
          <w:sz w:val="20"/>
        </w:rPr>
        <w:t>Coherencia, Unidad de competencia.</w:t>
      </w:r>
      <w:r>
        <w:rPr>
          <w:rFonts w:ascii="Century Gothic" w:hAnsi="Century Gothic" w:cs="Century Gothic" w:eastAsia="Century Gothic"/>
          <w:b w:val="0"/>
          <w:i w:val="0"/>
          <w:sz w:val="20"/>
        </w:rPr>
        <w:t xml:space="preserve"> Mezcla el presente con el infinitivo ('además de resolver'), cierra sin punto y su condición de calidad ('interpretación en base a la creatividad') no es observable. Ejemplo: '...y resolviendo problemas de conteo y de conjuntos, con rigor lógico y sentido crítico.'</w:t>
      </w:r>
    </w:p>
    <w:p>
      <w:pPr>
        <w:numPr>
          <w:ilvl w:val="0"/>
          <w:numId w:val="918"/>
        </w:numPr>
        <w:spacing w:before="0" w:after="160" w:line="240" w:lineRule="auto"/>
        <w:jc w:val="both"/>
      </w:pPr>
      <w:r>
        <w:rPr>
          <w:rFonts w:ascii="Century Gothic" w:hAnsi="Century Gothic" w:cs="Century Gothic" w:eastAsia="Century Gothic"/>
          <w:b/>
          <w:i w:val="0"/>
          <w:sz w:val="20"/>
        </w:rPr>
        <w:t>Contenido técnico, E1, criterio 2 y contenidos.</w:t>
      </w:r>
      <w:r>
        <w:rPr>
          <w:rFonts w:ascii="Century Gothic" w:hAnsi="Century Gothic" w:cs="Century Gothic" w:eastAsia="Century Gothic"/>
          <w:b w:val="0"/>
          <w:i w:val="0"/>
          <w:sz w:val="20"/>
        </w:rPr>
        <w:t xml:space="preserve"> 'Gauss-Jordán' está mal escrito: es Gauss-Jordan (Wilhelm Jordan), sin tilde. La regla de 'Chío' se escribe 'Chió' (Félix Chió).</w:t>
      </w:r>
    </w:p>
    <w:p>
      <w:pPr>
        <w:numPr>
          <w:ilvl w:val="0"/>
          <w:numId w:val="918"/>
        </w:numPr>
        <w:spacing w:before="0" w:after="160" w:line="240" w:lineRule="auto"/>
        <w:jc w:val="both"/>
      </w:pPr>
      <w:r>
        <w:rPr>
          <w:rFonts w:ascii="Century Gothic" w:hAnsi="Century Gothic" w:cs="Century Gothic" w:eastAsia="Century Gothic"/>
          <w:b/>
          <w:i w:val="0"/>
          <w:sz w:val="20"/>
        </w:rPr>
        <w:t>Contenido técnico, E2, criterio 2.</w:t>
      </w:r>
      <w:r>
        <w:rPr>
          <w:rFonts w:ascii="Century Gothic" w:hAnsi="Century Gothic" w:cs="Century Gothic" w:eastAsia="Century Gothic"/>
          <w:b w:val="0"/>
          <w:i w:val="0"/>
          <w:sz w:val="20"/>
        </w:rPr>
        <w:t xml:space="preserve"> 'Formula modelos de optimización ... por el método simplex': el simplex resuelve un modelo, no lo formula. Corrección: 'Formula y resuelve modelos ... con el método simplex'.</w:t>
      </w:r>
    </w:p>
    <w:p>
      <w:pPr>
        <w:numPr>
          <w:ilvl w:val="0"/>
          <w:numId w:val="918"/>
        </w:numPr>
        <w:spacing w:before="0" w:after="160" w:line="240" w:lineRule="auto"/>
        <w:jc w:val="both"/>
      </w:pPr>
      <w:r>
        <w:rPr>
          <w:rFonts w:ascii="Century Gothic" w:hAnsi="Century Gothic" w:cs="Century Gothic" w:eastAsia="Century Gothic"/>
          <w:b/>
          <w:i w:val="0"/>
          <w:sz w:val="20"/>
        </w:rPr>
        <w:t>Contenido técnico, E2, contenidos.</w:t>
      </w:r>
      <w:r>
        <w:rPr>
          <w:rFonts w:ascii="Century Gothic" w:hAnsi="Century Gothic" w:cs="Century Gothic" w:eastAsia="Century Gothic"/>
          <w:b w:val="0"/>
          <w:i w:val="0"/>
          <w:sz w:val="20"/>
        </w:rPr>
        <w:t xml:space="preserve"> 'Sistemas de inecuaciones con dos variables: gráficas y determinación de puntos críticos': en programación lineal se hallan los vértices de la región factible; 'puntos críticos' es un término del cálculo diferencial.</w:t>
      </w:r>
    </w:p>
    <w:p>
      <w:pPr>
        <w:numPr>
          <w:ilvl w:val="0"/>
          <w:numId w:val="918"/>
        </w:numPr>
        <w:spacing w:before="0" w:after="160" w:line="240" w:lineRule="auto"/>
        <w:jc w:val="both"/>
      </w:pPr>
      <w:r>
        <w:rPr>
          <w:rFonts w:ascii="Century Gothic" w:hAnsi="Century Gothic" w:cs="Century Gothic" w:eastAsia="Century Gothic"/>
          <w:b/>
          <w:i w:val="0"/>
          <w:sz w:val="20"/>
        </w:rPr>
        <w:t>Contenido técnico, E2, rúbrica del Producto 7.</w:t>
      </w:r>
      <w:r>
        <w:rPr>
          <w:rFonts w:ascii="Century Gothic" w:hAnsi="Century Gothic" w:cs="Century Gothic" w:eastAsia="Century Gothic"/>
          <w:b w:val="0"/>
          <w:i w:val="0"/>
          <w:sz w:val="20"/>
        </w:rPr>
        <w:t xml:space="preserve"> El Suficiente se conforma con 'una solución factible' y deja la solución óptima para el Destacado; el método simplex debe llegar a la solución óptima en el nivel Suficiente.</w:t>
      </w:r>
    </w:p>
    <w:p>
      <w:pPr>
        <w:numPr>
          <w:ilvl w:val="0"/>
          <w:numId w:val="918"/>
        </w:numPr>
        <w:spacing w:before="0" w:after="160" w:line="240" w:lineRule="auto"/>
        <w:jc w:val="both"/>
      </w:pPr>
      <w:r>
        <w:rPr>
          <w:rFonts w:ascii="Century Gothic" w:hAnsi="Century Gothic" w:cs="Century Gothic" w:eastAsia="Century Gothic"/>
          <w:b/>
          <w:i w:val="0"/>
          <w:sz w:val="20"/>
        </w:rPr>
        <w:t>Contenido técnico, E1, conocimientos circunstanciales.</w:t>
      </w:r>
      <w:r>
        <w:rPr>
          <w:rFonts w:ascii="Century Gothic" w:hAnsi="Century Gothic" w:cs="Century Gothic" w:eastAsia="Century Gothic"/>
          <w:b w:val="0"/>
          <w:i w:val="0"/>
          <w:sz w:val="20"/>
        </w:rPr>
        <w:t xml:space="preserve"> 'matriz de Leontieff' está mal escrito (es Leontief) y repite un contenido que ya figura en la columna de contenidos.</w:t>
      </w:r>
    </w:p>
    <w:p>
      <w:pPr>
        <w:numPr>
          <w:ilvl w:val="0"/>
          <w:numId w:val="918"/>
        </w:numPr>
        <w:spacing w:before="0" w:after="160" w:line="240" w:lineRule="auto"/>
        <w:jc w:val="both"/>
      </w:pPr>
      <w:r>
        <w:rPr>
          <w:rFonts w:ascii="Century Gothic" w:hAnsi="Century Gothic" w:cs="Century Gothic" w:eastAsia="Century Gothic"/>
          <w:b/>
          <w:i w:val="0"/>
          <w:sz w:val="20"/>
        </w:rPr>
        <w:t>Contenido técnico, Bibliografía complementaria.</w:t>
      </w:r>
      <w:r>
        <w:rPr>
          <w:rFonts w:ascii="Century Gothic" w:hAnsi="Century Gothic" w:cs="Century Gothic" w:eastAsia="Century Gothic"/>
          <w:b w:val="0"/>
          <w:i w:val="0"/>
          <w:sz w:val="20"/>
        </w:rPr>
        <w:t xml:space="preserve"> Incluye normas ajenas al álgebra lineal y la programación lineal: el D.S. 24051 (IUE), el D.S. 5516 (salario mínimo), el D.S. 5646 (gravamen arancelario), el Código de Comercio, la Resolución CTNAC 01/2015 y la NIA 530. Son incoherentes con la asignatura. La lista no sigue el orden alfabético (Taha antes que Leontief), y la bibliografía básica no tiene ningún texto de programación lineal (Taha solo figura como complementaria).</w:t>
      </w:r>
    </w:p>
    <w:p>
      <w:pPr>
        <w:numPr>
          <w:ilvl w:val="0"/>
          <w:numId w:val="918"/>
        </w:numPr>
        <w:spacing w:before="0" w:after="160" w:line="240" w:lineRule="auto"/>
        <w:jc w:val="both"/>
      </w:pPr>
      <w:r>
        <w:rPr>
          <w:rFonts w:ascii="Century Gothic" w:hAnsi="Century Gothic" w:cs="Century Gothic" w:eastAsia="Century Gothic"/>
          <w:b/>
          <w:i w:val="0"/>
          <w:sz w:val="20"/>
        </w:rPr>
        <w:t>Marcas de saber, Toda la asignatura.</w:t>
      </w:r>
      <w:r>
        <w:rPr>
          <w:rFonts w:ascii="Century Gothic" w:hAnsi="Century Gothic" w:cs="Century Gothic" w:eastAsia="Century Gothic"/>
          <w:b w:val="0"/>
          <w:i w:val="0"/>
          <w:sz w:val="20"/>
        </w:rPr>
        <w:t xml:space="preserve"> Ningún contenido lleva (A), aunque la guía pide contenidos actitudinales en la asignatura.</w:t>
      </w:r>
    </w:p>
    <w:p>
      <w:pPr>
        <w:numPr>
          <w:ilvl w:val="0"/>
          <w:numId w:val="918"/>
        </w:numPr>
        <w:spacing w:before="0" w:after="160" w:line="240" w:lineRule="auto"/>
        <w:jc w:val="both"/>
      </w:pPr>
      <w:r>
        <w:rPr>
          <w:rFonts w:ascii="Century Gothic" w:hAnsi="Century Gothic" w:cs="Century Gothic" w:eastAsia="Century Gothic"/>
          <w:b/>
          <w:i w:val="0"/>
          <w:sz w:val="20"/>
        </w:rPr>
        <w:t>Marcas de saber, E1, contenidos.</w:t>
      </w:r>
      <w:r>
        <w:rPr>
          <w:rFonts w:ascii="Century Gothic" w:hAnsi="Century Gothic" w:cs="Century Gothic" w:eastAsia="Century Gothic"/>
          <w:b w:val="0"/>
          <w:i w:val="0"/>
          <w:sz w:val="20"/>
        </w:rPr>
        <w:t xml:space="preserve"> 'Modelo de insumo producto de Leontief...' va con (C), pero la evidencia 2.2 lo opera en el laboratorio de cómputo; debería ser (C, P, T).</w:t>
      </w:r>
    </w:p>
    <w:p>
      <w:pPr>
        <w:numPr>
          <w:ilvl w:val="0"/>
          <w:numId w:val="918"/>
        </w:numPr>
        <w:spacing w:before="0" w:after="160" w:line="240" w:lineRule="auto"/>
        <w:jc w:val="both"/>
      </w:pPr>
      <w:r>
        <w:rPr>
          <w:rFonts w:ascii="Century Gothic" w:hAnsi="Century Gothic" w:cs="Century Gothic" w:eastAsia="Century Gothic"/>
          <w:b/>
          <w:i w:val="0"/>
          <w:sz w:val="20"/>
        </w:rPr>
        <w:t>Marcas de saber, E4 y E5, contenidos.</w:t>
      </w:r>
      <w:r>
        <w:rPr>
          <w:rFonts w:ascii="Century Gothic" w:hAnsi="Century Gothic" w:cs="Century Gothic" w:eastAsia="Century Gothic"/>
          <w:b w:val="0"/>
          <w:i w:val="0"/>
          <w:sz w:val="20"/>
        </w:rPr>
        <w:t xml:space="preserve"> La evidencia 2.2 del E4 cruza bases de datos con filtros y consultas, pero no hay contenido (T) que lo respalde; 'Interés compuesto y factores de acumulación con productoria...' es un cálculo y está marcado solo (C).</w:t>
      </w:r>
    </w:p>
    <w:p>
      <w:pPr>
        <w:numPr>
          <w:ilvl w:val="0"/>
          <w:numId w:val="918"/>
        </w:numPr>
        <w:spacing w:before="0" w:after="160" w:line="240" w:lineRule="auto"/>
        <w:jc w:val="both"/>
      </w:pPr>
      <w:r>
        <w:rPr>
          <w:rFonts w:ascii="Century Gothic" w:hAnsi="Century Gothic" w:cs="Century Gothic" w:eastAsia="Century Gothic"/>
          <w:b/>
          <w:i w:val="0"/>
          <w:sz w:val="20"/>
        </w:rPr>
        <w:t>Circunstanciales, E2, conocimientos circunstanciales.</w:t>
      </w:r>
      <w:r>
        <w:rPr>
          <w:rFonts w:ascii="Century Gothic" w:hAnsi="Century Gothic" w:cs="Century Gothic" w:eastAsia="Century Gothic"/>
          <w:b w:val="0"/>
          <w:i w:val="0"/>
          <w:sz w:val="20"/>
        </w:rPr>
        <w:t xml:space="preserve"> 'Nociones de logística y de canales de distribución' solo serían necesarias para modelos de transporte, que no están en los contenidos.</w:t>
      </w:r>
    </w:p>
    <w:p>
      <w:pPr>
        <w:numPr>
          <w:ilvl w:val="0"/>
          <w:numId w:val="918"/>
        </w:numPr>
        <w:spacing w:before="0" w:after="160" w:line="240" w:lineRule="auto"/>
        <w:jc w:val="both"/>
      </w:pPr>
      <w:r>
        <w:rPr>
          <w:rFonts w:ascii="Century Gothic" w:hAnsi="Century Gothic" w:cs="Century Gothic" w:eastAsia="Century Gothic"/>
          <w:b/>
          <w:i w:val="0"/>
          <w:sz w:val="20"/>
        </w:rPr>
        <w:t>Circunstanciales, E3, contenidos.</w:t>
      </w:r>
      <w:r>
        <w:rPr>
          <w:rFonts w:ascii="Century Gothic" w:hAnsi="Century Gothic" w:cs="Century Gothic" w:eastAsia="Century Gothic"/>
          <w:b w:val="0"/>
          <w:i w:val="0"/>
          <w:sz w:val="20"/>
        </w:rPr>
        <w:t xml:space="preserve"> 'Aplicación del análisis combinatorio a la selección de muestras de auditoría' anticipa el muestreo de auditoría, que se dicta en MAT-301 y CPA-407.</w:t>
      </w:r>
    </w:p>
    <w:p>
      <w:pPr>
        <w:numPr>
          <w:ilvl w:val="0"/>
          <w:numId w:val="918"/>
        </w:numPr>
        <w:spacing w:before="0" w:after="160" w:line="240" w:lineRule="auto"/>
        <w:jc w:val="both"/>
      </w:pPr>
      <w:r>
        <w:rPr>
          <w:rFonts w:ascii="Century Gothic" w:hAnsi="Century Gothic" w:cs="Century Gothic" w:eastAsia="Century Gothic"/>
          <w:b/>
          <w:i w:val="0"/>
          <w:sz w:val="20"/>
        </w:rPr>
        <w:t>Incoherencia interna, Datos generales.</w:t>
      </w:r>
      <w:r>
        <w:rPr>
          <w:rFonts w:ascii="Century Gothic" w:hAnsi="Century Gothic" w:cs="Century Gothic" w:eastAsia="Century Gothic"/>
          <w:b w:val="0"/>
          <w:i w:val="0"/>
          <w:sz w:val="20"/>
        </w:rPr>
        <w:t xml:space="preserve"> El nombre aparece como 'Álgebra y Programación / Lineales', distinto del de la malla ('Álgebra Lineal y Programación Operativa Aplicada a los Negocios'), y el área figura como 'Matemática' frente a 'Matemáticas' en las demás asignaturas MAT.</w:t>
      </w:r>
    </w:p>
    <w:p>
      <w:pPr>
        <w:numPr>
          <w:ilvl w:val="0"/>
          <w:numId w:val="918"/>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Usa la sigla 'HTC', que la guía sustituyó por HTG, y tiene las horas llenas (TOTAL 240 frente a las 160 h/año de la malla).</w:t>
      </w:r>
    </w:p>
    <w:p>
      <w:pPr>
        <w:numPr>
          <w:ilvl w:val="0"/>
          <w:numId w:val="918"/>
        </w:numPr>
        <w:spacing w:before="0" w:after="160" w:line="240" w:lineRule="auto"/>
        <w:jc w:val="both"/>
      </w:pPr>
      <w:r>
        <w:rPr>
          <w:rFonts w:ascii="Century Gothic" w:hAnsi="Century Gothic" w:cs="Century Gothic" w:eastAsia="Century Gothic"/>
          <w:b/>
          <w:i w:val="0"/>
          <w:sz w:val="20"/>
        </w:rPr>
        <w:t>Incoherencia interna, Criterios y evidencias de E1, E2, E4 y E5.</w:t>
      </w:r>
      <w:r>
        <w:rPr>
          <w:rFonts w:ascii="Century Gothic" w:hAnsi="Century Gothic" w:cs="Century Gothic" w:eastAsia="Century Gothic"/>
          <w:b w:val="0"/>
          <w:i w:val="0"/>
          <w:sz w:val="20"/>
        </w:rPr>
        <w:t xml:space="preserve"> Los criterios no van numerados (1., 2.) ni las evidencias (1.1, 1.2...); en E3 la numeración es parcial (falta 1.1).</w:t>
      </w:r>
    </w:p>
    <w:p>
      <w:pPr>
        <w:numPr>
          <w:ilvl w:val="0"/>
          <w:numId w:val="918"/>
        </w:numPr>
        <w:spacing w:before="0" w:after="160" w:line="240" w:lineRule="auto"/>
        <w:jc w:val="both"/>
      </w:pPr>
      <w:r>
        <w:rPr>
          <w:rFonts w:ascii="Century Gothic" w:hAnsi="Century Gothic" w:cs="Century Gothic" w:eastAsia="Century Gothic"/>
          <w:b/>
          <w:i w:val="0"/>
          <w:sz w:val="20"/>
        </w:rPr>
        <w:t>Incoherencia interna, Actividades y estrategias.</w:t>
      </w:r>
      <w:r>
        <w:rPr>
          <w:rFonts w:ascii="Century Gothic" w:hAnsi="Century Gothic" w:cs="Century Gothic" w:eastAsia="Century Gothic"/>
          <w:b w:val="0"/>
          <w:i w:val="0"/>
          <w:sz w:val="20"/>
        </w:rPr>
        <w:t xml:space="preserve"> Mencionan 'tablas simplex y modelos de transporte', 'series y sucesiones' y 'software de graficación para inecuaciones y series', temas que no tienen contenidos en el itinerario.</w:t>
      </w:r>
    </w:p>
    <w:p>
      <w:pPr>
        <w:numPr>
          <w:ilvl w:val="0"/>
          <w:numId w:val="918"/>
        </w:numPr>
        <w:spacing w:before="0" w:after="200" w:line="240" w:lineRule="auto"/>
        <w:jc w:val="both"/>
      </w:pPr>
      <w:r>
        <w:rPr>
          <w:rFonts w:ascii="Century Gothic" w:hAnsi="Century Gothic" w:cs="Century Gothic" w:eastAsia="Century Gothic"/>
          <w:b/>
          <w:i w:val="0"/>
          <w:sz w:val="20"/>
        </w:rPr>
        <w:t>Incoherencia interna, E5, criterio 2 / Productos 19 y 20.</w:t>
      </w:r>
      <w:r>
        <w:rPr>
          <w:rFonts w:ascii="Century Gothic" w:hAnsi="Century Gothic" w:cs="Century Gothic" w:eastAsia="Century Gothic"/>
          <w:b w:val="0"/>
          <w:i w:val="0"/>
          <w:sz w:val="20"/>
        </w:rPr>
        <w:t xml:space="preserve"> El valor presente de flujos y la actualización con UFV repiten contenidos de MAT-102 (E1 y Tema 2), y la depreciación acumulada (Producto 18) se repite con MAT-102 y CPA-201.</w:t>
      </w:r>
    </w:p>
    <w:p>
      <w:pPr>
        <w:spacing w:before="0" w:after="200" w:line="240" w:lineRule="auto"/>
        <w:jc w:val="both"/>
      </w:pPr>
      <w:r>
        <w:rPr>
          <w:rFonts w:ascii="Century Gothic" w:hAnsi="Century Gothic" w:cs="Century Gothic" w:eastAsia="Century Gothic"/>
          <w:b w:val="0"/>
          <w:i w:val="0"/>
          <w:sz w:val="20"/>
        </w:rPr>
        <w:t>Se aplicaron 16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7.17</w:t>
        <w:tab/>
      </w:r>
      <w:r>
        <w:rPr>
          <w:rFonts w:ascii="Century Gothic" w:hAnsi="Century Gothic" w:cs="Century Gothic" w:eastAsia="Century Gothic"/>
          <w:b/>
          <w:i w:val="0"/>
          <w:sz w:val="22"/>
        </w:rPr>
        <w:t>CPA-301 Contabilidad Internacional</w:t>
      </w:r>
    </w:p>
    <w:p>
      <w:pPr>
        <w:spacing w:before="0" w:after="200" w:line="240" w:lineRule="auto"/>
        <w:jc w:val="both"/>
      </w:pPr>
      <w:r>
        <w:rPr>
          <w:rFonts w:ascii="Century Gothic" w:hAnsi="Century Gothic" w:cs="Century Gothic" w:eastAsia="Century Gothic"/>
          <w:b w:val="0"/>
          <w:i w:val="0"/>
          <w:sz w:val="20"/>
        </w:rPr>
        <w:t xml:space="preserve">Archivo: CPA-301 Contabilidad Internacional (1).docx. Cumple 16 de 23 controles, 3 de forma parcial y no cumple 4.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técnicamente actualizado (NIIF 18, NIIF S1 y S2, NIIF para las PYMES 2025, contexto boliviano de inflación y tipo de cambio) y con rúbricas propias de cada producto. Lo debilitan evidencias cruzadas entre criterios en E2, E4 y E6, algunos errores normativos (valor de uso en la NIC 16, reconocimiento de contingencias), la falta de la columna 'En clase', la carga horaria llenada y desglosada, y la repetición con CPA-201 de varias NIIF.</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incluye el desglose de los nombres de las siglas; horas llenadas (160, 40, 10, 40, 10, 260)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Actividades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falta la columna «En clase»; 4 columnas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12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19"/>
        </w:numPr>
        <w:spacing w:before="0" w:after="160" w:line="240" w:lineRule="auto"/>
        <w:jc w:val="both"/>
      </w:pPr>
      <w:r>
        <w:rPr>
          <w:rFonts w:ascii="Century Gothic" w:hAnsi="Century Gothic" w:cs="Century Gothic" w:eastAsia="Century Gothic"/>
          <w:b/>
          <w:i w:val="0"/>
          <w:sz w:val="20"/>
        </w:rPr>
        <w:t>Coherencia, E6, criterios 1 y 2 / evidencias 1.2 y 2.1 / Productos 22 y 23.</w:t>
      </w:r>
      <w:r>
        <w:rPr>
          <w:rFonts w:ascii="Century Gothic" w:hAnsi="Century Gothic" w:cs="Century Gothic" w:eastAsia="Century Gothic"/>
          <w:b w:val="0"/>
          <w:i w:val="0"/>
          <w:sz w:val="20"/>
        </w:rPr>
        <w:t xml:space="preserve"> Las evidencias están cruzadas: la conciliación del patrimonio (Producto 22) cuelga del criterio 1 aunque es lo que exige el criterio 2, y el informe de exenciones y excepciones (Producto 23) cuelga del criterio 2 aunque corresponde al criterio 1; además ninguna evidencia produce la conciliación del resultado ni las notas de transición que pide el criterio 2. Intercambiar las evidencias 1.2 y 2.1 y añadir al criterio 2 la conciliación del resultado y la nota de transición.</w:t>
      </w:r>
    </w:p>
    <w:p>
      <w:pPr>
        <w:numPr>
          <w:ilvl w:val="0"/>
          <w:numId w:val="919"/>
        </w:numPr>
        <w:spacing w:before="0" w:after="160" w:line="240" w:lineRule="auto"/>
        <w:jc w:val="both"/>
      </w:pPr>
      <w:r>
        <w:rPr>
          <w:rFonts w:ascii="Century Gothic" w:hAnsi="Century Gothic" w:cs="Century Gothic" w:eastAsia="Century Gothic"/>
          <w:b/>
          <w:i w:val="0"/>
          <w:sz w:val="20"/>
        </w:rPr>
        <w:t>Coherencia, E4, criterio 2, evidencia 2.2 / Producto 16.</w:t>
      </w:r>
      <w:r>
        <w:rPr>
          <w:rFonts w:ascii="Century Gothic" w:hAnsi="Century Gothic" w:cs="Century Gothic" w:eastAsia="Century Gothic"/>
          <w:b w:val="0"/>
          <w:i w:val="0"/>
          <w:sz w:val="20"/>
        </w:rPr>
        <w:t xml:space="preserve"> La evidencia incluye el tratamiento de un arrendamiento (NIIF 16), que pertenece al criterio 1; el criterio 2 trata deterioro (NIC 36) y activos mantenidos para la venta (NIIF 5). Dejar en la evidencia 2.2 solo la NIIF 5 y operaciones discontinuadas, y llevar el arrendamiento a una evidencia del criterio 1.</w:t>
      </w:r>
    </w:p>
    <w:p>
      <w:pPr>
        <w:numPr>
          <w:ilvl w:val="0"/>
          <w:numId w:val="919"/>
        </w:numPr>
        <w:spacing w:before="0" w:after="160" w:line="240" w:lineRule="auto"/>
        <w:jc w:val="both"/>
      </w:pPr>
      <w:r>
        <w:rPr>
          <w:rFonts w:ascii="Century Gothic" w:hAnsi="Century Gothic" w:cs="Century Gothic" w:eastAsia="Century Gothic"/>
          <w:b/>
          <w:i w:val="0"/>
          <w:sz w:val="20"/>
        </w:rPr>
        <w:t>Coherencia, E2, criterio 1, evidencia 1.2 / Producto 6.</w:t>
      </w:r>
      <w:r>
        <w:rPr>
          <w:rFonts w:ascii="Century Gothic" w:hAnsi="Century Gothic" w:cs="Century Gothic" w:eastAsia="Century Gothic"/>
          <w:b w:val="0"/>
          <w:i w:val="0"/>
          <w:sz w:val="20"/>
        </w:rPr>
        <w:t xml:space="preserve"> La evidencia trata la jerarquía de fuentes alternativas ante vacíos de las NCGA, pero el producto es un informe del proceso de armonización contable con las NIIF, tema de la evidencia 1.1. Renombrar el Producto 6 como 'Informe de la jerarquía de fuentes aplicable en ausencia de norma boliviana' o ajustar la evidencia.</w:t>
      </w:r>
    </w:p>
    <w:p>
      <w:pPr>
        <w:numPr>
          <w:ilvl w:val="0"/>
          <w:numId w:val="919"/>
        </w:numPr>
        <w:spacing w:before="0" w:after="160" w:line="240" w:lineRule="auto"/>
        <w:jc w:val="both"/>
      </w:pPr>
      <w:r>
        <w:rPr>
          <w:rFonts w:ascii="Century Gothic" w:hAnsi="Century Gothic" w:cs="Century Gothic" w:eastAsia="Century Gothic"/>
          <w:b/>
          <w:i w:val="0"/>
          <w:sz w:val="20"/>
        </w:rPr>
        <w:t>Coherencia, E4, criterio 1, evidencia 1.2 / Producto 14.</w:t>
      </w:r>
      <w:r>
        <w:rPr>
          <w:rFonts w:ascii="Century Gothic" w:hAnsi="Century Gothic" w:cs="Century Gothic" w:eastAsia="Century Gothic"/>
          <w:b w:val="0"/>
          <w:i w:val="0"/>
          <w:sz w:val="20"/>
        </w:rPr>
        <w:t xml:space="preserve"> La evidencia calcula costo, depreciación y medición posterior de propiedades, planta y equipo, pero el producto abarca además inventarios y activos intangibles. Ajustar el alcance del producto a la evidencia o ampliar la evidencia.</w:t>
      </w:r>
    </w:p>
    <w:p>
      <w:pPr>
        <w:numPr>
          <w:ilvl w:val="0"/>
          <w:numId w:val="919"/>
        </w:numPr>
        <w:spacing w:before="0" w:after="160" w:line="240" w:lineRule="auto"/>
        <w:jc w:val="both"/>
      </w:pPr>
      <w:r>
        <w:rPr>
          <w:rFonts w:ascii="Century Gothic" w:hAnsi="Century Gothic" w:cs="Century Gothic" w:eastAsia="Century Gothic"/>
          <w:b/>
          <w:i w:val="0"/>
          <w:sz w:val="20"/>
        </w:rPr>
        <w:t>Contenido técnico, E4, contenidos (Tema 15).</w:t>
      </w:r>
      <w:r>
        <w:rPr>
          <w:rFonts w:ascii="Century Gothic" w:hAnsi="Century Gothic" w:cs="Century Gothic" w:eastAsia="Century Gothic"/>
          <w:b w:val="0"/>
          <w:i w:val="0"/>
          <w:sz w:val="20"/>
        </w:rPr>
        <w:t xml:space="preserve"> Se presenta 'el valor de uso' como modelo de medición posterior de las propiedades, planta y equipo; la NIC 16 solo admite el modelo del costo y el de revaluación, y el valor de uso es un concepto de la NIC 36. Retirar 'el valor de uso' de ese contenido y tratarlo en el Tema 17 (NIC 36).</w:t>
      </w:r>
    </w:p>
    <w:p>
      <w:pPr>
        <w:numPr>
          <w:ilvl w:val="0"/>
          <w:numId w:val="919"/>
        </w:numPr>
        <w:spacing w:before="0" w:after="160" w:line="240" w:lineRule="auto"/>
        <w:jc w:val="both"/>
      </w:pPr>
      <w:r>
        <w:rPr>
          <w:rFonts w:ascii="Century Gothic" w:hAnsi="Century Gothic" w:cs="Century Gothic" w:eastAsia="Century Gothic"/>
          <w:b/>
          <w:i w:val="0"/>
          <w:sz w:val="20"/>
        </w:rPr>
        <w:t>Contenido técnico, E5, criterio 1, evidencia 1.1 / Producto 17.</w:t>
      </w:r>
      <w:r>
        <w:rPr>
          <w:rFonts w:ascii="Century Gothic" w:hAnsi="Century Gothic" w:cs="Century Gothic" w:eastAsia="Century Gothic"/>
          <w:b w:val="0"/>
          <w:i w:val="0"/>
          <w:sz w:val="20"/>
        </w:rPr>
        <w:t xml:space="preserve"> La evidencia 'Registra… los pasivos contingentes' y el producto 'reconocimiento y medición de… activos y pasivos contingentes' contradicen la NIC 37, que prohíbe reconocer activos y pasivos contingentes (solo se revelan). Redactar 'Registra las provisiones y revela los activos y pasivos contingentes'.</w:t>
      </w:r>
    </w:p>
    <w:p>
      <w:pPr>
        <w:numPr>
          <w:ilvl w:val="0"/>
          <w:numId w:val="919"/>
        </w:numPr>
        <w:spacing w:before="0" w:after="160" w:line="240" w:lineRule="auto"/>
        <w:jc w:val="both"/>
      </w:pPr>
      <w:r>
        <w:rPr>
          <w:rFonts w:ascii="Century Gothic" w:hAnsi="Century Gothic" w:cs="Century Gothic" w:eastAsia="Century Gothic"/>
          <w:b/>
          <w:i w:val="0"/>
          <w:sz w:val="20"/>
        </w:rPr>
        <w:t>Contenido técnico, E3, Temas 8 y 9.</w:t>
      </w:r>
      <w:r>
        <w:rPr>
          <w:rFonts w:ascii="Century Gothic" w:hAnsi="Century Gothic" w:cs="Century Gothic" w:eastAsia="Century Gothic"/>
          <w:b w:val="0"/>
          <w:i w:val="0"/>
          <w:sz w:val="20"/>
        </w:rPr>
        <w:t xml:space="preserve"> El itinerario adopta la NIIF 18, pero mantiene la NIC 8 con su título anterior y no menciona los cambios que la NIIF 18 introduce en la NIC 7 (clasificación obligatoria de intereses y dividendos, punto de partida del método indirecto); con la NIIF 18 la NIC 8 pasa a denominarse 'Bases de Preparación de los Estados Financieros'. Actualizar el título de la NIC 8 y los contenidos de la NIC 7 conforme a las modificaciones de la NIIF 18.</w:t>
      </w:r>
    </w:p>
    <w:p>
      <w:pPr>
        <w:numPr>
          <w:ilvl w:val="0"/>
          <w:numId w:val="919"/>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La NIIF para las PYMES de 2025 se atribuye a la 'Fundación del Comité de Normas Internacionales de Contabilidad, IASCF', denominación sustituida en 2010 por Fundación IFRS; la guía para microentidades citada es de 2013, anterior a la tercera edición de 2025. Citar 'Fundación IFRS – IASB (2025). NIIF para las PYMES, tercera edición' y verificar la vigencia de la guía para microentidades.</w:t>
      </w:r>
    </w:p>
    <w:p>
      <w:pPr>
        <w:numPr>
          <w:ilvl w:val="0"/>
          <w:numId w:val="919"/>
        </w:numPr>
        <w:spacing w:before="0" w:after="160" w:line="240" w:lineRule="auto"/>
        <w:jc w:val="both"/>
      </w:pPr>
      <w:r>
        <w:rPr>
          <w:rFonts w:ascii="Century Gothic" w:hAnsi="Century Gothic" w:cs="Century Gothic" w:eastAsia="Century Gothic"/>
          <w:b/>
          <w:i w:val="0"/>
          <w:sz w:val="20"/>
        </w:rPr>
        <w:t>Contenido técnico, Bibliografía complementaria.</w:t>
      </w:r>
      <w:r>
        <w:rPr>
          <w:rFonts w:ascii="Century Gothic" w:hAnsi="Century Gothic" w:cs="Century Gothic" w:eastAsia="Century Gothic"/>
          <w:b w:val="0"/>
          <w:i w:val="0"/>
          <w:sz w:val="20"/>
        </w:rPr>
        <w:t xml:space="preserve"> Predominan ediciones de 2001 a 2014 (Fowler Newton, Alcalá, KPMG, Barrientos, Hansen Holm), anteriores a la NIIF 9, la NIIF 15, la NIIF 16 y la NIIF 18 que se enseñan. Sustituirlas por ediciones vigentes o indicar que son de consulta histórica.</w:t>
      </w:r>
    </w:p>
    <w:p>
      <w:pPr>
        <w:numPr>
          <w:ilvl w:val="0"/>
          <w:numId w:val="919"/>
        </w:numPr>
        <w:spacing w:before="0" w:after="160" w:line="240" w:lineRule="auto"/>
        <w:jc w:val="both"/>
      </w:pPr>
      <w:r>
        <w:rPr>
          <w:rFonts w:ascii="Century Gothic" w:hAnsi="Century Gothic" w:cs="Century Gothic" w:eastAsia="Century Gothic"/>
          <w:b/>
          <w:i w:val="0"/>
          <w:sz w:val="20"/>
        </w:rPr>
        <w:t>Marcas de saber, E1, Tema 1: 'Medición y gestión en la era de la información. (P)'.</w:t>
      </w:r>
      <w:r>
        <w:rPr>
          <w:rFonts w:ascii="Century Gothic" w:hAnsi="Century Gothic" w:cs="Century Gothic" w:eastAsia="Century Gothic"/>
          <w:b w:val="0"/>
          <w:i w:val="0"/>
          <w:sz w:val="20"/>
        </w:rPr>
        <w:t xml:space="preserve"> Contenido conceptual sin procedimiento; corresponde (C).</w:t>
      </w:r>
    </w:p>
    <w:p>
      <w:pPr>
        <w:numPr>
          <w:ilvl w:val="0"/>
          <w:numId w:val="919"/>
        </w:numPr>
        <w:spacing w:before="0" w:after="160" w:line="240" w:lineRule="auto"/>
        <w:jc w:val="both"/>
      </w:pPr>
      <w:r>
        <w:rPr>
          <w:rFonts w:ascii="Century Gothic" w:hAnsi="Century Gothic" w:cs="Century Gothic" w:eastAsia="Century Gothic"/>
          <w:b/>
          <w:i w:val="0"/>
          <w:sz w:val="20"/>
        </w:rPr>
        <w:t>Marcas de saber, E1, Tema 2: 'Ética profesional en la preparación de la información financiera… (P, A)'.</w:t>
      </w:r>
      <w:r>
        <w:rPr>
          <w:rFonts w:ascii="Century Gothic" w:hAnsi="Century Gothic" w:cs="Century Gothic" w:eastAsia="Century Gothic"/>
          <w:b w:val="0"/>
          <w:i w:val="0"/>
          <w:sz w:val="20"/>
        </w:rPr>
        <w:t xml:space="preserve"> Ninguna evidencia ni rúbrica del E1 observa la conducta ética; (A) sin sustento observable y (P) sin procedimiento.</w:t>
      </w:r>
    </w:p>
    <w:p>
      <w:pPr>
        <w:numPr>
          <w:ilvl w:val="0"/>
          <w:numId w:val="919"/>
        </w:numPr>
        <w:spacing w:before="0" w:after="160" w:line="240" w:lineRule="auto"/>
        <w:jc w:val="both"/>
      </w:pPr>
      <w:r>
        <w:rPr>
          <w:rFonts w:ascii="Century Gothic" w:hAnsi="Century Gothic" w:cs="Century Gothic" w:eastAsia="Century Gothic"/>
          <w:b/>
          <w:i w:val="0"/>
          <w:sz w:val="20"/>
        </w:rPr>
        <w:t>Marcas de saber, E4, Tema 15: 'Depreciación, deterioro de valor y compensación por deterioro… (C)'.</w:t>
      </w:r>
      <w:r>
        <w:rPr>
          <w:rFonts w:ascii="Century Gothic" w:hAnsi="Century Gothic" w:cs="Century Gothic" w:eastAsia="Century Gothic"/>
          <w:b w:val="0"/>
          <w:i w:val="0"/>
          <w:sz w:val="20"/>
        </w:rPr>
        <w:t xml:space="preserve"> El cálculo de la depreciación y del deterioro es procedimental; falta (P).</w:t>
      </w:r>
    </w:p>
    <w:p>
      <w:pPr>
        <w:numPr>
          <w:ilvl w:val="0"/>
          <w:numId w:val="919"/>
        </w:numPr>
        <w:spacing w:before="0" w:after="160" w:line="240" w:lineRule="auto"/>
        <w:jc w:val="both"/>
      </w:pPr>
      <w:r>
        <w:rPr>
          <w:rFonts w:ascii="Century Gothic" w:hAnsi="Century Gothic" w:cs="Century Gothic" w:eastAsia="Century Gothic"/>
          <w:b/>
          <w:i w:val="0"/>
          <w:sz w:val="20"/>
        </w:rPr>
        <w:t>Circunstanciales, E1, conocimientos circunstanciales.</w:t>
      </w:r>
      <w:r>
        <w:rPr>
          <w:rFonts w:ascii="Century Gothic" w:hAnsi="Century Gothic" w:cs="Century Gothic" w:eastAsia="Century Gothic"/>
          <w:b w:val="0"/>
          <w:i w:val="0"/>
          <w:sz w:val="20"/>
        </w:rPr>
        <w:t xml:space="preserve"> El uso del valor razonable por las entidades supervisadas por la ASFI se dicta en CPA-303 Contabilidad de Bancos y Entidades Financieras.</w:t>
      </w:r>
    </w:p>
    <w:p>
      <w:pPr>
        <w:numPr>
          <w:ilvl w:val="0"/>
          <w:numId w:val="919"/>
        </w:numPr>
        <w:spacing w:before="0" w:after="160" w:line="240" w:lineRule="auto"/>
        <w:jc w:val="both"/>
      </w:pPr>
      <w:r>
        <w:rPr>
          <w:rFonts w:ascii="Century Gothic" w:hAnsi="Century Gothic" w:cs="Century Gothic" w:eastAsia="Century Gothic"/>
          <w:b/>
          <w:i w:val="0"/>
          <w:sz w:val="20"/>
        </w:rPr>
        <w:t>Circunstanciales, E4, conocimientos circunstanciales.</w:t>
      </w:r>
      <w:r>
        <w:rPr>
          <w:rFonts w:ascii="Century Gothic" w:hAnsi="Century Gothic" w:cs="Century Gothic" w:eastAsia="Century Gothic"/>
          <w:b w:val="0"/>
          <w:i w:val="0"/>
          <w:sz w:val="20"/>
        </w:rPr>
        <w:t xml:space="preserve"> Los coeficientes de depreciación del anexo del art. 22 del DS 24051 ya se dictan en CPA-203 Contabilidad de Tributos (Tema 7), y el régimen de importación de la Ley General de Aduanas en DER-201 Derecho Tributario y Legislación Aduanera.</w:t>
      </w:r>
    </w:p>
    <w:p>
      <w:pPr>
        <w:numPr>
          <w:ilvl w:val="0"/>
          <w:numId w:val="919"/>
        </w:numPr>
        <w:spacing w:before="0" w:after="160" w:line="240" w:lineRule="auto"/>
        <w:jc w:val="both"/>
      </w:pPr>
      <w:r>
        <w:rPr>
          <w:rFonts w:ascii="Century Gothic" w:hAnsi="Century Gothic" w:cs="Century Gothic" w:eastAsia="Century Gothic"/>
          <w:b/>
          <w:i w:val="0"/>
          <w:sz w:val="20"/>
        </w:rPr>
        <w:t>Circunstanciales, E5, conocimientos circunstanciales.</w:t>
      </w:r>
      <w:r>
        <w:rPr>
          <w:rFonts w:ascii="Century Gothic" w:hAnsi="Century Gothic" w:cs="Century Gothic" w:eastAsia="Century Gothic"/>
          <w:b w:val="0"/>
          <w:i w:val="0"/>
          <w:sz w:val="20"/>
        </w:rPr>
        <w:t xml:space="preserve"> Los beneficios sociales de la Ley General del Trabajo y su reglamento se dictan en DER-102 Derecho Laboral y Seguridad Social, y la facturación en línea del SIN en CPA-203.</w:t>
      </w:r>
    </w:p>
    <w:p>
      <w:pPr>
        <w:numPr>
          <w:ilvl w:val="0"/>
          <w:numId w:val="919"/>
        </w:numPr>
        <w:spacing w:before="0" w:after="160" w:line="240" w:lineRule="auto"/>
        <w:jc w:val="both"/>
      </w:pPr>
      <w:r>
        <w:rPr>
          <w:rFonts w:ascii="Century Gothic" w:hAnsi="Century Gothic" w:cs="Century Gothic" w:eastAsia="Century Gothic"/>
          <w:b/>
          <w:i w:val="0"/>
          <w:sz w:val="20"/>
        </w:rPr>
        <w:t>Circunstanciales, E3, conocimientos circunstanciales.</w:t>
      </w:r>
      <w:r>
        <w:rPr>
          <w:rFonts w:ascii="Century Gothic" w:hAnsi="Century Gothic" w:cs="Century Gothic" w:eastAsia="Century Gothic"/>
          <w:b w:val="0"/>
          <w:i w:val="0"/>
          <w:sz w:val="20"/>
        </w:rPr>
        <w:t xml:space="preserve"> La Resolución CTNAC 03/2020 y el boletín técnico sobre la reexpresión son normas contables nucleares del tema (NIC 29 y NC 3), no conocimientos circunstanciales.</w:t>
      </w:r>
    </w:p>
    <w:p>
      <w:pPr>
        <w:numPr>
          <w:ilvl w:val="0"/>
          <w:numId w:val="919"/>
        </w:numPr>
        <w:spacing w:before="0" w:after="160" w:line="240" w:lineRule="auto"/>
        <w:jc w:val="both"/>
      </w:pPr>
      <w:r>
        <w:rPr>
          <w:rFonts w:ascii="Century Gothic" w:hAnsi="Century Gothic" w:cs="Century Gothic" w:eastAsia="Century Gothic"/>
          <w:b/>
          <w:i w:val="0"/>
          <w:sz w:val="20"/>
        </w:rPr>
        <w:t>Incoherencia interna, Actividades.</w:t>
      </w:r>
      <w:r>
        <w:rPr>
          <w:rFonts w:ascii="Century Gothic" w:hAnsi="Century Gothic" w:cs="Century Gothic" w:eastAsia="Century Gothic"/>
          <w:b w:val="0"/>
          <w:i w:val="0"/>
          <w:sz w:val="20"/>
        </w:rPr>
        <w:t xml:space="preserve"> El cuadro de actividades tiene solo cuatro columnas (Autónomas, B-Learning, Taller, Investigación/Práctica); falta la columna 'En clase' que exige la guía.</w:t>
      </w:r>
    </w:p>
    <w:p>
      <w:pPr>
        <w:numPr>
          <w:ilvl w:val="0"/>
          <w:numId w:val="919"/>
        </w:numPr>
        <w:spacing w:before="0" w:after="160" w:line="240" w:lineRule="auto"/>
        <w:jc w:val="both"/>
      </w:pPr>
      <w:r>
        <w:rPr>
          <w:rFonts w:ascii="Century Gothic" w:hAnsi="Century Gothic" w:cs="Century Gothic" w:eastAsia="Century Gothic"/>
          <w:b/>
          <w:i w:val="0"/>
          <w:sz w:val="20"/>
        </w:rPr>
        <w:t>Incoherencia interna, Datos generales, carga horaria.</w:t>
      </w:r>
      <w:r>
        <w:rPr>
          <w:rFonts w:ascii="Century Gothic" w:hAnsi="Century Gothic" w:cs="Century Gothic" w:eastAsia="Century Gothic"/>
          <w:b w:val="0"/>
          <w:i w:val="0"/>
          <w:sz w:val="20"/>
        </w:rPr>
        <w:t xml:space="preserve"> La carga horaria desglosa los nombres de las siglas ('HP / HORAS PRESENCIALES'…), contrario a la guía, y se llenaron valores (160, 40, 10, 40, 10; TOTAL 260) que contradicen las 160 h/año de la malla.</w:t>
      </w:r>
    </w:p>
    <w:p>
      <w:pPr>
        <w:numPr>
          <w:ilvl w:val="0"/>
          <w:numId w:val="919"/>
        </w:numPr>
        <w:spacing w:before="0" w:after="160" w:line="240" w:lineRule="auto"/>
        <w:jc w:val="both"/>
      </w:pPr>
      <w:r>
        <w:rPr>
          <w:rFonts w:ascii="Century Gothic" w:hAnsi="Century Gothic" w:cs="Century Gothic" w:eastAsia="Century Gothic"/>
          <w:b/>
          <w:i w:val="0"/>
          <w:sz w:val="20"/>
        </w:rPr>
        <w:t>Incoherencia interna, E4 y E5 frente a CPA-201.</w:t>
      </w:r>
      <w:r>
        <w:rPr>
          <w:rFonts w:ascii="Century Gothic" w:hAnsi="Century Gothic" w:cs="Century Gothic" w:eastAsia="Century Gothic"/>
          <w:b w:val="0"/>
          <w:i w:val="0"/>
          <w:sz w:val="20"/>
        </w:rPr>
        <w:t xml:space="preserve"> La NIIF 15 (cinco pasos), la NIIF 16 (derecho de uso), la NIC 36, la NIC 38 y las provisiones de beneficios sociales ya se evalúan en CPA-201 (Productos 20 a 24, 28, 32 y 38), por lo que se repiten entre ambas asignaturas.</w:t>
      </w:r>
    </w:p>
    <w:p>
      <w:pPr>
        <w:numPr>
          <w:ilvl w:val="0"/>
          <w:numId w:val="919"/>
        </w:numPr>
        <w:spacing w:before="0" w:after="160" w:line="240" w:lineRule="auto"/>
        <w:jc w:val="both"/>
      </w:pPr>
      <w:r>
        <w:rPr>
          <w:rFonts w:ascii="Century Gothic" w:hAnsi="Century Gothic" w:cs="Century Gothic" w:eastAsia="Century Gothic"/>
          <w:b/>
          <w:i w:val="0"/>
          <w:sz w:val="20"/>
        </w:rPr>
        <w:t>Incoherencia interna, E1, Tema 1, y E3, Tema 6.</w:t>
      </w:r>
      <w:r>
        <w:rPr>
          <w:rFonts w:ascii="Century Gothic" w:hAnsi="Century Gothic" w:cs="Century Gothic" w:eastAsia="Century Gothic"/>
          <w:b w:val="0"/>
          <w:i w:val="0"/>
          <w:sz w:val="20"/>
        </w:rPr>
        <w:t xml:space="preserve"> Ambos temas inician con el mismo contenido ('Las empresas y la contabilidad' / 'La empresa y la contabilidad').</w:t>
      </w:r>
    </w:p>
    <w:p>
      <w:pPr>
        <w:numPr>
          <w:ilvl w:val="0"/>
          <w:numId w:val="919"/>
        </w:numPr>
        <w:spacing w:before="0" w:after="200" w:line="240" w:lineRule="auto"/>
        <w:jc w:val="both"/>
      </w:pPr>
      <w:r>
        <w:rPr>
          <w:rFonts w:ascii="Century Gothic" w:hAnsi="Century Gothic" w:cs="Century Gothic" w:eastAsia="Century Gothic"/>
          <w:b/>
          <w:i w:val="0"/>
          <w:sz w:val="20"/>
        </w:rPr>
        <w:t>Incoherencia interna, Estrategias de evaluación, sumativa.</w:t>
      </w:r>
      <w:r>
        <w:rPr>
          <w:rFonts w:ascii="Century Gothic" w:hAnsi="Century Gothic" w:cs="Century Gothic" w:eastAsia="Century Gothic"/>
          <w:b w:val="0"/>
          <w:i w:val="0"/>
          <w:sz w:val="20"/>
        </w:rPr>
        <w:t xml:space="preserve"> Incluye 'asistencia' como componente sumativo, mientras los criterios de calificación asignan el 100 % a los productos.</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de la subcomisión solo registra 'Sin cambios significativos; ajustes menores de redacción y actualización de temas', sin detallar qué se cambió ni justificar la carga horaria llenada (260 horas), la incorporación de la NIIF 18 ni las resoluciones CTNAC de 2024 a 2026 citadas. No explica cambios de nombre (no los hay). Es coherente con el informe de CPA-201, que traslada a CPA-301 las NIIF completas y la NIIF 16.</w:t>
      </w:r>
    </w:p>
    <w:p>
      <w:pPr>
        <w:spacing w:before="0" w:after="200" w:line="240" w:lineRule="auto"/>
        <w:jc w:val="both"/>
      </w:pPr>
      <w:r>
        <w:rPr>
          <w:rFonts w:ascii="Century Gothic" w:hAnsi="Century Gothic" w:cs="Century Gothic" w:eastAsia="Century Gothic"/>
          <w:b w:val="0"/>
          <w:i w:val="0"/>
          <w:sz w:val="20"/>
        </w:rPr>
        <w:t>Se aplicaron 5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7.18</w:t>
        <w:tab/>
      </w:r>
      <w:r>
        <w:rPr>
          <w:rFonts w:ascii="Century Gothic" w:hAnsi="Century Gothic" w:cs="Century Gothic" w:eastAsia="Century Gothic"/>
          <w:b/>
          <w:i w:val="0"/>
          <w:sz w:val="22"/>
        </w:rPr>
        <w:t>CPA-302 Contabilidad de Costos y Gestión</w:t>
      </w:r>
    </w:p>
    <w:p>
      <w:pPr>
        <w:spacing w:before="0" w:after="200" w:line="240" w:lineRule="auto"/>
        <w:jc w:val="both"/>
      </w:pPr>
      <w:r>
        <w:rPr>
          <w:rFonts w:ascii="Century Gothic" w:hAnsi="Century Gothic" w:cs="Century Gothic" w:eastAsia="Century Gothic"/>
          <w:b w:val="0"/>
          <w:i w:val="0"/>
          <w:sz w:val="20"/>
        </w:rPr>
        <w:t xml:space="preserve">Archivo: CPA-302_Contabilidad_de_Costos_y_Gestion_final_costeo_variable.docx. Cumple 17 de 23 controles, 4 de forma parcial y no cumple 2.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sólido y bien encadenado en lo técnico, con rúbricas específicas, buen uso de hoja de cálculo e incorporación pertinente de economía circular, inflación y tipo de cambio. Lo debilitan la unidad que promete diseñar un sistema no evaluado, evidencias sin modalidad, varias marcas (C) en contenidos de cálculo, errores sobre la Gestora y la Ley 843, numerosos errores ortográficos en los conocimientos circunstanciales y la repetición del presupuesto maestro con CPA-405.</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30, 36, 20, 24, 270)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de 14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20"/>
        </w:numPr>
        <w:spacing w:before="0" w:after="160" w:line="240" w:lineRule="auto"/>
        <w:jc w:val="both"/>
      </w:pPr>
      <w:r>
        <w:rPr>
          <w:rFonts w:ascii="Century Gothic" w:hAnsi="Century Gothic" w:cs="Century Gothic" w:eastAsia="Century Gothic"/>
          <w:b/>
          <w:i w:val="0"/>
          <w:sz w:val="20"/>
        </w:rPr>
        <w:t>Coherencia, Unidad de competencia ↔ elementos.</w:t>
      </w:r>
      <w:r>
        <w:rPr>
          <w:rFonts w:ascii="Century Gothic" w:hAnsi="Century Gothic" w:cs="Century Gothic" w:eastAsia="Century Gothic"/>
          <w:b w:val="0"/>
          <w:i w:val="0"/>
          <w:sz w:val="20"/>
        </w:rPr>
        <w:t xml:space="preserve"> La unidad inicia con 'Diseña e implementa el sistema integral de costos', pero ningún elemento, criterio ni producto pide diseñar o implementar un sistema; los elementos clasifican, aplican y elaboran el presupuesto. Ajustar el verbo de la unidad a lo que se evalúa (aplica y elabora) o añadir un producto de diseño del sistema de costos.</w:t>
      </w:r>
    </w:p>
    <w:p>
      <w:pPr>
        <w:numPr>
          <w:ilvl w:val="0"/>
          <w:numId w:val="920"/>
        </w:numPr>
        <w:spacing w:before="0" w:after="160" w:line="240" w:lineRule="auto"/>
        <w:jc w:val="both"/>
      </w:pPr>
      <w:r>
        <w:rPr>
          <w:rFonts w:ascii="Century Gothic" w:hAnsi="Century Gothic" w:cs="Century Gothic" w:eastAsia="Century Gothic"/>
          <w:b/>
          <w:i w:val="0"/>
          <w:sz w:val="20"/>
        </w:rPr>
        <w:t>Coherencia, Evidencias de desempeño de los cuatro elementos / Productos 8, 12 y 16.</w:t>
      </w:r>
      <w:r>
        <w:rPr>
          <w:rFonts w:ascii="Century Gothic" w:hAnsi="Century Gothic" w:cs="Century Gothic" w:eastAsia="Century Gothic"/>
          <w:b w:val="0"/>
          <w:i w:val="0"/>
          <w:sz w:val="20"/>
        </w:rPr>
        <w:t xml:space="preserve"> Ninguna evidencia indica la modalidad (en aula, en equipo, ante el curso); sin embargo, las rúbricas de los Productos 8 y 16 evalúan 'Trabajo en equipo' y la del Producto 12 'Sustentación oral'. Añadir la modalidad a cada evidencia, en particular 'en equipo' en 2.2 del E2 y 2.2 del E4, y 'ante el curso' en 2.2 del E3.</w:t>
      </w:r>
    </w:p>
    <w:p>
      <w:pPr>
        <w:numPr>
          <w:ilvl w:val="0"/>
          <w:numId w:val="920"/>
        </w:numPr>
        <w:spacing w:before="0" w:after="160" w:line="240" w:lineRule="auto"/>
        <w:jc w:val="both"/>
      </w:pPr>
      <w:r>
        <w:rPr>
          <w:rFonts w:ascii="Century Gothic" w:hAnsi="Century Gothic" w:cs="Century Gothic" w:eastAsia="Century Gothic"/>
          <w:b/>
          <w:i w:val="0"/>
          <w:sz w:val="20"/>
        </w:rPr>
        <w:t>Coherencia, E4, contenidos (Tema 9, Costos estimados).</w:t>
      </w:r>
      <w:r>
        <w:rPr>
          <w:rFonts w:ascii="Century Gothic" w:hAnsi="Century Gothic" w:cs="Century Gothic" w:eastAsia="Century Gothic"/>
          <w:b w:val="0"/>
          <w:i w:val="0"/>
          <w:sz w:val="20"/>
        </w:rPr>
        <w:t xml:space="preserve"> Los costos estimados y el coeficiente rectificador se desarrollan como tema completo, pero ni el enunciado del E4 ni sus criterios ni productos los evalúan. Integrar los costos estimados en el criterio 1 o tratarlos como antecedente del costeo estándar.</w:t>
      </w:r>
    </w:p>
    <w:p>
      <w:pPr>
        <w:numPr>
          <w:ilvl w:val="0"/>
          <w:numId w:val="920"/>
        </w:numPr>
        <w:spacing w:before="0" w:after="160" w:line="240" w:lineRule="auto"/>
        <w:jc w:val="both"/>
      </w:pPr>
      <w:r>
        <w:rPr>
          <w:rFonts w:ascii="Century Gothic" w:hAnsi="Century Gothic" w:cs="Century Gothic" w:eastAsia="Century Gothic"/>
          <w:b/>
          <w:i w:val="0"/>
          <w:sz w:val="20"/>
        </w:rPr>
        <w:t>Coherencia, E4, enunciado frente a criterio 2.</w:t>
      </w:r>
      <w:r>
        <w:rPr>
          <w:rFonts w:ascii="Century Gothic" w:hAnsi="Century Gothic" w:cs="Century Gothic" w:eastAsia="Century Gothic"/>
          <w:b w:val="0"/>
          <w:i w:val="0"/>
          <w:sz w:val="20"/>
        </w:rPr>
        <w:t xml:space="preserve"> El enunciado no menciona el costeo variable, que el criterio 2 y el Producto 15 sí exigen. Incorporar el costeo variable al enunciado del E4.</w:t>
      </w:r>
    </w:p>
    <w:p>
      <w:pPr>
        <w:numPr>
          <w:ilvl w:val="0"/>
          <w:numId w:val="920"/>
        </w:numPr>
        <w:spacing w:before="0" w:after="160" w:line="240" w:lineRule="auto"/>
        <w:jc w:val="both"/>
      </w:pPr>
      <w:r>
        <w:rPr>
          <w:rFonts w:ascii="Century Gothic" w:hAnsi="Century Gothic" w:cs="Century Gothic" w:eastAsia="Century Gothic"/>
          <w:b/>
          <w:i w:val="0"/>
          <w:sz w:val="20"/>
        </w:rPr>
        <w:t>Contenido técnico, E1, conocimientos circunstanciales.</w:t>
      </w:r>
      <w:r>
        <w:rPr>
          <w:rFonts w:ascii="Century Gothic" w:hAnsi="Century Gothic" w:cs="Century Gothic" w:eastAsia="Century Gothic"/>
          <w:b w:val="0"/>
          <w:i w:val="0"/>
          <w:sz w:val="20"/>
        </w:rPr>
        <w:t xml:space="preserve"> Se atribuyen a la 'gestora publica de la seguridad social de Corto y Largo Plazo' los aportes de corto plazo; la Gestora Pública administra solo el largo plazo (pensiones), y el corto plazo corresponde a las cajas de salud. Separar los aportes a la Gestora Pública de la Seguridad Social de Largo Plazo y a las cajas de salud.</w:t>
      </w:r>
    </w:p>
    <w:p>
      <w:pPr>
        <w:numPr>
          <w:ilvl w:val="0"/>
          <w:numId w:val="920"/>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Se cita 'Código Tributario de Bolivia, Ley N° 843'; la Ley 843 es la Ley de Reforma Tributaria y el Código Tributario es la Ley 2492 (citada a continuación). Escribir 'Ley N° 843 de Reforma Tributaria (texto ordenado vigente) y sus reglamentos'.</w:t>
      </w:r>
    </w:p>
    <w:p>
      <w:pPr>
        <w:numPr>
          <w:ilvl w:val="0"/>
          <w:numId w:val="920"/>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La NIIF para las PYMES se cita en su edición de 2015 y atribuida a la 'IASCF', denominación sustituida por Fundación IFRS; existe la tercera edición de 2025. Citar 'Fundación IFRS – IASB (2025). NIIF para las PYMES, tercera edición'.</w:t>
      </w:r>
    </w:p>
    <w:p>
      <w:pPr>
        <w:numPr>
          <w:ilvl w:val="0"/>
          <w:numId w:val="920"/>
        </w:numPr>
        <w:spacing w:before="0" w:after="160" w:line="240" w:lineRule="auto"/>
        <w:jc w:val="both"/>
      </w:pPr>
      <w:r>
        <w:rPr>
          <w:rFonts w:ascii="Century Gothic" w:hAnsi="Century Gothic" w:cs="Century Gothic" w:eastAsia="Century Gothic"/>
          <w:b/>
          <w:i w:val="0"/>
          <w:sz w:val="20"/>
        </w:rPr>
        <w:t>Contenido técnico, E4, contenidos (Tema 13).</w:t>
      </w:r>
      <w:r>
        <w:rPr>
          <w:rFonts w:ascii="Century Gothic" w:hAnsi="Century Gothic" w:cs="Century Gothic" w:eastAsia="Century Gothic"/>
          <w:b w:val="0"/>
          <w:i w:val="0"/>
          <w:sz w:val="20"/>
        </w:rPr>
        <w:t xml:space="preserve"> 'Asignación de costos indirectos con tasas generales y percutores': 'percutores' no es un término de costos; probablemente se quiso decir 'inductores'. Corregir el término.</w:t>
      </w:r>
    </w:p>
    <w:p>
      <w:pPr>
        <w:numPr>
          <w:ilvl w:val="0"/>
          <w:numId w:val="920"/>
        </w:numPr>
        <w:spacing w:before="0" w:after="160" w:line="240" w:lineRule="auto"/>
        <w:jc w:val="both"/>
      </w:pPr>
      <w:r>
        <w:rPr>
          <w:rFonts w:ascii="Century Gothic" w:hAnsi="Century Gothic" w:cs="Century Gothic" w:eastAsia="Century Gothic"/>
          <w:b/>
          <w:i w:val="0"/>
          <w:sz w:val="20"/>
        </w:rPr>
        <w:t>Contenido técnico, Bibliografía complementaria.</w:t>
      </w:r>
      <w:r>
        <w:rPr>
          <w:rFonts w:ascii="Century Gothic" w:hAnsi="Century Gothic" w:cs="Century Gothic" w:eastAsia="Century Gothic"/>
          <w:b w:val="0"/>
          <w:i w:val="0"/>
          <w:sz w:val="20"/>
        </w:rPr>
        <w:t xml:space="preserve"> Varias obras centrales están en ediciones antiguas (Polimeni 2003, Barfield 2005, Horngren 12.ª ed. de 2007, Hansen y Mowen 2007). Actualizar a las ediciones vigentes.</w:t>
      </w:r>
    </w:p>
    <w:p>
      <w:pPr>
        <w:numPr>
          <w:ilvl w:val="0"/>
          <w:numId w:val="920"/>
        </w:numPr>
        <w:spacing w:before="0" w:after="160" w:line="240" w:lineRule="auto"/>
        <w:jc w:val="both"/>
      </w:pPr>
      <w:r>
        <w:rPr>
          <w:rFonts w:ascii="Century Gothic" w:hAnsi="Century Gothic" w:cs="Century Gothic" w:eastAsia="Century Gothic"/>
          <w:b/>
          <w:i w:val="0"/>
          <w:sz w:val="20"/>
        </w:rPr>
        <w:t>Marcas de saber, E1, Tema 5: 'Tasa o cuota, acumulación y distribución primaria y secundaria de los costos indirectos. (C)'.</w:t>
      </w:r>
      <w:r>
        <w:rPr>
          <w:rFonts w:ascii="Century Gothic" w:hAnsi="Century Gothic" w:cs="Century Gothic" w:eastAsia="Century Gothic"/>
          <w:b w:val="0"/>
          <w:i w:val="0"/>
          <w:sz w:val="20"/>
        </w:rPr>
        <w:t xml:space="preserve"> Es un procedimiento de cálculo (Producto 4); corresponde (C, P).</w:t>
      </w:r>
    </w:p>
    <w:p>
      <w:pPr>
        <w:numPr>
          <w:ilvl w:val="0"/>
          <w:numId w:val="920"/>
        </w:numPr>
        <w:spacing w:before="0" w:after="160" w:line="240" w:lineRule="auto"/>
        <w:jc w:val="both"/>
      </w:pPr>
      <w:r>
        <w:rPr>
          <w:rFonts w:ascii="Century Gothic" w:hAnsi="Century Gothic" w:cs="Century Gothic" w:eastAsia="Century Gothic"/>
          <w:b/>
          <w:i w:val="0"/>
          <w:sz w:val="20"/>
        </w:rPr>
        <w:t>Marcas de saber, E3, Temas 7 y 8: 'Costos de producción por el método promedio ponderado y por el método PEPS… (C)' y 'Contabilización de los productos o servicios conjuntos… (C)'.</w:t>
      </w:r>
      <w:r>
        <w:rPr>
          <w:rFonts w:ascii="Century Gothic" w:hAnsi="Century Gothic" w:cs="Century Gothic" w:eastAsia="Century Gothic"/>
          <w:b w:val="0"/>
          <w:i w:val="0"/>
          <w:sz w:val="20"/>
        </w:rPr>
        <w:t xml:space="preserve"> Calcular y contabilizar son procedimentales; marcados solo (C).</w:t>
      </w:r>
    </w:p>
    <w:p>
      <w:pPr>
        <w:numPr>
          <w:ilvl w:val="0"/>
          <w:numId w:val="920"/>
        </w:numPr>
        <w:spacing w:before="0" w:after="160" w:line="240" w:lineRule="auto"/>
        <w:jc w:val="both"/>
      </w:pPr>
      <w:r>
        <w:rPr>
          <w:rFonts w:ascii="Century Gothic" w:hAnsi="Century Gothic" w:cs="Century Gothic" w:eastAsia="Century Gothic"/>
          <w:b/>
          <w:i w:val="0"/>
          <w:sz w:val="20"/>
        </w:rPr>
        <w:t>Marcas de saber, E4, Temas 12 y 14: 'Mezcla de productos… análisis de costo-volumen-utilidad con impuesto… (C)' y 'Presupuesto empresarial… confección del presupuesto… (C)'.</w:t>
      </w:r>
      <w:r>
        <w:rPr>
          <w:rFonts w:ascii="Century Gothic" w:hAnsi="Century Gothic" w:cs="Century Gothic" w:eastAsia="Century Gothic"/>
          <w:b w:val="0"/>
          <w:i w:val="0"/>
          <w:sz w:val="20"/>
        </w:rPr>
        <w:t xml:space="preserve"> Son contenidos de cálculo y elaboración; falta (P).</w:t>
      </w:r>
    </w:p>
    <w:p>
      <w:pPr>
        <w:numPr>
          <w:ilvl w:val="0"/>
          <w:numId w:val="920"/>
        </w:numPr>
        <w:spacing w:before="0" w:after="160" w:line="240" w:lineRule="auto"/>
        <w:jc w:val="both"/>
      </w:pPr>
      <w:r>
        <w:rPr>
          <w:rFonts w:ascii="Century Gothic" w:hAnsi="Century Gothic" w:cs="Century Gothic" w:eastAsia="Century Gothic"/>
          <w:b/>
          <w:i w:val="0"/>
          <w:sz w:val="20"/>
        </w:rPr>
        <w:t>Marcas de saber, E1, Tema 1: 'Ética profesional en la información de costos… (C, A)' y 'Función del administrador de costos… normas del comportamiento ético. (C, A)'.</w:t>
      </w:r>
      <w:r>
        <w:rPr>
          <w:rFonts w:ascii="Century Gothic" w:hAnsi="Century Gothic" w:cs="Century Gothic" w:eastAsia="Century Gothic"/>
          <w:b w:val="0"/>
          <w:i w:val="0"/>
          <w:sz w:val="20"/>
        </w:rPr>
        <w:t xml:space="preserve"> Ninguna evidencia ni rúbrica observa la conducta ética, por lo que (A) no tiene sustento observable.</w:t>
      </w:r>
    </w:p>
    <w:p>
      <w:pPr>
        <w:numPr>
          <w:ilvl w:val="0"/>
          <w:numId w:val="920"/>
        </w:numPr>
        <w:spacing w:before="0" w:after="160" w:line="240" w:lineRule="auto"/>
        <w:jc w:val="both"/>
      </w:pPr>
      <w:r>
        <w:rPr>
          <w:rFonts w:ascii="Century Gothic" w:hAnsi="Century Gothic" w:cs="Century Gothic" w:eastAsia="Century Gothic"/>
          <w:b/>
          <w:i w:val="0"/>
          <w:sz w:val="20"/>
        </w:rPr>
        <w:t>Circunstanciales, E1, conocimientos circunstanciales.</w:t>
      </w:r>
      <w:r>
        <w:rPr>
          <w:rFonts w:ascii="Century Gothic" w:hAnsi="Century Gothic" w:cs="Century Gothic" w:eastAsia="Century Gothic"/>
          <w:b w:val="0"/>
          <w:i w:val="0"/>
          <w:sz w:val="20"/>
        </w:rPr>
        <w:t xml:space="preserve"> La deducibilidad de costos y gastos en el IUE conforme al DS 24051 se dicta en CPA-203 Contabilidad de Tributos (Tema 7, gastos deducibles y no deducibles), y la planilla con aportes patronales en CPA-201 (E7).</w:t>
      </w:r>
    </w:p>
    <w:p>
      <w:pPr>
        <w:numPr>
          <w:ilvl w:val="0"/>
          <w:numId w:val="920"/>
        </w:numPr>
        <w:spacing w:before="0" w:after="160" w:line="240" w:lineRule="auto"/>
        <w:jc w:val="both"/>
      </w:pPr>
      <w:r>
        <w:rPr>
          <w:rFonts w:ascii="Century Gothic" w:hAnsi="Century Gothic" w:cs="Century Gothic" w:eastAsia="Century Gothic"/>
          <w:b/>
          <w:i w:val="0"/>
          <w:sz w:val="20"/>
        </w:rPr>
        <w:t>Circunstanciales, E4, conocimientos circunstanciales.</w:t>
      </w:r>
      <w:r>
        <w:rPr>
          <w:rFonts w:ascii="Century Gothic" w:hAnsi="Century Gothic" w:cs="Century Gothic" w:eastAsia="Century Gothic"/>
          <w:b w:val="0"/>
          <w:i w:val="0"/>
          <w:sz w:val="20"/>
        </w:rPr>
        <w:t xml:space="preserve"> La alícuota del 25 % del IUE se dicta en CPA-203 Contabilidad de Tributos.</w:t>
      </w:r>
    </w:p>
    <w:p>
      <w:pPr>
        <w:numPr>
          <w:ilvl w:val="0"/>
          <w:numId w:val="920"/>
        </w:numPr>
        <w:spacing w:before="0" w:after="160" w:line="240" w:lineRule="auto"/>
        <w:jc w:val="both"/>
      </w:pPr>
      <w:r>
        <w:rPr>
          <w:rFonts w:ascii="Century Gothic" w:hAnsi="Century Gothic" w:cs="Century Gothic" w:eastAsia="Century Gothic"/>
          <w:b/>
          <w:i w:val="0"/>
          <w:sz w:val="20"/>
        </w:rPr>
        <w:t>Circunstanciales, E2 y E3, conocimientos circunstanciales.</w:t>
      </w:r>
      <w:r>
        <w:rPr>
          <w:rFonts w:ascii="Century Gothic" w:hAnsi="Century Gothic" w:cs="Century Gothic" w:eastAsia="Century Gothic"/>
          <w:b w:val="0"/>
          <w:i w:val="0"/>
          <w:sz w:val="20"/>
        </w:rPr>
        <w:t xml:space="preserve"> 'Sistemas de costos por órdenes de trabajo y por procesos aplicados por empresas…' y 'Medición del costo de los inventarios y asignación de los costos indirectos… conforme a estándares nacionales y internacionales' son contenidos propios de la asignatura (y la NIC 2 se dicta en CPA-301), no conocimientos circunstanciales.</w:t>
      </w:r>
    </w:p>
    <w:p>
      <w:pPr>
        <w:numPr>
          <w:ilvl w:val="0"/>
          <w:numId w:val="920"/>
        </w:numPr>
        <w:spacing w:before="0" w:after="160" w:line="240" w:lineRule="auto"/>
        <w:jc w:val="both"/>
      </w:pPr>
      <w:r>
        <w:rPr>
          <w:rFonts w:ascii="Century Gothic" w:hAnsi="Century Gothic" w:cs="Century Gothic" w:eastAsia="Century Gothic"/>
          <w:b/>
          <w:i w:val="0"/>
          <w:sz w:val="20"/>
        </w:rPr>
        <w:t>Incoherencia interna, Datos generales, carga horaria.</w:t>
      </w:r>
      <w:r>
        <w:rPr>
          <w:rFonts w:ascii="Century Gothic" w:hAnsi="Century Gothic" w:cs="Century Gothic" w:eastAsia="Century Gothic"/>
          <w:b w:val="0"/>
          <w:i w:val="0"/>
          <w:sz w:val="20"/>
        </w:rPr>
        <w:t xml:space="preserve"> Se llenaron las horas (160, 30, 36, 20, 24; TOTAL 270) aunque la guía pide dejarlas en blanco; el total contradice las 160 h/año de la malla.</w:t>
      </w:r>
    </w:p>
    <w:p>
      <w:pPr>
        <w:numPr>
          <w:ilvl w:val="0"/>
          <w:numId w:val="920"/>
        </w:numPr>
        <w:spacing w:before="0" w:after="160" w:line="240" w:lineRule="auto"/>
        <w:jc w:val="both"/>
      </w:pPr>
      <w:r>
        <w:rPr>
          <w:rFonts w:ascii="Century Gothic" w:hAnsi="Century Gothic" w:cs="Century Gothic" w:eastAsia="Century Gothic"/>
          <w:b/>
          <w:i w:val="0"/>
          <w:sz w:val="20"/>
        </w:rPr>
        <w:t>Incoherencia interna, E4, Tema 14 (Presupuesto maestro, presupuesto de capital y de efectivo).</w:t>
      </w:r>
      <w:r>
        <w:rPr>
          <w:rFonts w:ascii="Century Gothic" w:hAnsi="Century Gothic" w:cs="Century Gothic" w:eastAsia="Century Gothic"/>
          <w:b w:val="0"/>
          <w:i w:val="0"/>
          <w:sz w:val="20"/>
        </w:rPr>
        <w:t xml:space="preserve"> El presupuesto maestro y el presupuesto de capital se repiten en CPA-405 Finanzas Corporativas, que también evalúa un presupuesto maestro (Producto 7).</w:t>
      </w:r>
    </w:p>
    <w:p>
      <w:pPr>
        <w:numPr>
          <w:ilvl w:val="0"/>
          <w:numId w:val="920"/>
        </w:numPr>
        <w:spacing w:before="0" w:after="160" w:line="240" w:lineRule="auto"/>
        <w:jc w:val="both"/>
      </w:pPr>
      <w:r>
        <w:rPr>
          <w:rFonts w:ascii="Century Gothic" w:hAnsi="Century Gothic" w:cs="Century Gothic" w:eastAsia="Century Gothic"/>
          <w:b/>
          <w:i w:val="0"/>
          <w:sz w:val="20"/>
        </w:rPr>
        <w:t>Incoherencia interna, E1, Tema 2.</w:t>
      </w:r>
      <w:r>
        <w:rPr>
          <w:rFonts w:ascii="Century Gothic" w:hAnsi="Century Gothic" w:cs="Century Gothic" w:eastAsia="Century Gothic"/>
          <w:b w:val="0"/>
          <w:i w:val="0"/>
          <w:sz w:val="20"/>
        </w:rPr>
        <w:t xml:space="preserve"> Las diferencias entre la contabilidad financiera y la administrativa repiten CPA-101 (E1, criterio 1, Producto 2).</w:t>
      </w:r>
    </w:p>
    <w:p>
      <w:pPr>
        <w:numPr>
          <w:ilvl w:val="0"/>
          <w:numId w:val="920"/>
        </w:numPr>
        <w:spacing w:before="0" w:after="160" w:line="240" w:lineRule="auto"/>
        <w:jc w:val="both"/>
      </w:pPr>
      <w:r>
        <w:rPr>
          <w:rFonts w:ascii="Century Gothic" w:hAnsi="Century Gothic" w:cs="Century Gothic" w:eastAsia="Century Gothic"/>
          <w:b/>
          <w:i w:val="0"/>
          <w:sz w:val="20"/>
        </w:rPr>
        <w:t>Incoherencia interna, Unidad de competencia.</w:t>
      </w:r>
      <w:r>
        <w:rPr>
          <w:rFonts w:ascii="Century Gothic" w:hAnsi="Century Gothic" w:cs="Century Gothic" w:eastAsia="Century Gothic"/>
          <w:b w:val="0"/>
          <w:i w:val="0"/>
          <w:sz w:val="20"/>
        </w:rPr>
        <w:t xml:space="preserve"> La unidad aparece entre comillas, como cita, a diferencia de las demás asignaturas.</w:t>
      </w:r>
    </w:p>
    <w:p>
      <w:pPr>
        <w:numPr>
          <w:ilvl w:val="0"/>
          <w:numId w:val="920"/>
        </w:numPr>
        <w:spacing w:before="0" w:after="200" w:line="240" w:lineRule="auto"/>
        <w:jc w:val="both"/>
      </w:pPr>
      <w:r>
        <w:rPr>
          <w:rFonts w:ascii="Century Gothic" w:hAnsi="Century Gothic" w:cs="Century Gothic" w:eastAsia="Century Gothic"/>
          <w:b/>
          <w:i w:val="0"/>
          <w:sz w:val="20"/>
        </w:rPr>
        <w:t>Incoherencia interna, Estrategias de evaluación, sumativa.</w:t>
      </w:r>
      <w:r>
        <w:rPr>
          <w:rFonts w:ascii="Century Gothic" w:hAnsi="Century Gothic" w:cs="Century Gothic" w:eastAsia="Century Gothic"/>
          <w:b w:val="0"/>
          <w:i w:val="0"/>
          <w:sz w:val="20"/>
        </w:rPr>
        <w:t xml:space="preserve"> Incluye 'asistencia' como componente sumativo, mientras los criterios de calificación asignan el 100 % a los productos.</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explica y el itinerario refleja: la nueva unidad de competencia ('Diseña e implementa…', que introduce la expresión prohibida 'mediante'), el paso de 3 a 4 elementos, los 16 productos con sus nuevos pesos, el Tema 8 de costos conjuntos, el reordenamiento de los Temas 9 a 14, el contenido de ABC en el Tema 5 y los nuevos conocimientos circunstanciales. No hay cambio de nombre de la asignatura. Discrepancias: el informe justifica la carga horaria llenada ('HP = 160; HAA = 30; HTG = 36; HIP = 20; HE = 24; TOTAL = 270') diciendo que la guía exige desglosarla, cuando la guía pide dejarla en blanco; afirma que los nuevos conocimientos circunstanciales 'no cubren Legislación Laboral ni Contabilidad Tributaria', aunque la deducibilidad del IUE se dicta en CPA-203; y repite el error 'Código Tributario Ley N° 843'.</w:t>
      </w:r>
    </w:p>
    <w:p>
      <w:pPr>
        <w:spacing w:before="0" w:after="200" w:line="240" w:lineRule="auto"/>
        <w:jc w:val="both"/>
      </w:pPr>
      <w:r>
        <w:rPr>
          <w:rFonts w:ascii="Century Gothic" w:hAnsi="Century Gothic" w:cs="Century Gothic" w:eastAsia="Century Gothic"/>
          <w:b w:val="0"/>
          <w:i w:val="0"/>
          <w:sz w:val="20"/>
        </w:rPr>
        <w:t>Se aplicaron 11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7.19</w:t>
        <w:tab/>
      </w:r>
      <w:r>
        <w:rPr>
          <w:rFonts w:ascii="Century Gothic" w:hAnsi="Century Gothic" w:cs="Century Gothic" w:eastAsia="Century Gothic"/>
          <w:b/>
          <w:i w:val="0"/>
          <w:sz w:val="22"/>
        </w:rPr>
        <w:t>CPA-303 Contabilidad de Bancos y Entidades Financieras</w:t>
      </w:r>
    </w:p>
    <w:p>
      <w:pPr>
        <w:spacing w:before="0" w:after="200" w:line="240" w:lineRule="auto"/>
        <w:jc w:val="both"/>
      </w:pPr>
      <w:r>
        <w:rPr>
          <w:rFonts w:ascii="Century Gothic" w:hAnsi="Century Gothic" w:cs="Century Gothic" w:eastAsia="Century Gothic"/>
          <w:b w:val="0"/>
          <w:i w:val="0"/>
          <w:sz w:val="20"/>
        </w:rPr>
        <w:t xml:space="preserve">Archivo: CPA-303 - Contabilidad de Bancos y Entidades Financieras.docx. Cumple 13 de 23 controles, 5 de forma parcial y no cumple 5. Estado: </w:t>
      </w:r>
      <w:r>
        <w:rPr>
          <w:rFonts w:ascii="Century Gothic" w:hAnsi="Century Gothic" w:cs="Century Gothic" w:eastAsia="Century Gothic"/>
          <w:b/>
          <w:i w:val="0"/>
          <w:sz w:val="20"/>
        </w:rPr>
        <w:t>requiere reformulación parcial</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técnicamente sólido en las operaciones bancarias de los Elementos 1 a 3, con rúbricas propias de cada producto y pesos coherentes. Los problemas se concentran en el Elemento 4, cuya matriz está incompleta y cuyos productos no coinciden con sus rúbricas, en títulos de tema que no corresponden a sus contenidos y en una terminología de entidades auxiliares previa a la Ley 393.</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16, 32, 16, 16,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procesos en gerundio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de desempeño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E4: 4 evidencias, sin numeración completa (numeración 1.2, 2.2)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de producto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E4: 2 productos; numeración de productos no correlativa: 1, 2, 3, 4, 5, 6, 7, 8, 9, 10, 11, 12, 14, 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 de 113 contenidos sin marca C, P, A o T; 2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Rúbricas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rúbricas para 14 productos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 en color rojo (4 fragmentos)</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21"/>
        </w:numPr>
        <w:spacing w:before="0" w:after="160" w:line="240" w:lineRule="auto"/>
        <w:jc w:val="both"/>
      </w:pPr>
      <w:r>
        <w:rPr>
          <w:rFonts w:ascii="Century Gothic" w:hAnsi="Century Gothic" w:cs="Century Gothic" w:eastAsia="Century Gothic"/>
          <w:b/>
          <w:i w:val="0"/>
          <w:sz w:val="20"/>
        </w:rPr>
        <w:t>Coherencia, E4, criterio 2, evidencia 2.2 / Producto 16.</w:t>
      </w:r>
      <w:r>
        <w:rPr>
          <w:rFonts w:ascii="Century Gothic" w:hAnsi="Century Gothic" w:cs="Century Gothic" w:eastAsia="Century Gothic"/>
          <w:b w:val="0"/>
          <w:i w:val="0"/>
          <w:sz w:val="20"/>
        </w:rPr>
        <w:t xml:space="preserve"> El criterio 2 trata de las entidades de leasing y las entidades auxiliares, pero la evidencia 2.2 y el Producto 16 piden calcular indicadores de solvencia, liquidez y calidad de cartera y un diagnóstico financiero de un banco; ningún contenido del Elemento 4 sustenta esos indicadores. Sustituir la evidencia 2.2 por el caso de leasing (que hoy está en 1.2) o, si se mantiene el diagnóstico, añadir contenidos de indicadores financieros y reubicarlo en un criterio que lo exija.</w:t>
      </w:r>
    </w:p>
    <w:p>
      <w:pPr>
        <w:numPr>
          <w:ilvl w:val="0"/>
          <w:numId w:val="921"/>
        </w:numPr>
        <w:spacing w:before="0" w:after="160" w:line="240" w:lineRule="auto"/>
        <w:jc w:val="both"/>
      </w:pPr>
      <w:r>
        <w:rPr>
          <w:rFonts w:ascii="Century Gothic" w:hAnsi="Century Gothic" w:cs="Century Gothic" w:eastAsia="Century Gothic"/>
          <w:b/>
          <w:i w:val="0"/>
          <w:sz w:val="20"/>
        </w:rPr>
        <w:t>Coherencia, E4, criterio 1, evidencia 1.2 / Producto 14.</w:t>
      </w:r>
      <w:r>
        <w:rPr>
          <w:rFonts w:ascii="Century Gothic" w:hAnsi="Century Gothic" w:cs="Century Gothic" w:eastAsia="Century Gothic"/>
          <w:b w:val="0"/>
          <w:i w:val="0"/>
          <w:sz w:val="20"/>
        </w:rPr>
        <w:t xml:space="preserve"> El criterio 1 es del mercado de valores, pero la evidencia 1.2 incluye además el registro de un contrato de leasing frente al crédito bancario según la NIIF 16, que corresponde al criterio 2. Limitar la evidencia 1.2 a agentes de bolsa y SAFI y llevar el leasing al criterio 2.</w:t>
      </w:r>
    </w:p>
    <w:p>
      <w:pPr>
        <w:numPr>
          <w:ilvl w:val="0"/>
          <w:numId w:val="921"/>
        </w:numPr>
        <w:spacing w:before="0" w:after="160" w:line="240" w:lineRule="auto"/>
        <w:jc w:val="both"/>
      </w:pPr>
      <w:r>
        <w:rPr>
          <w:rFonts w:ascii="Century Gothic" w:hAnsi="Century Gothic" w:cs="Century Gothic" w:eastAsia="Century Gothic"/>
          <w:b/>
          <w:i w:val="0"/>
          <w:sz w:val="20"/>
        </w:rPr>
        <w:t>Coherencia, E4, Productos 14 y 16 (matriz) frente a sus rúbricas.</w:t>
      </w:r>
      <w:r>
        <w:rPr>
          <w:rFonts w:ascii="Century Gothic" w:hAnsi="Century Gothic" w:cs="Century Gothic" w:eastAsia="Century Gothic"/>
          <w:b w:val="0"/>
          <w:i w:val="0"/>
          <w:sz w:val="20"/>
        </w:rPr>
        <w:t xml:space="preserve"> Los nombres no coinciden: en la matriz el Producto 14 es un esquema con asientos de leasing y el Producto 16 un tablero de indicadores; en las rúbricas el Producto 14 es un esquema del mercado de valores y el Producto 16 un caso de leasing, de modo que el tablero de indicadores no tiene rúbrica. Unificar el nombre de cada producto entre la matriz y la rúbrica y ajustar los criterios de la rúbrica al producto definitivo.</w:t>
      </w:r>
    </w:p>
    <w:p>
      <w:pPr>
        <w:numPr>
          <w:ilvl w:val="0"/>
          <w:numId w:val="921"/>
        </w:numPr>
        <w:spacing w:before="0" w:after="160" w:line="240" w:lineRule="auto"/>
        <w:jc w:val="both"/>
      </w:pPr>
      <w:r>
        <w:rPr>
          <w:rFonts w:ascii="Century Gothic" w:hAnsi="Century Gothic" w:cs="Century Gothic" w:eastAsia="Century Gothic"/>
          <w:b/>
          <w:i w:val="0"/>
          <w:sz w:val="20"/>
        </w:rPr>
        <w:t>Coherencia, E2, contenidos de los Temas 7 a 10 / Productos 5 a 8.</w:t>
      </w:r>
      <w:r>
        <w:rPr>
          <w:rFonts w:ascii="Century Gothic" w:hAnsi="Century Gothic" w:cs="Century Gothic" w:eastAsia="Century Gothic"/>
          <w:b w:val="0"/>
          <w:i w:val="0"/>
          <w:sz w:val="20"/>
        </w:rPr>
        <w:t xml:space="preserve"> Los cuatro productos son registros y cálculos (movimiento contable, intereses, encaje), pero casi todos los contenidos que los sustentan, incluidos 'movimiento contable; casos prácticos' y 'Cómputo del encaje legal', están marcados solo (C). Marcar (C, P) los contenidos de registro, cálculo y casos prácticos.</w:t>
      </w:r>
    </w:p>
    <w:p>
      <w:pPr>
        <w:numPr>
          <w:ilvl w:val="0"/>
          <w:numId w:val="921"/>
        </w:numPr>
        <w:spacing w:before="0" w:after="160" w:line="240" w:lineRule="auto"/>
        <w:jc w:val="both"/>
      </w:pPr>
      <w:r>
        <w:rPr>
          <w:rFonts w:ascii="Century Gothic" w:hAnsi="Century Gothic" w:cs="Century Gothic" w:eastAsia="Century Gothic"/>
          <w:b/>
          <w:i w:val="0"/>
          <w:sz w:val="20"/>
        </w:rPr>
        <w:t>Contenido técnico, E4, Tema 25 y Producto 15; actividades.</w:t>
      </w:r>
      <w:r>
        <w:rPr>
          <w:rFonts w:ascii="Century Gothic" w:hAnsi="Century Gothic" w:cs="Century Gothic" w:eastAsia="Century Gothic"/>
          <w:b w:val="0"/>
          <w:i w:val="0"/>
          <w:sz w:val="20"/>
        </w:rPr>
        <w:t xml:space="preserve"> 'Entidades auxiliares financieras' es la denominación de la abrogada Ley de Bancos y Entidades Financieras (Ley 1488); la Ley 393 de Servicios Financieros denomina a factoraje, almacenes generales de depósito, burós de información, transporte de material monetario y arrendamiento financiero 'empresas de servicios financieros complementarios'. Usar la denominación de la Ley 393 en el elemento, el tema, el contenido y el producto.</w:t>
      </w:r>
    </w:p>
    <w:p>
      <w:pPr>
        <w:numPr>
          <w:ilvl w:val="0"/>
          <w:numId w:val="921"/>
        </w:numPr>
        <w:spacing w:before="0" w:after="160" w:line="240" w:lineRule="auto"/>
        <w:jc w:val="both"/>
      </w:pPr>
      <w:r>
        <w:rPr>
          <w:rFonts w:ascii="Century Gothic" w:hAnsi="Century Gothic" w:cs="Century Gothic" w:eastAsia="Century Gothic"/>
          <w:b/>
          <w:i w:val="0"/>
          <w:sz w:val="20"/>
        </w:rPr>
        <w:t>Marcas de saber, E1, Tema 6, contenidos 1, 4 y 5.</w:t>
      </w:r>
      <w:r>
        <w:rPr>
          <w:rFonts w:ascii="Century Gothic" w:hAnsi="Century Gothic" w:cs="Century Gothic" w:eastAsia="Century Gothic"/>
          <w:b w:val="0"/>
          <w:i w:val="0"/>
          <w:sz w:val="20"/>
        </w:rPr>
        <w:t xml:space="preserve"> Llevan (T) la automatización de la cámara, la lectura electrónica de cheques y los sistemas de pago, que solo describen la tecnología sin que el estudiante opere una herramienta.</w:t>
      </w:r>
    </w:p>
    <w:p>
      <w:pPr>
        <w:numPr>
          <w:ilvl w:val="0"/>
          <w:numId w:val="921"/>
        </w:numPr>
        <w:spacing w:before="0" w:after="160" w:line="240" w:lineRule="auto"/>
        <w:jc w:val="both"/>
      </w:pPr>
      <w:r>
        <w:rPr>
          <w:rFonts w:ascii="Century Gothic" w:hAnsi="Century Gothic" w:cs="Century Gothic" w:eastAsia="Century Gothic"/>
          <w:b/>
          <w:i w:val="0"/>
          <w:sz w:val="20"/>
        </w:rPr>
        <w:t>Marcas de saber, E4, Temas 22, 23 y 25.</w:t>
      </w:r>
      <w:r>
        <w:rPr>
          <w:rFonts w:ascii="Century Gothic" w:hAnsi="Century Gothic" w:cs="Century Gothic" w:eastAsia="Century Gothic"/>
          <w:b w:val="0"/>
          <w:i w:val="0"/>
          <w:sz w:val="20"/>
        </w:rPr>
        <w:t xml:space="preserve"> Llevan (C, A) contenidos puramente descriptivos (concepto de agentes de bolsa, mercado de valores y operatoria contable, fondos de inversión, concepto de entidades auxiliares) sin conducta observable; la operatoria contable de agentes de bolsa además carece de (P).</w:t>
      </w:r>
    </w:p>
    <w:p>
      <w:pPr>
        <w:numPr>
          <w:ilvl w:val="0"/>
          <w:numId w:val="921"/>
        </w:numPr>
        <w:spacing w:before="0" w:after="160" w:line="240" w:lineRule="auto"/>
        <w:jc w:val="both"/>
      </w:pPr>
      <w:r>
        <w:rPr>
          <w:rFonts w:ascii="Century Gothic" w:hAnsi="Century Gothic" w:cs="Century Gothic" w:eastAsia="Century Gothic"/>
          <w:b/>
          <w:i w:val="0"/>
          <w:sz w:val="20"/>
        </w:rPr>
        <w:t>Marcas de saber, E3, Tema 17, contenido 2.</w:t>
      </w:r>
      <w:r>
        <w:rPr>
          <w:rFonts w:ascii="Century Gothic" w:hAnsi="Century Gothic" w:cs="Century Gothic" w:eastAsia="Century Gothic"/>
          <w:b w:val="0"/>
          <w:i w:val="0"/>
          <w:sz w:val="20"/>
        </w:rPr>
        <w:t xml:space="preserve"> 'Cálculo y registro de los intereses vencidos y de los intereses penales' lleva (T) sin mencionar ninguna herramienta que se opere.</w:t>
      </w:r>
    </w:p>
    <w:p>
      <w:pPr>
        <w:numPr>
          <w:ilvl w:val="0"/>
          <w:numId w:val="921"/>
        </w:numPr>
        <w:spacing w:before="0" w:after="160" w:line="240" w:lineRule="auto"/>
        <w:jc w:val="both"/>
      </w:pPr>
      <w:r>
        <w:rPr>
          <w:rFonts w:ascii="Century Gothic" w:hAnsi="Century Gothic" w:cs="Century Gothic" w:eastAsia="Century Gothic"/>
          <w:b/>
          <w:i w:val="0"/>
          <w:sz w:val="20"/>
        </w:rPr>
        <w:t>Marcas de saber, E1, Tema 6, último contenido.</w:t>
      </w:r>
      <w:r>
        <w:rPr>
          <w:rFonts w:ascii="Century Gothic" w:hAnsi="Century Gothic" w:cs="Century Gothic" w:eastAsia="Century Gothic"/>
          <w:b w:val="0"/>
          <w:i w:val="0"/>
          <w:sz w:val="20"/>
        </w:rPr>
        <w:t xml:space="preserve"> La prevención de la legitimación de ganancias ilícitas (debida diligencia, reporte de operaciones sospechosas), que la unidad de competencia destaca como condición de calidad, solo lleva (P); es el contenido donde cabe una conducta observable (A).</w:t>
      </w:r>
    </w:p>
    <w:p>
      <w:pPr>
        <w:numPr>
          <w:ilvl w:val="0"/>
          <w:numId w:val="921"/>
        </w:numPr>
        <w:spacing w:before="0" w:after="160" w:line="240" w:lineRule="auto"/>
        <w:jc w:val="both"/>
      </w:pPr>
      <w:r>
        <w:rPr>
          <w:rFonts w:ascii="Century Gothic" w:hAnsi="Century Gothic" w:cs="Century Gothic" w:eastAsia="Century Gothic"/>
          <w:b/>
          <w:i w:val="0"/>
          <w:sz w:val="20"/>
        </w:rPr>
        <w:t>Circunstanciales, E4, conocimientos circunstanciales.</w:t>
      </w:r>
      <w:r>
        <w:rPr>
          <w:rFonts w:ascii="Century Gothic" w:hAnsi="Century Gothic" w:cs="Century Gothic" w:eastAsia="Century Gothic"/>
          <w:b w:val="0"/>
          <w:i w:val="0"/>
          <w:sz w:val="20"/>
        </w:rPr>
        <w:t xml:space="preserve"> 'Nociones del contrato de arrendamiento financiero (leasing)' ya figura como conocimiento circunstancial en CPA-201 Contabilidad Intermedia, y los contratos comerciales y títulos valores (factoraje, títulos representativos de mercaderías) se dictan en DER-101 Derecho Comercial y Corporativo.</w:t>
      </w:r>
    </w:p>
    <w:p>
      <w:pPr>
        <w:numPr>
          <w:ilvl w:val="0"/>
          <w:numId w:val="921"/>
        </w:numPr>
        <w:spacing w:before="0" w:after="160" w:line="240" w:lineRule="auto"/>
        <w:jc w:val="both"/>
      </w:pPr>
      <w:r>
        <w:rPr>
          <w:rFonts w:ascii="Century Gothic" w:hAnsi="Century Gothic" w:cs="Century Gothic" w:eastAsia="Century Gothic"/>
          <w:b/>
          <w:i w:val="0"/>
          <w:sz w:val="20"/>
        </w:rPr>
        <w:t>Circunstanciales, E3, conocimientos circunstanciales.</w:t>
      </w:r>
      <w:r>
        <w:rPr>
          <w:rFonts w:ascii="Century Gothic" w:hAnsi="Century Gothic" w:cs="Century Gothic" w:eastAsia="Century Gothic"/>
          <w:b w:val="0"/>
          <w:i w:val="0"/>
          <w:sz w:val="20"/>
        </w:rPr>
        <w:t xml:space="preserve"> 'Nociones del proceso de solicitud, evaluación y aprobación del crédito' se superpone con el contenido del Tema 15 'Evaluación de la capacidad de pago y responsabilidad en el otorgamiento del crédito'.</w:t>
      </w:r>
    </w:p>
    <w:p>
      <w:pPr>
        <w:numPr>
          <w:ilvl w:val="0"/>
          <w:numId w:val="921"/>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no están en blanco (HP 160, TOTAL 240) y el total contradice las 160 h/año de la malla; HP por sí solo ya iguala la carga de la malla.</w:t>
      </w:r>
    </w:p>
    <w:p>
      <w:pPr>
        <w:numPr>
          <w:ilvl w:val="0"/>
          <w:numId w:val="921"/>
        </w:numPr>
        <w:spacing w:before="0" w:after="160" w:line="240" w:lineRule="auto"/>
        <w:jc w:val="both"/>
      </w:pPr>
      <w:r>
        <w:rPr>
          <w:rFonts w:ascii="Century Gothic" w:hAnsi="Century Gothic" w:cs="Century Gothic" w:eastAsia="Century Gothic"/>
          <w:b/>
          <w:i w:val="0"/>
          <w:sz w:val="20"/>
        </w:rPr>
        <w:t>Incoherencia interna, E3, Temas 12 a 19.</w:t>
      </w:r>
      <w:r>
        <w:rPr>
          <w:rFonts w:ascii="Century Gothic" w:hAnsi="Century Gothic" w:cs="Century Gothic" w:eastAsia="Century Gothic"/>
          <w:b w:val="0"/>
          <w:i w:val="0"/>
          <w:sz w:val="20"/>
        </w:rPr>
        <w:t xml:space="preserve"> Los títulos de los temas no corresponden a los contenidos listados bajo ellos: el Tema 12 'Régimen de Previsiones de Cartera' contiene créditos empresariales y PYME, el Tema 13 'Adelantos en Cuentas Corrientes' contiene vivienda y consumo, el Tema 15 'Préstamos a Plazo Fijo' contiene garantías y calificación de cartera, el Tema 17 'Tarjetas de Crédito' contiene cartera vencida y el Tema 19 'Cartera en Mora' contiene cartera en ejecución.</w:t>
      </w:r>
    </w:p>
    <w:p>
      <w:pPr>
        <w:numPr>
          <w:ilvl w:val="0"/>
          <w:numId w:val="921"/>
        </w:numPr>
        <w:spacing w:before="0" w:after="160" w:line="240" w:lineRule="auto"/>
        <w:jc w:val="both"/>
      </w:pPr>
      <w:r>
        <w:rPr>
          <w:rFonts w:ascii="Century Gothic" w:hAnsi="Century Gothic" w:cs="Century Gothic" w:eastAsia="Century Gothic"/>
          <w:b/>
          <w:i w:val="0"/>
          <w:sz w:val="20"/>
        </w:rPr>
        <w:t>Incoherencia interna, E4, contenidos del Tema 21 y Tema 24.</w:t>
      </w:r>
      <w:r>
        <w:rPr>
          <w:rFonts w:ascii="Century Gothic" w:hAnsi="Century Gothic" w:cs="Century Gothic" w:eastAsia="Century Gothic"/>
          <w:b w:val="0"/>
          <w:i w:val="0"/>
          <w:sz w:val="20"/>
        </w:rPr>
        <w:t xml:space="preserve"> La clasificación y medición de activos financieros según la NIIF 9 y el arrendamiento según la NIIF 16 se dictan ya en CPA-201 Contabilidad Intermedia (NIIF 9, arrendamiento financiero) y CPA-301 Contabilidad Internacional (Tema 20 NIIF 16).</w:t>
      </w:r>
    </w:p>
    <w:p>
      <w:pPr>
        <w:numPr>
          <w:ilvl w:val="0"/>
          <w:numId w:val="921"/>
        </w:numPr>
        <w:spacing w:before="0" w:after="160" w:line="240" w:lineRule="auto"/>
        <w:jc w:val="both"/>
      </w:pPr>
      <w:r>
        <w:rPr>
          <w:rFonts w:ascii="Century Gothic" w:hAnsi="Century Gothic" w:cs="Century Gothic" w:eastAsia="Century Gothic"/>
          <w:b/>
          <w:i w:val="0"/>
          <w:sz w:val="20"/>
        </w:rPr>
        <w:t>Incoherencia interna, Estrategias de evaluación frente a Criterios de calificación.</w:t>
      </w:r>
      <w:r>
        <w:rPr>
          <w:rFonts w:ascii="Century Gothic" w:hAnsi="Century Gothic" w:cs="Century Gothic" w:eastAsia="Century Gothic"/>
          <w:b w:val="0"/>
          <w:i w:val="0"/>
          <w:sz w:val="20"/>
        </w:rPr>
        <w:t xml:space="preserve"> La evaluación sumativa incluye controles de lectura y asistencia, exámenes parciales y examen final, pero los criterios de calificación dicen que la nota final es la suma ponderada de los 16 productos; no se indica cómo se integran esas otras evaluaciones.</w:t>
      </w:r>
    </w:p>
    <w:p>
      <w:pPr>
        <w:numPr>
          <w:ilvl w:val="0"/>
          <w:numId w:val="921"/>
        </w:numPr>
        <w:spacing w:before="0" w:after="160" w:line="240" w:lineRule="auto"/>
        <w:jc w:val="both"/>
      </w:pPr>
      <w:r>
        <w:rPr>
          <w:rFonts w:ascii="Century Gothic" w:hAnsi="Century Gothic" w:cs="Century Gothic" w:eastAsia="Century Gothic"/>
          <w:b/>
          <w:i w:val="0"/>
          <w:sz w:val="20"/>
        </w:rPr>
        <w:t>Incoherencia interna, E4, encabezado de la matriz.</w:t>
      </w:r>
      <w:r>
        <w:rPr>
          <w:rFonts w:ascii="Century Gothic" w:hAnsi="Century Gothic" w:cs="Century Gothic" w:eastAsia="Century Gothic"/>
          <w:b w:val="0"/>
          <w:i w:val="0"/>
          <w:sz w:val="20"/>
        </w:rPr>
        <w:t xml:space="preserve"> La fila de encabezado dice 'Criterios de desempeño' en las tres columnas y las filas de las evidencias 1.1 y 2.1 repiten el texto del criterio, por lo que faltan esas evidencias y los Productos 13 y 15 en la matriz (sí tienen rúbrica).</w:t>
      </w:r>
    </w:p>
    <w:p>
      <w:pPr>
        <w:numPr>
          <w:ilvl w:val="0"/>
          <w:numId w:val="921"/>
        </w:numPr>
        <w:spacing w:before="0" w:after="160" w:line="240" w:lineRule="auto"/>
        <w:jc w:val="both"/>
      </w:pPr>
      <w:r>
        <w:rPr>
          <w:rFonts w:ascii="Century Gothic" w:hAnsi="Century Gothic" w:cs="Century Gothic" w:eastAsia="Century Gothic"/>
          <w:b/>
          <w:i w:val="0"/>
          <w:sz w:val="20"/>
        </w:rPr>
        <w:t>Incoherencia interna, Recursos para el aprendizaje.</w:t>
      </w:r>
      <w:r>
        <w:rPr>
          <w:rFonts w:ascii="Century Gothic" w:hAnsi="Century Gothic" w:cs="Century Gothic" w:eastAsia="Century Gothic"/>
          <w:b w:val="0"/>
          <w:i w:val="0"/>
          <w:sz w:val="20"/>
        </w:rPr>
        <w:t xml:space="preserve"> Se repiten el Manual de Cuentas con la Recopilación de Normas de la ASFI y la hoja de cálculo.</w:t>
      </w:r>
    </w:p>
    <w:p>
      <w:pPr>
        <w:numPr>
          <w:ilvl w:val="0"/>
          <w:numId w:val="921"/>
        </w:numPr>
        <w:spacing w:before="0" w:after="200" w:line="240" w:lineRule="auto"/>
        <w:jc w:val="both"/>
      </w:pPr>
      <w:r>
        <w:rPr>
          <w:rFonts w:ascii="Century Gothic" w:hAnsi="Century Gothic" w:cs="Century Gothic" w:eastAsia="Century Gothic"/>
          <w:b/>
          <w:i w:val="0"/>
          <w:sz w:val="20"/>
        </w:rPr>
        <w:t>Incoherencia interna, E1, Tema 4, contenido 3.</w:t>
      </w:r>
      <w:r>
        <w:rPr>
          <w:rFonts w:ascii="Century Gothic" w:hAnsi="Century Gothic" w:cs="Century Gothic" w:eastAsia="Century Gothic"/>
          <w:b w:val="0"/>
          <w:i w:val="0"/>
          <w:sz w:val="20"/>
        </w:rPr>
        <w:t xml:space="preserve"> 'Terminología financiera en inglés' está bajo el tema de constitución de bancos, con el que no guarda relación.</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general de la subcomisión no comenta cambios de nombre para CPA-303 (usa el nombre de la malla). Coincide con esta revisión en la concentración del Elemento 3 (10 temas), en la omisión de P13 y P15 en la matriz y en los productos nombrados como acción ('Cálculo del encaje legal...', Producto 8).</w:t>
      </w:r>
    </w:p>
    <w:p>
      <w:pPr>
        <w:spacing w:before="0" w:after="200" w:line="240" w:lineRule="auto"/>
        <w:jc w:val="both"/>
      </w:pPr>
      <w:r>
        <w:rPr>
          <w:rFonts w:ascii="Century Gothic" w:hAnsi="Century Gothic" w:cs="Century Gothic" w:eastAsia="Century Gothic"/>
          <w:b w:val="0"/>
          <w:i w:val="0"/>
          <w:sz w:val="20"/>
        </w:rPr>
        <w:t>Se aplicaron 9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7.20</w:t>
        <w:tab/>
      </w:r>
      <w:r>
        <w:rPr>
          <w:rFonts w:ascii="Century Gothic" w:hAnsi="Century Gothic" w:cs="Century Gothic" w:eastAsia="Century Gothic"/>
          <w:b/>
          <w:i w:val="0"/>
          <w:sz w:val="22"/>
        </w:rPr>
        <w:t>CPA-304 Contabilidad y Presupuestos Gubernamental</w:t>
      </w:r>
    </w:p>
    <w:p>
      <w:pPr>
        <w:spacing w:before="0" w:after="200" w:line="240" w:lineRule="auto"/>
        <w:jc w:val="both"/>
      </w:pPr>
      <w:r>
        <w:rPr>
          <w:rFonts w:ascii="Century Gothic" w:hAnsi="Century Gothic" w:cs="Century Gothic" w:eastAsia="Century Gothic"/>
          <w:b w:val="0"/>
          <w:i w:val="0"/>
          <w:sz w:val="20"/>
        </w:rPr>
        <w:t xml:space="preserve">Archivo: CPA-304 Presupuesto y Contabilidad Gubernamental Oficial - 1.docx. Cumple 15 de 23 controles, 6 de forma parcial y no cumple 2.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completo en estructura y pesos, con un recorrido lógico desde la planificación hasta los estados financieros y las NICSP. Debilitan su coherencia los verbos 'Conoce', varias rúbricas incompletas o ajenas a su producto (Productos 18 y 19), el predominio de contenidos (C) y la repetición de temas de ADM-201 y CPA-504; además el nombre de la asignatura no coincide con la malla.</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Datos generales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nombre «Presupuesto y Contabilidad Gubernamental» frente a «Contabilidad y Presupuestos Gubernamental» en la malla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20, 20, 20, 20,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de desempeño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E3: 4 evidencias (numeración 1.1, 1.2, 2.2, 2.1)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Rúbricas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 rúbricas sin exactamente tres criterios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 de 18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22"/>
        </w:numPr>
        <w:spacing w:before="0" w:after="160" w:line="240" w:lineRule="auto"/>
        <w:jc w:val="both"/>
      </w:pPr>
      <w:r>
        <w:rPr>
          <w:rFonts w:ascii="Century Gothic" w:hAnsi="Century Gothic" w:cs="Century Gothic" w:eastAsia="Century Gothic"/>
          <w:b/>
          <w:i w:val="0"/>
          <w:sz w:val="20"/>
        </w:rPr>
        <w:t>Coherencia, E5, criterio 2, evidencia 2.1 / rúbrica del Producto 19.</w:t>
      </w:r>
      <w:r>
        <w:rPr>
          <w:rFonts w:ascii="Century Gothic" w:hAnsi="Century Gothic" w:cs="Century Gothic" w:eastAsia="Century Gothic"/>
          <w:b w:val="0"/>
          <w:i w:val="0"/>
          <w:sz w:val="20"/>
        </w:rPr>
        <w:t xml:space="preserve"> El Producto 19 son las notas a los estados financieros, pero su rúbrica tiene un solo criterio, 'Interpretación' de resultados, copiado de la rúbrica del Producto 20; no evalúa la redacción ni el contenido de las notas. Redactar tres criterios propios de las notas (políticas contables, revelación de saldos, ejecución presupuestaria).</w:t>
      </w:r>
    </w:p>
    <w:p>
      <w:pPr>
        <w:numPr>
          <w:ilvl w:val="0"/>
          <w:numId w:val="922"/>
        </w:numPr>
        <w:spacing w:before="0" w:after="160" w:line="240" w:lineRule="auto"/>
        <w:jc w:val="both"/>
      </w:pPr>
      <w:r>
        <w:rPr>
          <w:rFonts w:ascii="Century Gothic" w:hAnsi="Century Gothic" w:cs="Century Gothic" w:eastAsia="Century Gothic"/>
          <w:b/>
          <w:i w:val="0"/>
          <w:sz w:val="20"/>
        </w:rPr>
        <w:t>Coherencia, E5, criterio 1, evidencia 1.2 / rúbrica del Producto 18.</w:t>
      </w:r>
      <w:r>
        <w:rPr>
          <w:rFonts w:ascii="Century Gothic" w:hAnsi="Century Gothic" w:cs="Century Gothic" w:eastAsia="Century Gothic"/>
          <w:b w:val="0"/>
          <w:i w:val="0"/>
          <w:sz w:val="20"/>
        </w:rPr>
        <w:t xml:space="preserve"> El producto son los estados financieros básicos e información complementaria, pero la rúbrica (dos criterios) solo evalúa la ejecución presupuestaria de recursos y de gastos; omite el Balance General, el Estado de Recursos y Gastos Corrientes y los demás estados. Añadir criterios sobre la elaboración y el cuadre de los estados contables básicos.</w:t>
      </w:r>
    </w:p>
    <w:p>
      <w:pPr>
        <w:numPr>
          <w:ilvl w:val="0"/>
          <w:numId w:val="922"/>
        </w:numPr>
        <w:spacing w:before="0" w:after="160" w:line="240" w:lineRule="auto"/>
        <w:jc w:val="both"/>
      </w:pPr>
      <w:r>
        <w:rPr>
          <w:rFonts w:ascii="Century Gothic" w:hAnsi="Century Gothic" w:cs="Century Gothic" w:eastAsia="Century Gothic"/>
          <w:b/>
          <w:i w:val="0"/>
          <w:sz w:val="20"/>
        </w:rPr>
        <w:t>Coherencia, E3, criterio 1, evidencia 1.2 / Producto 10.</w:t>
      </w:r>
      <w:r>
        <w:rPr>
          <w:rFonts w:ascii="Century Gothic" w:hAnsi="Century Gothic" w:cs="Century Gothic" w:eastAsia="Century Gothic"/>
          <w:b w:val="0"/>
          <w:i w:val="0"/>
          <w:sz w:val="20"/>
        </w:rPr>
        <w:t xml:space="preserve"> La evidencia pide aplicar la metodología y las técnicas de formulación presupuestaria, pero el producto es un 'esquema de comprensión' y su rúbrica evalúa describir pasos y normas. Cambiar el producto por un resultado de la aplicación (memoria de cálculo o proyección de recursos y gastos) o la evidencia por una descripción.</w:t>
      </w:r>
    </w:p>
    <w:p>
      <w:pPr>
        <w:numPr>
          <w:ilvl w:val="0"/>
          <w:numId w:val="922"/>
        </w:numPr>
        <w:spacing w:before="0" w:after="160" w:line="240" w:lineRule="auto"/>
        <w:jc w:val="both"/>
      </w:pPr>
      <w:r>
        <w:rPr>
          <w:rFonts w:ascii="Century Gothic" w:hAnsi="Century Gothic" w:cs="Century Gothic" w:eastAsia="Century Gothic"/>
          <w:b/>
          <w:i w:val="0"/>
          <w:sz w:val="20"/>
        </w:rPr>
        <w:t>Coherencia, E4, criterio 2, evidencia 2.1 / Producto 15.</w:t>
      </w:r>
      <w:r>
        <w:rPr>
          <w:rFonts w:ascii="Century Gothic" w:hAnsi="Century Gothic" w:cs="Century Gothic" w:eastAsia="Century Gothic"/>
          <w:b w:val="0"/>
          <w:i w:val="0"/>
          <w:sz w:val="20"/>
        </w:rPr>
        <w:t xml:space="preserve"> El criterio exige registrar hechos en los momentos contables y de tesorería, pero la evidencia 2.1 es analizar y definir políticas contables, presupuestarias y de tesorería, que en el sector público fija el Órgano Rector; el producto es un esquema de análisis sin registro. Reformular la evidencia 2.1 como registro de un tipo de hechos (por ejemplo, devengado y pago) o mover las políticas a un contenido de apoyo.</w:t>
      </w:r>
    </w:p>
    <w:p>
      <w:pPr>
        <w:numPr>
          <w:ilvl w:val="0"/>
          <w:numId w:val="922"/>
        </w:numPr>
        <w:spacing w:before="0" w:after="160" w:line="240" w:lineRule="auto"/>
        <w:jc w:val="both"/>
      </w:pPr>
      <w:r>
        <w:rPr>
          <w:rFonts w:ascii="Century Gothic" w:hAnsi="Century Gothic" w:cs="Century Gothic" w:eastAsia="Century Gothic"/>
          <w:b/>
          <w:i w:val="0"/>
          <w:sz w:val="20"/>
        </w:rPr>
        <w:t>Coherencia, E4, criterio 1, evidencias 1.1 y 1.2 / Productos 13 y 14.</w:t>
      </w:r>
      <w:r>
        <w:rPr>
          <w:rFonts w:ascii="Century Gothic" w:hAnsi="Century Gothic" w:cs="Century Gothic" w:eastAsia="Century Gothic"/>
          <w:b w:val="0"/>
          <w:i w:val="0"/>
          <w:sz w:val="20"/>
        </w:rPr>
        <w:t xml:space="preserve"> El elemento trata del registro contable, pero el criterio 1 se centra en la gestión de recursos humanos y de contratación de bienes y servicios (contenido de los sistemas de administración); la rúbrica del Producto 13 en cambio evalúa registro de remuneraciones y aportes, que la evidencia no menciona. Enfocar las evidencias 1.1 y 1.2 en el registro presupuestario y contable de planillas y de contrataciones.</w:t>
      </w:r>
    </w:p>
    <w:p>
      <w:pPr>
        <w:numPr>
          <w:ilvl w:val="0"/>
          <w:numId w:val="922"/>
        </w:numPr>
        <w:spacing w:before="0" w:after="160" w:line="240" w:lineRule="auto"/>
        <w:jc w:val="both"/>
      </w:pPr>
      <w:r>
        <w:rPr>
          <w:rFonts w:ascii="Century Gothic" w:hAnsi="Century Gothic" w:cs="Century Gothic" w:eastAsia="Century Gothic"/>
          <w:b/>
          <w:i w:val="0"/>
          <w:sz w:val="20"/>
        </w:rPr>
        <w:t>Contenido técnico, E2, Tema 3, contenido 6; E4, Tema 8.</w:t>
      </w:r>
      <w:r>
        <w:rPr>
          <w:rFonts w:ascii="Century Gothic" w:hAnsi="Century Gothic" w:cs="Century Gothic" w:eastAsia="Century Gothic"/>
          <w:b w:val="0"/>
          <w:i w:val="0"/>
          <w:sz w:val="20"/>
        </w:rPr>
        <w:t xml:space="preserve"> Se presentan como sistemas separados el 'Sistema de Crédito Público' y el 'Sistema de Tesorería'; el artículo 2 de la Ley 1178 los define como un solo sistema, el de Tesorería y Crédito Público (aunque tengan normas básicas separadas). Nombrarlo 'Sistema de Tesorería y Crédito Público' conforme a la Ley 1178.</w:t>
      </w:r>
    </w:p>
    <w:p>
      <w:pPr>
        <w:numPr>
          <w:ilvl w:val="0"/>
          <w:numId w:val="922"/>
        </w:numPr>
        <w:spacing w:before="0" w:after="160" w:line="240" w:lineRule="auto"/>
        <w:jc w:val="both"/>
      </w:pPr>
      <w:r>
        <w:rPr>
          <w:rFonts w:ascii="Century Gothic" w:hAnsi="Century Gothic" w:cs="Century Gothic" w:eastAsia="Century Gothic"/>
          <w:b/>
          <w:i w:val="0"/>
          <w:sz w:val="20"/>
        </w:rPr>
        <w:t>Contenido técnico, E5, Tema 9, contenido 4.</w:t>
      </w:r>
      <w:r>
        <w:rPr>
          <w:rFonts w:ascii="Century Gothic" w:hAnsi="Century Gothic" w:cs="Century Gothic" w:eastAsia="Century Gothic"/>
          <w:b w:val="0"/>
          <w:i w:val="0"/>
          <w:sz w:val="20"/>
        </w:rPr>
        <w:t xml:space="preserve"> La lista separa 'Cuenta, Ahorro, Inversión y Financiamiento' como si fueran estados distintos; es un único estado, la Cuenta Ahorro-Inversión-Financiamiento. Escribir 'Estado de Cuenta Ahorro-Inversión-Financiamiento'.</w:t>
      </w:r>
    </w:p>
    <w:p>
      <w:pPr>
        <w:numPr>
          <w:ilvl w:val="0"/>
          <w:numId w:val="922"/>
        </w:numPr>
        <w:spacing w:before="0" w:after="160" w:line="240" w:lineRule="auto"/>
        <w:jc w:val="both"/>
      </w:pPr>
      <w:r>
        <w:rPr>
          <w:rFonts w:ascii="Century Gothic" w:hAnsi="Century Gothic" w:cs="Century Gothic" w:eastAsia="Century Gothic"/>
          <w:b/>
          <w:i w:val="0"/>
          <w:sz w:val="20"/>
        </w:rPr>
        <w:t>Contenido técnico, E1 y E2, contenidos y conocimientos circunstanciales.</w:t>
      </w:r>
      <w:r>
        <w:rPr>
          <w:rFonts w:ascii="Century Gothic" w:hAnsi="Century Gothic" w:cs="Century Gothic" w:eastAsia="Century Gothic"/>
          <w:b w:val="0"/>
          <w:i w:val="0"/>
          <w:sz w:val="20"/>
        </w:rPr>
        <w:t xml:space="preserve"> La Ley 1178 se nombra de forma variable ('Ley de Administración y Control Gubernamental', 'Gubernamentales'); su título oficial es Ley de Administración y Control Gubernamentales. El Tema 4 se titula 'Régimen de Responsabilidad Pública por la gestión Pública', cuando el régimen es de Responsabilidad por la Función Pública. Uniformar el nombre oficial de la ley y titular el Tema 4 'Régimen de Responsabilidad por la Función Pública'.</w:t>
      </w:r>
    </w:p>
    <w:p>
      <w:pPr>
        <w:numPr>
          <w:ilvl w:val="0"/>
          <w:numId w:val="922"/>
        </w:numPr>
        <w:spacing w:before="0" w:after="160" w:line="240" w:lineRule="auto"/>
        <w:jc w:val="both"/>
      </w:pPr>
      <w:r>
        <w:rPr>
          <w:rFonts w:ascii="Century Gothic" w:hAnsi="Century Gothic" w:cs="Century Gothic" w:eastAsia="Century Gothic"/>
          <w:b/>
          <w:i w:val="0"/>
          <w:sz w:val="20"/>
        </w:rPr>
        <w:t>Contenido técnico, Unidad de competencia.</w:t>
      </w:r>
      <w:r>
        <w:rPr>
          <w:rFonts w:ascii="Century Gothic" w:hAnsi="Century Gothic" w:cs="Century Gothic" w:eastAsia="Century Gothic"/>
          <w:b w:val="0"/>
          <w:i w:val="0"/>
          <w:sz w:val="20"/>
        </w:rPr>
        <w:t xml:space="preserve"> 'Normas Internacionales del Sector Público' es un nombre incompleto; son las Normas Internacionales de Contabilidad del Sector Público (NICSP). Completar el nombre.</w:t>
      </w:r>
    </w:p>
    <w:p>
      <w:pPr>
        <w:numPr>
          <w:ilvl w:val="0"/>
          <w:numId w:val="922"/>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Se atribuyen al 'Estado Plurinacional de Bolivia' normas de 1990, 1992 y 1999 (Ley 1178, DS 23215, DS 23318-A, Ley 2042), emitidas por la República de Bolivia; la edición NICSP citada es de 2022. Citar la autoría de la época (República de Bolivia) y el Handbook del IPSASB más reciente.</w:t>
      </w:r>
    </w:p>
    <w:p>
      <w:pPr>
        <w:numPr>
          <w:ilvl w:val="0"/>
          <w:numId w:val="922"/>
        </w:numPr>
        <w:spacing w:before="0" w:after="160" w:line="240" w:lineRule="auto"/>
        <w:jc w:val="both"/>
      </w:pPr>
      <w:r>
        <w:rPr>
          <w:rFonts w:ascii="Century Gothic" w:hAnsi="Century Gothic" w:cs="Century Gothic" w:eastAsia="Century Gothic"/>
          <w:b/>
          <w:i w:val="0"/>
          <w:sz w:val="20"/>
        </w:rPr>
        <w:t>Marcas de saber, E1 a E3 (Temas 1, 3, 5 y 6).</w:t>
      </w:r>
      <w:r>
        <w:rPr>
          <w:rFonts w:ascii="Century Gothic" w:hAnsi="Century Gothic" w:cs="Century Gothic" w:eastAsia="Century Gothic"/>
          <w:b w:val="0"/>
          <w:i w:val="0"/>
          <w:sz w:val="20"/>
        </w:rPr>
        <w:t xml:space="preserve"> Casi todos los contenidos están marcados solo (C), incluida la 'Formulación' y el 'Análisis de justificación de modificaciones presupuestarias', aunque los productos 9 a 12 son prácticos.</w:t>
      </w:r>
    </w:p>
    <w:p>
      <w:pPr>
        <w:numPr>
          <w:ilvl w:val="0"/>
          <w:numId w:val="922"/>
        </w:numPr>
        <w:spacing w:before="0" w:after="160" w:line="240" w:lineRule="auto"/>
        <w:jc w:val="both"/>
      </w:pPr>
      <w:r>
        <w:rPr>
          <w:rFonts w:ascii="Century Gothic" w:hAnsi="Century Gothic" w:cs="Century Gothic" w:eastAsia="Century Gothic"/>
          <w:b/>
          <w:i w:val="0"/>
          <w:sz w:val="20"/>
        </w:rPr>
        <w:t>Marcas de saber, E3, Tema 5, último contenido; E5, Tema 9, contenidos 6 y 7.</w:t>
      </w:r>
      <w:r>
        <w:rPr>
          <w:rFonts w:ascii="Century Gothic" w:hAnsi="Century Gothic" w:cs="Century Gothic" w:eastAsia="Century Gothic"/>
          <w:b w:val="0"/>
          <w:i w:val="0"/>
          <w:sz w:val="20"/>
        </w:rPr>
        <w:t xml:space="preserve"> Llevan (T) la formulación presupuestaria, el análisis de consistencia y el cierre de estados financieros sin nombrar herramienta alguna que se opere (solo el contenido de registro en el SIGEP la nombra).</w:t>
      </w:r>
    </w:p>
    <w:p>
      <w:pPr>
        <w:numPr>
          <w:ilvl w:val="0"/>
          <w:numId w:val="922"/>
        </w:numPr>
        <w:spacing w:before="0" w:after="160" w:line="240" w:lineRule="auto"/>
        <w:jc w:val="both"/>
      </w:pPr>
      <w:r>
        <w:rPr>
          <w:rFonts w:ascii="Century Gothic" w:hAnsi="Century Gothic" w:cs="Century Gothic" w:eastAsia="Century Gothic"/>
          <w:b/>
          <w:i w:val="0"/>
          <w:sz w:val="20"/>
        </w:rPr>
        <w:t>Marcas de saber, E1, Tema 2; E2, Tema 4.</w:t>
      </w:r>
      <w:r>
        <w:rPr>
          <w:rFonts w:ascii="Century Gothic" w:hAnsi="Century Gothic" w:cs="Century Gothic" w:eastAsia="Century Gothic"/>
          <w:b w:val="0"/>
          <w:i w:val="0"/>
          <w:sz w:val="20"/>
        </w:rPr>
        <w:t xml:space="preserve"> Llevan (A) contenidos que solo describen (ODS en los planes, concepto e historia de la responsabilidad, servidores públicos y responsabilidad) sin conducta observable.</w:t>
      </w:r>
    </w:p>
    <w:p>
      <w:pPr>
        <w:numPr>
          <w:ilvl w:val="0"/>
          <w:numId w:val="922"/>
        </w:numPr>
        <w:spacing w:before="0" w:after="160" w:line="240" w:lineRule="auto"/>
        <w:jc w:val="both"/>
      </w:pPr>
      <w:r>
        <w:rPr>
          <w:rFonts w:ascii="Century Gothic" w:hAnsi="Century Gothic" w:cs="Century Gothic" w:eastAsia="Century Gothic"/>
          <w:b/>
          <w:i w:val="0"/>
          <w:sz w:val="20"/>
        </w:rPr>
        <w:t>Circunstanciales, E2, contenidos y conocimientos circunstanciales.</w:t>
      </w:r>
      <w:r>
        <w:rPr>
          <w:rFonts w:ascii="Century Gothic" w:hAnsi="Century Gothic" w:cs="Century Gothic" w:eastAsia="Century Gothic"/>
          <w:b w:val="0"/>
          <w:i w:val="0"/>
          <w:sz w:val="20"/>
        </w:rPr>
        <w:t xml:space="preserve"> Los sistemas de administración y control de la Ley 1178 y la responsabilidad por la función pública se dictan en ADM-201 Administración de Sistemas Gerenciales (tema 12) y la responsabilidad por la función pública con el DS 23318-A, en CPA-504 Auditoría Gubernamental.</w:t>
      </w:r>
    </w:p>
    <w:p>
      <w:pPr>
        <w:numPr>
          <w:ilvl w:val="0"/>
          <w:numId w:val="922"/>
        </w:numPr>
        <w:spacing w:before="0" w:after="160" w:line="240" w:lineRule="auto"/>
        <w:jc w:val="both"/>
      </w:pPr>
      <w:r>
        <w:rPr>
          <w:rFonts w:ascii="Century Gothic" w:hAnsi="Century Gothic" w:cs="Century Gothic" w:eastAsia="Century Gothic"/>
          <w:b/>
          <w:i w:val="0"/>
          <w:sz w:val="20"/>
        </w:rPr>
        <w:t>Circunstanciales, E2 a E6, conocimientos circunstanciales.</w:t>
      </w:r>
      <w:r>
        <w:rPr>
          <w:rFonts w:ascii="Century Gothic" w:hAnsi="Century Gothic" w:cs="Century Gothic" w:eastAsia="Century Gothic"/>
          <w:b w:val="0"/>
          <w:i w:val="0"/>
          <w:sz w:val="20"/>
        </w:rPr>
        <w:t xml:space="preserve"> La columna repite en casi todos los elementos la Ley 1178, las Normas Básicas, directrices y clasificadores, que son el contenido central de la asignatura y no conocimientos circunstanciales; los clasificadores y directrices se listan igual en E3 Temas 5 y 6.</w:t>
      </w:r>
    </w:p>
    <w:p>
      <w:pPr>
        <w:numPr>
          <w:ilvl w:val="0"/>
          <w:numId w:val="922"/>
        </w:numPr>
        <w:spacing w:before="0" w:after="160" w:line="240" w:lineRule="auto"/>
        <w:jc w:val="both"/>
      </w:pPr>
      <w:r>
        <w:rPr>
          <w:rFonts w:ascii="Century Gothic" w:hAnsi="Century Gothic" w:cs="Century Gothic" w:eastAsia="Century Gothic"/>
          <w:b/>
          <w:i w:val="0"/>
          <w:sz w:val="20"/>
        </w:rPr>
        <w:t>Incoherencia interna, Datos generales.</w:t>
      </w:r>
      <w:r>
        <w:rPr>
          <w:rFonts w:ascii="Century Gothic" w:hAnsi="Century Gothic" w:cs="Century Gothic" w:eastAsia="Century Gothic"/>
          <w:b w:val="0"/>
          <w:i w:val="0"/>
          <w:sz w:val="20"/>
        </w:rPr>
        <w:t xml:space="preserve"> El nombre 'Presupuesto y Contabilidad Gubernamental' no coincide con la malla, 'Contabilidad y Presupuestos Gubernamental'.</w:t>
      </w:r>
    </w:p>
    <w:p>
      <w:pPr>
        <w:numPr>
          <w:ilvl w:val="0"/>
          <w:numId w:val="922"/>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no están en blanco (HP 160, TOTAL 240) y el total contradice las 160 h/año de la malla.</w:t>
      </w:r>
    </w:p>
    <w:p>
      <w:pPr>
        <w:numPr>
          <w:ilvl w:val="0"/>
          <w:numId w:val="922"/>
        </w:numPr>
        <w:spacing w:before="0" w:after="160" w:line="240" w:lineRule="auto"/>
        <w:jc w:val="both"/>
      </w:pPr>
      <w:r>
        <w:rPr>
          <w:rFonts w:ascii="Century Gothic" w:hAnsi="Century Gothic" w:cs="Century Gothic" w:eastAsia="Century Gothic"/>
          <w:b/>
          <w:i w:val="0"/>
          <w:sz w:val="20"/>
        </w:rPr>
        <w:t>Incoherencia interna, E1, criterio 1 de E2, criterio 1 de E4.</w:t>
      </w:r>
      <w:r>
        <w:rPr>
          <w:rFonts w:ascii="Century Gothic" w:hAnsi="Century Gothic" w:cs="Century Gothic" w:eastAsia="Century Gothic"/>
          <w:b w:val="0"/>
          <w:i w:val="0"/>
          <w:sz w:val="20"/>
        </w:rPr>
        <w:t xml:space="preserve"> Usan el verbo 'Conoce' (Elemento 1 y dos criterios), que la guía excluye por no ser observable.</w:t>
      </w:r>
    </w:p>
    <w:p>
      <w:pPr>
        <w:numPr>
          <w:ilvl w:val="0"/>
          <w:numId w:val="922"/>
        </w:numPr>
        <w:spacing w:before="0" w:after="160" w:line="240" w:lineRule="auto"/>
        <w:jc w:val="both"/>
      </w:pPr>
      <w:r>
        <w:rPr>
          <w:rFonts w:ascii="Century Gothic" w:hAnsi="Century Gothic" w:cs="Century Gothic" w:eastAsia="Century Gothic"/>
          <w:b/>
          <w:i w:val="0"/>
          <w:sz w:val="20"/>
        </w:rPr>
        <w:t>Incoherencia interna, E1, Tema 2, contenidos 5 y 6.</w:t>
      </w:r>
      <w:r>
        <w:rPr>
          <w:rFonts w:ascii="Century Gothic" w:hAnsi="Century Gothic" w:cs="Century Gothic" w:eastAsia="Century Gothic"/>
          <w:b w:val="0"/>
          <w:i w:val="0"/>
          <w:sz w:val="20"/>
        </w:rPr>
        <w:t xml:space="preserve"> El contenido 'Formulación del Plan Estratégico Institucional articulado con los planes nacionales' está duplicado.</w:t>
      </w:r>
    </w:p>
    <w:p>
      <w:pPr>
        <w:numPr>
          <w:ilvl w:val="0"/>
          <w:numId w:val="922"/>
        </w:numPr>
        <w:spacing w:before="0" w:after="160" w:line="240" w:lineRule="auto"/>
        <w:jc w:val="both"/>
      </w:pPr>
      <w:r>
        <w:rPr>
          <w:rFonts w:ascii="Century Gothic" w:hAnsi="Century Gothic" w:cs="Century Gothic" w:eastAsia="Century Gothic"/>
          <w:b/>
          <w:i w:val="0"/>
          <w:sz w:val="20"/>
        </w:rPr>
        <w:t>Incoherencia interna, E3, Tema 6.</w:t>
      </w:r>
      <w:r>
        <w:rPr>
          <w:rFonts w:ascii="Century Gothic" w:hAnsi="Century Gothic" w:cs="Century Gothic" w:eastAsia="Century Gothic"/>
          <w:b w:val="0"/>
          <w:i w:val="0"/>
          <w:sz w:val="20"/>
        </w:rPr>
        <w:t xml:space="preserve"> El tema se titula 'Formulación Presupuestaria' pero todos sus contenidos son de modificaciones presupuestarias; la formulación está en el Tema 5.</w:t>
      </w:r>
    </w:p>
    <w:p>
      <w:pPr>
        <w:numPr>
          <w:ilvl w:val="0"/>
          <w:numId w:val="922"/>
        </w:numPr>
        <w:spacing w:before="0" w:after="160" w:line="240" w:lineRule="auto"/>
        <w:jc w:val="both"/>
      </w:pPr>
      <w:r>
        <w:rPr>
          <w:rFonts w:ascii="Century Gothic" w:hAnsi="Century Gothic" w:cs="Century Gothic" w:eastAsia="Century Gothic"/>
          <w:b/>
          <w:i w:val="0"/>
          <w:sz w:val="20"/>
        </w:rPr>
        <w:t>Incoherencia interna, E3, criterio 2.</w:t>
      </w:r>
      <w:r>
        <w:rPr>
          <w:rFonts w:ascii="Century Gothic" w:hAnsi="Century Gothic" w:cs="Century Gothic" w:eastAsia="Century Gothic"/>
          <w:b w:val="0"/>
          <w:i w:val="0"/>
          <w:sz w:val="20"/>
        </w:rPr>
        <w:t xml:space="preserve"> Las evidencias aparecen en orden 2.2 y luego 2.1.</w:t>
      </w:r>
    </w:p>
    <w:p>
      <w:pPr>
        <w:numPr>
          <w:ilvl w:val="0"/>
          <w:numId w:val="922"/>
        </w:numPr>
        <w:spacing w:before="0" w:after="160" w:line="240" w:lineRule="auto"/>
        <w:jc w:val="both"/>
      </w:pPr>
      <w:r>
        <w:rPr>
          <w:rFonts w:ascii="Century Gothic" w:hAnsi="Century Gothic" w:cs="Century Gothic" w:eastAsia="Century Gothic"/>
          <w:b/>
          <w:i w:val="0"/>
          <w:sz w:val="20"/>
        </w:rPr>
        <w:t>Incoherencia interna, Rúbricas de los Productos 1, 2, 3, 4, 7, 16, 18 y 19.</w:t>
      </w:r>
      <w:r>
        <w:rPr>
          <w:rFonts w:ascii="Century Gothic" w:hAnsi="Century Gothic" w:cs="Century Gothic" w:eastAsia="Century Gothic"/>
          <w:b w:val="0"/>
          <w:i w:val="0"/>
          <w:sz w:val="20"/>
        </w:rPr>
        <w:t xml:space="preserve"> Tienen dos criterios (el Producto 19 uno solo) en lugar de los tres que exige la guía, pese a que el informe de la subcomisión afirma que las 24 rúbricas tienen tres criterios.</w:t>
      </w:r>
    </w:p>
    <w:p>
      <w:pPr>
        <w:numPr>
          <w:ilvl w:val="0"/>
          <w:numId w:val="922"/>
        </w:numPr>
        <w:spacing w:before="0" w:after="200" w:line="240" w:lineRule="auto"/>
        <w:jc w:val="both"/>
      </w:pPr>
      <w:r>
        <w:rPr>
          <w:rFonts w:ascii="Century Gothic" w:hAnsi="Century Gothic" w:cs="Century Gothic" w:eastAsia="Century Gothic"/>
          <w:b/>
          <w:i w:val="0"/>
          <w:sz w:val="20"/>
        </w:rPr>
        <w:t>Incoherencia interna, E2, Tema 3; E4, Tema 8.</w:t>
      </w:r>
      <w:r>
        <w:rPr>
          <w:rFonts w:ascii="Century Gothic" w:hAnsi="Century Gothic" w:cs="Century Gothic" w:eastAsia="Century Gothic"/>
          <w:b w:val="0"/>
          <w:i w:val="0"/>
          <w:sz w:val="20"/>
        </w:rPr>
        <w:t xml:space="preserve"> Los sistemas de presupuesto, tesorería y crédito público se listan como contenidos en ambos temas.</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general titula la asignatura 'Presupuesto y Contabilidad Gubernamental' (igual que el itinerario), mientras la carta de entrega usa el nombre de la malla, 'Contabilidad y Presupuestos Gubernamental'; ninguno explica el cambio de nombre. El informe califica el documento como conforme a la cadena 1-2-4-4 con 24 rúbricas de 3 criterios, lo que no se verifica (ocho rúbricas tienen dos o un criterio).</w:t>
      </w:r>
    </w:p>
    <w:p>
      <w:pPr>
        <w:spacing w:before="0" w:after="200" w:line="240" w:lineRule="auto"/>
        <w:jc w:val="both"/>
      </w:pPr>
      <w:r>
        <w:rPr>
          <w:rFonts w:ascii="Century Gothic" w:hAnsi="Century Gothic" w:cs="Century Gothic" w:eastAsia="Century Gothic"/>
          <w:b w:val="0"/>
          <w:i w:val="0"/>
          <w:sz w:val="20"/>
        </w:rPr>
        <w:t>Se aplicaron 16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7.21</w:t>
        <w:tab/>
      </w:r>
      <w:r>
        <w:rPr>
          <w:rFonts w:ascii="Century Gothic" w:hAnsi="Century Gothic" w:cs="Century Gothic" w:eastAsia="Century Gothic"/>
          <w:b/>
          <w:i w:val="0"/>
          <w:sz w:val="22"/>
        </w:rPr>
        <w:t>CPA-305 Sistemas Contables ERP y Análisis de Datos</w:t>
      </w:r>
    </w:p>
    <w:p>
      <w:pPr>
        <w:spacing w:before="0" w:after="200" w:line="240" w:lineRule="auto"/>
        <w:jc w:val="both"/>
      </w:pPr>
      <w:r>
        <w:rPr>
          <w:rFonts w:ascii="Century Gothic" w:hAnsi="Century Gothic" w:cs="Century Gothic" w:eastAsia="Century Gothic"/>
          <w:b w:val="0"/>
          <w:i w:val="0"/>
          <w:sz w:val="20"/>
        </w:rPr>
        <w:t xml:space="preserve">Archivo: CPA-305 tecnologias contables automatizados.docx. Cumple 12 de 23 controles, 5 de forma parcial y no cumple 6. Estado: </w:t>
      </w:r>
      <w:r>
        <w:rPr>
          <w:rFonts w:ascii="Century Gothic" w:hAnsi="Century Gothic" w:cs="Century Gothic" w:eastAsia="Century Gothic"/>
          <w:b/>
          <w:i w:val="0"/>
          <w:sz w:val="20"/>
        </w:rPr>
        <w:t>requiere reformulación parcial</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Es un itinerario práctico y bien anclado en el contexto boliviano (SIAT, Formulario 605, RCV, Gestora), pero no cubre lo que promete su nombre de malla: no hay ningún elemento de ERP ni de análisis de datos. Los Productos 21 a 24, con sus rúbricas sin cadena, muestran que ese elemento se perdió. Además, las marcas (T) están mal asignadas y la unidad de competencia no sigue la estructura de la guía.</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Datos generales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nombre «Tecnologías contables Automatizadas» frente a «Sistemas Contables ERP y Análisis de Datos» en la malla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20, 20, 20, 20,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Créditos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créditos llenados: 12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 sin condiciones de calidad explícitas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Rúbricas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 rúbricas para 20 productos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10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 en color rojo (2 fragmentos)</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23"/>
        </w:numPr>
        <w:spacing w:before="0" w:after="160" w:line="240" w:lineRule="auto"/>
        <w:jc w:val="both"/>
      </w:pPr>
      <w:r>
        <w:rPr>
          <w:rFonts w:ascii="Century Gothic" w:hAnsi="Century Gothic" w:cs="Century Gothic" w:eastAsia="Century Gothic"/>
          <w:b/>
          <w:i w:val="0"/>
          <w:sz w:val="20"/>
        </w:rPr>
        <w:t>Coherencia, Rúbricas de los Productos 21 a 24.</w:t>
      </w:r>
      <w:r>
        <w:rPr>
          <w:rFonts w:ascii="Century Gothic" w:hAnsi="Century Gothic" w:cs="Century Gothic" w:eastAsia="Century Gothic"/>
          <w:b w:val="0"/>
          <w:i w:val="0"/>
          <w:sz w:val="20"/>
        </w:rPr>
        <w:t xml:space="preserve"> Hay cuatro rúbricas ('Base de datos por sistema e integrado', 'Ciclo de operaciones en los sistemas', 'Análisis de datos', 'Tablero de indicadores KPIs', 15 % en total) sin elemento, criterio, evidencia ni producto: el itinerario solo tiene 5 elementos y 20 productos, que suman 85 %. Es justamente la parte de ERP y de análisis de datos. Añadir un Elemento 6 sobre la parametrización y operación de un ERP integrado y el análisis de datos (extracción, depuración, modelo de datos y tablero de indicadores), con sus 2 criterios, 4 evidencias y los Productos 21 a 24.</w:t>
      </w:r>
    </w:p>
    <w:p>
      <w:pPr>
        <w:numPr>
          <w:ilvl w:val="0"/>
          <w:numId w:val="923"/>
        </w:numPr>
        <w:spacing w:before="0" w:after="160" w:line="240" w:lineRule="auto"/>
        <w:jc w:val="both"/>
      </w:pPr>
      <w:r>
        <w:rPr>
          <w:rFonts w:ascii="Century Gothic" w:hAnsi="Century Gothic" w:cs="Century Gothic" w:eastAsia="Century Gothic"/>
          <w:b/>
          <w:i w:val="0"/>
          <w:sz w:val="20"/>
        </w:rPr>
        <w:t>Coherencia, Cobertura frente al nombre de la malla ('Sistemas Contables ERP y Análisis de Datos').</w:t>
      </w:r>
      <w:r>
        <w:rPr>
          <w:rFonts w:ascii="Century Gothic" w:hAnsi="Century Gothic" w:cs="Century Gothic" w:eastAsia="Century Gothic"/>
          <w:b w:val="0"/>
          <w:i w:val="0"/>
          <w:sz w:val="20"/>
        </w:rPr>
        <w:t xml:space="preserve"> El contenido es un recorrido por sistemas aislados: contable, activos fijos, inventarios, planillas y SIAT. Ningún contenido trata el ERP (integración de módulos, datos maestros, asientos automáticos, segregación de funciones), que solo aparece en actividades, bibliografía y las rúbricas huérfanas. El análisis de datos se reduce a un contenido del E5 sobre tablas dinámicas y tableros, por debajo de lo que ya da CPA-102 (Power Query, Power Pivot, SQL). Reorientar la asignatura al ERP integrado (ciclos de compras, ventas, inventarios, activos y planillas en un mismo sistema) y a la analítica contable (ETL, modelado de datos, indicadores, visualización), o volver a evaluar el nombre en la malla.</w:t>
      </w:r>
    </w:p>
    <w:p>
      <w:pPr>
        <w:numPr>
          <w:ilvl w:val="0"/>
          <w:numId w:val="923"/>
        </w:numPr>
        <w:spacing w:before="0" w:after="160" w:line="240" w:lineRule="auto"/>
        <w:jc w:val="both"/>
      </w:pPr>
      <w:r>
        <w:rPr>
          <w:rFonts w:ascii="Century Gothic" w:hAnsi="Century Gothic" w:cs="Century Gothic" w:eastAsia="Century Gothic"/>
          <w:b/>
          <w:i w:val="0"/>
          <w:sz w:val="20"/>
        </w:rPr>
        <w:t>Coherencia, E1, criterios 1 y 2 / evidencias 1.1, 1.2 y 2.2.</w:t>
      </w:r>
      <w:r>
        <w:rPr>
          <w:rFonts w:ascii="Century Gothic" w:hAnsi="Century Gothic" w:cs="Century Gothic" w:eastAsia="Century Gothic"/>
          <w:b w:val="0"/>
          <w:i w:val="0"/>
          <w:sz w:val="20"/>
        </w:rPr>
        <w:t xml:space="preserve"> El criterio 1 (revisa y selecciona sistemas estableciendo sus bondades) se evidencia con la instalación y el registro de comprobantes. La comparación escritorio frente a nube (2.2, Producto 4), que corresponde a la selección, está bajo el criterio 2 (genera reportes evaluando riesgos de seguridad). Pasar la comparación al criterio 1 y poner en el criterio 2 una evidencia de reportes y de revisión de la seguridad de accesos.</w:t>
      </w:r>
    </w:p>
    <w:p>
      <w:pPr>
        <w:numPr>
          <w:ilvl w:val="0"/>
          <w:numId w:val="923"/>
        </w:numPr>
        <w:spacing w:before="0" w:after="160" w:line="240" w:lineRule="auto"/>
        <w:jc w:val="both"/>
      </w:pPr>
      <w:r>
        <w:rPr>
          <w:rFonts w:ascii="Century Gothic" w:hAnsi="Century Gothic" w:cs="Century Gothic" w:eastAsia="Century Gothic"/>
          <w:b/>
          <w:i w:val="0"/>
          <w:sz w:val="20"/>
        </w:rPr>
        <w:t>Coherencia, E1, Productos 1 y 2 (rúbricas).</w:t>
      </w:r>
      <w:r>
        <w:rPr>
          <w:rFonts w:ascii="Century Gothic" w:hAnsi="Century Gothic" w:cs="Century Gothic" w:eastAsia="Century Gothic"/>
          <w:b w:val="0"/>
          <w:i w:val="0"/>
          <w:sz w:val="20"/>
        </w:rPr>
        <w:t xml:space="preserve"> La rúbrica del P1 (sistema configurado) evalúa el 'Plan de cuentas', que también forma parte del Producto 2. Además, P1 y P11 ('Sistema … configurado') no son documentos revisables. Usar como productos el reporte de configuración o la ficha de parametrización, y dejar el plan de cuentas en un solo producto.</w:t>
      </w:r>
    </w:p>
    <w:p>
      <w:pPr>
        <w:numPr>
          <w:ilvl w:val="0"/>
          <w:numId w:val="923"/>
        </w:numPr>
        <w:spacing w:before="0" w:after="160" w:line="240" w:lineRule="auto"/>
        <w:jc w:val="both"/>
      </w:pPr>
      <w:r>
        <w:rPr>
          <w:rFonts w:ascii="Century Gothic" w:hAnsi="Century Gothic" w:cs="Century Gothic" w:eastAsia="Century Gothic"/>
          <w:b/>
          <w:i w:val="0"/>
          <w:sz w:val="20"/>
        </w:rPr>
        <w:t>Coherencia, E3, criterio 2, evidencia 2.2 / Producto 12.</w:t>
      </w:r>
      <w:r>
        <w:rPr>
          <w:rFonts w:ascii="Century Gothic" w:hAnsi="Century Gothic" w:cs="Century Gothic" w:eastAsia="Century Gothic"/>
          <w:b w:val="0"/>
          <w:i w:val="0"/>
          <w:sz w:val="20"/>
        </w:rPr>
        <w:t xml:space="preserve"> La toma física y la conciliación con el kárdex no corresponden al criterio 2 (integración del punto de venta con la facturación). El verbo 'Conoce' no es observable, y la rúbrica del P12 mezcla los reportes de clientes y proveedores con la conciliación. Pasar la toma física al criterio 1 o reformular el criterio 2. Usar 'Concilia en equipo la toma física…' y quitar de la rúbrica el criterio de reportes de clientes.</w:t>
      </w:r>
    </w:p>
    <w:p>
      <w:pPr>
        <w:numPr>
          <w:ilvl w:val="0"/>
          <w:numId w:val="923"/>
        </w:numPr>
        <w:spacing w:before="0" w:after="160" w:line="240" w:lineRule="auto"/>
        <w:jc w:val="both"/>
      </w:pPr>
      <w:r>
        <w:rPr>
          <w:rFonts w:ascii="Century Gothic" w:hAnsi="Century Gothic" w:cs="Century Gothic" w:eastAsia="Century Gothic"/>
          <w:b/>
          <w:i w:val="0"/>
          <w:sz w:val="20"/>
        </w:rPr>
        <w:t>Coherencia, Rúbricas de los Productos 3, 6, 8 y 20.</w:t>
      </w:r>
      <w:r>
        <w:rPr>
          <w:rFonts w:ascii="Century Gothic" w:hAnsi="Century Gothic" w:cs="Century Gothic" w:eastAsia="Century Gothic"/>
          <w:b w:val="0"/>
          <w:i w:val="0"/>
          <w:sz w:val="20"/>
        </w:rPr>
        <w:t xml:space="preserve"> Evalúan 'Trabajo en equipo', pero las evidencias 2.1 del E1, 1.2 y 2.2 del E2 y 2.2 del E5 no indican modalidad en equipo (o no la tienen). Ajustar la modalidad de la evidencia o cambiar el criterio actitudinal.</w:t>
      </w:r>
    </w:p>
    <w:p>
      <w:pPr>
        <w:numPr>
          <w:ilvl w:val="0"/>
          <w:numId w:val="923"/>
        </w:numPr>
        <w:spacing w:before="0" w:after="160" w:line="240" w:lineRule="auto"/>
        <w:jc w:val="both"/>
      </w:pPr>
      <w:r>
        <w:rPr>
          <w:rFonts w:ascii="Century Gothic" w:hAnsi="Century Gothic" w:cs="Century Gothic" w:eastAsia="Century Gothic"/>
          <w:b/>
          <w:i w:val="0"/>
          <w:sz w:val="20"/>
        </w:rPr>
        <w:t>Contenido técnico, E1, contenidos.</w:t>
      </w:r>
      <w:r>
        <w:rPr>
          <w:rFonts w:ascii="Century Gothic" w:hAnsi="Century Gothic" w:cs="Century Gothic" w:eastAsia="Century Gothic"/>
          <w:b w:val="0"/>
          <w:i w:val="0"/>
          <w:sz w:val="20"/>
        </w:rPr>
        <w:t xml:space="preserve"> 'Importación de variaciones cambiarias y análisis de los sistemas contables computarizados de escritorio; marco normativo' es un enunciado confuso, y 'Flujo de caja, presupuestos, y análisis y proyección de estados financieros' no tiene criterio ni evidencia que lo respalde. Precisar el primer contenido y retirar el segundo o vincularlo a un producto.</w:t>
      </w:r>
    </w:p>
    <w:p>
      <w:pPr>
        <w:numPr>
          <w:ilvl w:val="0"/>
          <w:numId w:val="923"/>
        </w:numPr>
        <w:spacing w:before="0" w:after="160" w:line="240" w:lineRule="auto"/>
        <w:jc w:val="both"/>
      </w:pPr>
      <w:r>
        <w:rPr>
          <w:rFonts w:ascii="Century Gothic" w:hAnsi="Century Gothic" w:cs="Century Gothic" w:eastAsia="Century Gothic"/>
          <w:b/>
          <w:i w:val="0"/>
          <w:sz w:val="20"/>
        </w:rPr>
        <w:t>Contenido técnico, Bibliografía.</w:t>
      </w:r>
      <w:r>
        <w:rPr>
          <w:rFonts w:ascii="Century Gothic" w:hAnsi="Century Gothic" w:cs="Century Gothic" w:eastAsia="Century Gothic"/>
          <w:b w:val="0"/>
          <w:i w:val="0"/>
          <w:sz w:val="20"/>
        </w:rPr>
        <w:t xml:space="preserve"> Solo hay una referencia sobre ERP (Monk y Wagner, 2013) y ninguna sobre análisis de datos contables. 'Uribe Medina (s.f.) … 2023' tiene un año contradictorio. XBRL y COBIT figuran sin ningún contenido que los use. Incluir bibliografía vigente de ERP y de analítica de datos, y depurar las referencias que no se usan.</w:t>
      </w:r>
    </w:p>
    <w:p>
      <w:pPr>
        <w:numPr>
          <w:ilvl w:val="0"/>
          <w:numId w:val="923"/>
        </w:numPr>
        <w:spacing w:before="0" w:after="160" w:line="240" w:lineRule="auto"/>
        <w:jc w:val="both"/>
      </w:pPr>
      <w:r>
        <w:rPr>
          <w:rFonts w:ascii="Century Gothic" w:hAnsi="Century Gothic" w:cs="Century Gothic" w:eastAsia="Century Gothic"/>
          <w:b/>
          <w:i w:val="0"/>
          <w:sz w:val="20"/>
        </w:rPr>
        <w:t>Marcas de saber, E2, E3 y E4, contenidos.</w:t>
      </w:r>
      <w:r>
        <w:rPr>
          <w:rFonts w:ascii="Century Gothic" w:hAnsi="Century Gothic" w:cs="Century Gothic" w:eastAsia="Century Gothic"/>
          <w:b w:val="0"/>
          <w:i w:val="0"/>
          <w:sz w:val="20"/>
        </w:rPr>
        <w:t xml:space="preserve"> Casi todas las operaciones en software (registro, baja y revalúo de activos, reportes del sistema, codificación, parametrización de planillas, reportes de papeletas) llevan solo (C) o (P), sin (T), aunque se ejecutan en el sistema.</w:t>
      </w:r>
    </w:p>
    <w:p>
      <w:pPr>
        <w:numPr>
          <w:ilvl w:val="0"/>
          <w:numId w:val="923"/>
        </w:numPr>
        <w:spacing w:before="0" w:after="160" w:line="240" w:lineRule="auto"/>
        <w:jc w:val="both"/>
      </w:pPr>
      <w:r>
        <w:rPr>
          <w:rFonts w:ascii="Century Gothic" w:hAnsi="Century Gothic" w:cs="Century Gothic" w:eastAsia="Century Gothic"/>
          <w:b/>
          <w:i w:val="0"/>
          <w:sz w:val="20"/>
        </w:rPr>
        <w:t>Marcas de saber, E1, E3 y E5, contenidos.</w:t>
      </w:r>
      <w:r>
        <w:rPr>
          <w:rFonts w:ascii="Century Gothic" w:hAnsi="Century Gothic" w:cs="Century Gothic" w:eastAsia="Century Gothic"/>
          <w:b w:val="0"/>
          <w:i w:val="0"/>
          <w:sz w:val="20"/>
        </w:rPr>
        <w:t xml:space="preserve"> La (T) está en contenidos solo conceptuales ('Fundamentos de computación en la nube…', 'Contabilidad colaborativa y plataformas cloud', 'Criterios de selección…', 'Modalidades del Sistema de Facturación…'). En cambio, 'Instalación del software…' se marca (C, T) cuando es (P, T).</w:t>
      </w:r>
    </w:p>
    <w:p>
      <w:pPr>
        <w:numPr>
          <w:ilvl w:val="0"/>
          <w:numId w:val="923"/>
        </w:numPr>
        <w:spacing w:before="0" w:after="160" w:line="240" w:lineRule="auto"/>
        <w:jc w:val="both"/>
      </w:pPr>
      <w:r>
        <w:rPr>
          <w:rFonts w:ascii="Century Gothic" w:hAnsi="Century Gothic" w:cs="Century Gothic" w:eastAsia="Century Gothic"/>
          <w:b/>
          <w:i w:val="0"/>
          <w:sz w:val="20"/>
        </w:rPr>
        <w:t>Marcas de saber, E5, 'Analítica de datos aplicada…'.</w:t>
      </w:r>
      <w:r>
        <w:rPr>
          <w:rFonts w:ascii="Century Gothic" w:hAnsi="Century Gothic" w:cs="Century Gothic" w:eastAsia="Century Gothic"/>
          <w:b w:val="0"/>
          <w:i w:val="0"/>
          <w:sz w:val="20"/>
        </w:rPr>
        <w:t xml:space="preserve"> Está marcada (C, T), pero la evidencia 1.2 usa tablas dinámicas; corresponde (P, T).</w:t>
      </w:r>
    </w:p>
    <w:p>
      <w:pPr>
        <w:numPr>
          <w:ilvl w:val="0"/>
          <w:numId w:val="923"/>
        </w:numPr>
        <w:spacing w:before="0" w:after="160" w:line="240" w:lineRule="auto"/>
        <w:jc w:val="both"/>
      </w:pPr>
      <w:r>
        <w:rPr>
          <w:rFonts w:ascii="Century Gothic" w:hAnsi="Century Gothic" w:cs="Century Gothic" w:eastAsia="Century Gothic"/>
          <w:b/>
          <w:i w:val="0"/>
          <w:sz w:val="20"/>
        </w:rPr>
        <w:t>Circunstanciales, E1, conocimientos circunstanciales.</w:t>
      </w:r>
      <w:r>
        <w:rPr>
          <w:rFonts w:ascii="Century Gothic" w:hAnsi="Century Gothic" w:cs="Century Gothic" w:eastAsia="Century Gothic"/>
          <w:b w:val="0"/>
          <w:i w:val="0"/>
          <w:sz w:val="20"/>
        </w:rPr>
        <w:t xml:space="preserve"> 'Instalación de software, configuración y operación del sistema contable de escritorio' repite el contenido del Tema 1. Además, una celda está vacía (' / /').</w:t>
      </w:r>
    </w:p>
    <w:p>
      <w:pPr>
        <w:numPr>
          <w:ilvl w:val="0"/>
          <w:numId w:val="923"/>
        </w:numPr>
        <w:spacing w:before="0" w:after="160" w:line="240" w:lineRule="auto"/>
        <w:jc w:val="both"/>
      </w:pPr>
      <w:r>
        <w:rPr>
          <w:rFonts w:ascii="Century Gothic" w:hAnsi="Century Gothic" w:cs="Century Gothic" w:eastAsia="Century Gothic"/>
          <w:b/>
          <w:i w:val="0"/>
          <w:sz w:val="20"/>
        </w:rPr>
        <w:t>Incoherencia interna, Datos generales.</w:t>
      </w:r>
      <w:r>
        <w:rPr>
          <w:rFonts w:ascii="Century Gothic" w:hAnsi="Century Gothic" w:cs="Century Gothic" w:eastAsia="Century Gothic"/>
          <w:b w:val="0"/>
          <w:i w:val="0"/>
          <w:sz w:val="20"/>
        </w:rPr>
        <w:t xml:space="preserve"> El nombre 'Tecnologías contables Automatizadas' (con mayúscula irregular) no coincide con la malla: 'Sistemas Contables ERP y Análisis de Datos'.</w:t>
      </w:r>
    </w:p>
    <w:p>
      <w:pPr>
        <w:numPr>
          <w:ilvl w:val="0"/>
          <w:numId w:val="923"/>
        </w:numPr>
        <w:spacing w:before="0" w:after="160" w:line="240" w:lineRule="auto"/>
        <w:jc w:val="both"/>
      </w:pPr>
      <w:r>
        <w:rPr>
          <w:rFonts w:ascii="Century Gothic" w:hAnsi="Century Gothic" w:cs="Century Gothic" w:eastAsia="Century Gothic"/>
          <w:b/>
          <w:i w:val="0"/>
          <w:sz w:val="20"/>
        </w:rPr>
        <w:t>Incoherencia interna, Carga horaria y créditos.</w:t>
      </w:r>
      <w:r>
        <w:rPr>
          <w:rFonts w:ascii="Century Gothic" w:hAnsi="Century Gothic" w:cs="Century Gothic" w:eastAsia="Century Gothic"/>
          <w:b w:val="0"/>
          <w:i w:val="0"/>
          <w:sz w:val="20"/>
        </w:rPr>
        <w:t xml:space="preserve"> Están llenados (HP 160, TOTAL 240, 12 créditos) cuando deben quedar en blanco, y contradicen la malla (160 h/año, 8 créditos).</w:t>
      </w:r>
    </w:p>
    <w:p>
      <w:pPr>
        <w:numPr>
          <w:ilvl w:val="0"/>
          <w:numId w:val="923"/>
        </w:numPr>
        <w:spacing w:before="0" w:after="160" w:line="240" w:lineRule="auto"/>
        <w:jc w:val="both"/>
      </w:pPr>
      <w:r>
        <w:rPr>
          <w:rFonts w:ascii="Century Gothic" w:hAnsi="Century Gothic" w:cs="Century Gothic" w:eastAsia="Century Gothic"/>
          <w:b/>
          <w:i w:val="0"/>
          <w:sz w:val="20"/>
        </w:rPr>
        <w:t>Incoherencia interna, Unidad de competencia.</w:t>
      </w:r>
      <w:r>
        <w:rPr>
          <w:rFonts w:ascii="Century Gothic" w:hAnsi="Century Gothic" w:cs="Century Gothic" w:eastAsia="Century Gothic"/>
          <w:b w:val="0"/>
          <w:i w:val="0"/>
          <w:sz w:val="20"/>
        </w:rPr>
        <w:t xml:space="preserve"> Empieza con 'Conoce', un verbo no observable. No tiene procesos en gerundio, contexto boliviano ni condiciones de calidad (ética, precisión), y promete 'plataformas de análisis de datos' que ningún elemento desarrolla.</w:t>
      </w:r>
    </w:p>
    <w:p>
      <w:pPr>
        <w:numPr>
          <w:ilvl w:val="0"/>
          <w:numId w:val="923"/>
        </w:numPr>
        <w:spacing w:before="0" w:after="160" w:line="240" w:lineRule="auto"/>
        <w:jc w:val="both"/>
      </w:pPr>
      <w:r>
        <w:rPr>
          <w:rFonts w:ascii="Century Gothic" w:hAnsi="Century Gothic" w:cs="Century Gothic" w:eastAsia="Century Gothic"/>
          <w:b/>
          <w:i w:val="0"/>
          <w:sz w:val="20"/>
        </w:rPr>
        <w:t>Incoherencia interna, E4 y E5 frente a CPA-203 y DER-102.</w:t>
      </w:r>
      <w:r>
        <w:rPr>
          <w:rFonts w:ascii="Century Gothic" w:hAnsi="Century Gothic" w:cs="Century Gothic" w:eastAsia="Century Gothic"/>
          <w:b w:val="0"/>
          <w:i w:val="0"/>
          <w:sz w:val="20"/>
        </w:rPr>
        <w:t xml:space="preserve"> El cálculo del RC-IVA, la planilla tributaria, los aportes y el RCV ya se dictan en CPA-203 (Producto 7, planilla tributaria) y DER-102. Aquí deberían limitarse a su operación en el sistema y en el SIAT, sin volver a enseñar el cálculo.</w:t>
      </w:r>
    </w:p>
    <w:p>
      <w:pPr>
        <w:numPr>
          <w:ilvl w:val="0"/>
          <w:numId w:val="923"/>
        </w:numPr>
        <w:spacing w:before="0" w:after="160" w:line="240" w:lineRule="auto"/>
        <w:jc w:val="both"/>
      </w:pPr>
      <w:r>
        <w:rPr>
          <w:rFonts w:ascii="Century Gothic" w:hAnsi="Century Gothic" w:cs="Century Gothic" w:eastAsia="Century Gothic"/>
          <w:b/>
          <w:i w:val="0"/>
          <w:sz w:val="20"/>
        </w:rPr>
        <w:t>Incoherencia interna, Solapamiento con CPA-404 y CPA-505.</w:t>
      </w:r>
      <w:r>
        <w:rPr>
          <w:rFonts w:ascii="Century Gothic" w:hAnsi="Century Gothic" w:cs="Century Gothic" w:eastAsia="Century Gothic"/>
          <w:b w:val="0"/>
          <w:i w:val="0"/>
          <w:sz w:val="20"/>
        </w:rPr>
        <w:t xml:space="preserve"> Los subsistemas de activos fijos, inventarios, nóminas y facturación en línea se operan aquí y se vuelven a diseñar en CPA-404 E4 (progresión aceptable). Los perfiles de acceso, las pistas de auditoría, el respaldo y la continuidad se repiten en CPA-305 (E1, P1 y P4), CPA-404 (controles de aplicación, riesgos tecnológicos) y CPA-505 E3 (P10 y P12, con los mismos descriptores de restauración de respaldos). El ERP, que la malla asigna a CPA-305, aparece de verdad en CPA-404 E1 y en la tipología de CPA-505 E1.</w:t>
      </w:r>
    </w:p>
    <w:p>
      <w:pPr>
        <w:numPr>
          <w:ilvl w:val="0"/>
          <w:numId w:val="923"/>
        </w:numPr>
        <w:spacing w:before="0" w:after="200" w:line="240" w:lineRule="auto"/>
        <w:jc w:val="both"/>
      </w:pPr>
      <w:r>
        <w:rPr>
          <w:rFonts w:ascii="Century Gothic" w:hAnsi="Century Gothic" w:cs="Century Gothic" w:eastAsia="Century Gothic"/>
          <w:b/>
          <w:i w:val="0"/>
          <w:sz w:val="20"/>
        </w:rPr>
        <w:t>Incoherencia interna, Elementos 1 y 3.</w:t>
      </w:r>
      <w:r>
        <w:rPr>
          <w:rFonts w:ascii="Century Gothic" w:hAnsi="Century Gothic" w:cs="Century Gothic" w:eastAsia="Century Gothic"/>
          <w:b w:val="0"/>
          <w:i w:val="0"/>
          <w:sz w:val="20"/>
        </w:rPr>
        <w:t xml:space="preserve"> Les faltan los dos puntos tras el número ('Elemento de competencia 1 Opera…', 'Elemento de competencia 3 Administra…') y el punto final.</w:t>
      </w:r>
    </w:p>
    <w:p>
      <w:pPr>
        <w:spacing w:before="0" w:after="200" w:line="240" w:lineRule="auto"/>
        <w:jc w:val="both"/>
      </w:pPr>
      <w:r>
        <w:rPr>
          <w:rFonts w:ascii="Century Gothic" w:hAnsi="Century Gothic" w:cs="Century Gothic" w:eastAsia="Century Gothic"/>
          <w:b w:val="0"/>
          <w:i w:val="0"/>
          <w:sz w:val="20"/>
        </w:rPr>
        <w:t>Se aplicaron 10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7.22</w:t>
        <w:tab/>
      </w:r>
      <w:r>
        <w:rPr>
          <w:rFonts w:ascii="Century Gothic" w:hAnsi="Century Gothic" w:cs="Century Gothic" w:eastAsia="Century Gothic"/>
          <w:b/>
          <w:i w:val="0"/>
          <w:sz w:val="22"/>
        </w:rPr>
        <w:t>ADM-301 Desarrollo Organizacional y Comportamiento Organizacional</w:t>
      </w:r>
    </w:p>
    <w:p>
      <w:pPr>
        <w:spacing w:before="0" w:after="200" w:line="240" w:lineRule="auto"/>
        <w:jc w:val="both"/>
      </w:pPr>
      <w:r>
        <w:rPr>
          <w:rFonts w:ascii="Century Gothic" w:hAnsi="Century Gothic" w:cs="Century Gothic" w:eastAsia="Century Gothic"/>
          <w:b w:val="0"/>
          <w:i w:val="0"/>
          <w:sz w:val="20"/>
        </w:rPr>
        <w:t xml:space="preserve">Archivo: ADM 301 pdf.pdf. Cumple 14 de 23 controles, 4 de forma parcial y no cumple 5.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Es el itinerario mejor construido del grupo: la estructura está completa, las rúbricas son propias de cada producto, los pesos son enteros y hay contenidos actitudinales y tecnológicos con sustento. Sus problemas son de alcance: la mitad de los elementos sale del nombre de la asignatura y se repite con ADM-201, ADM-101 y ECO-301, y los conocimientos circunstanciales casi siempre son temas que ya se dictan en otras asignaturas.</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 , , , 180)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condiciones de calidad explícitas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C7</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Dos criterios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E4: 3 criterios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 de 19 contenidos sin marca C, P, A o T</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Saberes A y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contenidos tecnológicos (T)</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5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entregado en PDF y no en Word editable; algunos textos en otra fuente (Arial)</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24"/>
        </w:numPr>
        <w:spacing w:before="0" w:after="160" w:line="240" w:lineRule="auto"/>
        <w:jc w:val="both"/>
      </w:pPr>
      <w:r>
        <w:rPr>
          <w:rFonts w:ascii="Century Gothic" w:hAnsi="Century Gothic" w:cs="Century Gothic" w:eastAsia="Century Gothic"/>
          <w:b/>
          <w:i w:val="0"/>
          <w:sz w:val="20"/>
        </w:rPr>
        <w:t>Coherencia, Elemento 4.</w:t>
      </w:r>
      <w:r>
        <w:rPr>
          <w:rFonts w:ascii="Century Gothic" w:hAnsi="Century Gothic" w:cs="Century Gothic" w:eastAsia="Century Gothic"/>
          <w:b w:val="0"/>
          <w:i w:val="0"/>
          <w:sz w:val="20"/>
        </w:rPr>
        <w:t xml:space="preserve"> La frase «presentándolas en factores para la toma de decisiones» no tiene sentido claro y no corresponde a los criterios, que hablan de tableros de seguimiento. Redactar, por ejemplo: «…evaluando sus riesgos y presentándolas en tableros de indicadores para su seguimiento».</w:t>
      </w:r>
    </w:p>
    <w:p>
      <w:pPr>
        <w:numPr>
          <w:ilvl w:val="0"/>
          <w:numId w:val="924"/>
        </w:numPr>
        <w:spacing w:before="0" w:after="160" w:line="240" w:lineRule="auto"/>
        <w:jc w:val="both"/>
      </w:pPr>
      <w:r>
        <w:rPr>
          <w:rFonts w:ascii="Century Gothic" w:hAnsi="Century Gothic" w:cs="Century Gothic" w:eastAsia="Century Gothic"/>
          <w:b/>
          <w:i w:val="0"/>
          <w:sz w:val="20"/>
        </w:rPr>
        <w:t>Coherencia, E1, criterio 2, evidencias 2.1 y 2.2 / Productos 3 y 4.</w:t>
      </w:r>
      <w:r>
        <w:rPr>
          <w:rFonts w:ascii="Century Gothic" w:hAnsi="Century Gothic" w:cs="Century Gothic" w:eastAsia="Century Gothic"/>
          <w:b w:val="0"/>
          <w:i w:val="0"/>
          <w:sz w:val="20"/>
        </w:rPr>
        <w:t xml:space="preserve"> El criterio pide evaluar con indicadores de rotación, desempeño y costo laboral, pero la evidencia 2.2 y la rúbrica del Producto 4 omiten el indicador de desempeño; además, 2.1 solo «describe» los procesos. Incluir el desempeño en 2.2 y en la rúbrica 4, y en 2.1 pedir una valoración de los procesos.</w:t>
      </w:r>
    </w:p>
    <w:p>
      <w:pPr>
        <w:numPr>
          <w:ilvl w:val="0"/>
          <w:numId w:val="924"/>
        </w:numPr>
        <w:spacing w:before="0" w:after="160" w:line="240" w:lineRule="auto"/>
        <w:jc w:val="both"/>
      </w:pPr>
      <w:r>
        <w:rPr>
          <w:rFonts w:ascii="Century Gothic" w:hAnsi="Century Gothic" w:cs="Century Gothic" w:eastAsia="Century Gothic"/>
          <w:b/>
          <w:i w:val="0"/>
          <w:sz w:val="20"/>
        </w:rPr>
        <w:t>Coherencia, E3, criterio 2 / Producto 12.</w:t>
      </w:r>
      <w:r>
        <w:rPr>
          <w:rFonts w:ascii="Century Gothic" w:hAnsi="Century Gothic" w:cs="Century Gothic" w:eastAsia="Century Gothic"/>
          <w:b w:val="0"/>
          <w:i w:val="0"/>
          <w:sz w:val="20"/>
        </w:rPr>
        <w:t xml:space="preserve"> El elemento de cambio organizacional incluye la implementación de la estrategia (Producto 12), que continúa la formulación estratégica de E2 (Producto 8) y se superpone con el tablero de E4 (Producto 16). Concentrar la implementación estratégica en un solo elemento o diferenciar con claridad los tableros de los Productos 12 y 16.</w:t>
      </w:r>
    </w:p>
    <w:p>
      <w:pPr>
        <w:numPr>
          <w:ilvl w:val="0"/>
          <w:numId w:val="924"/>
        </w:numPr>
        <w:spacing w:before="0" w:after="160" w:line="240" w:lineRule="auto"/>
        <w:jc w:val="both"/>
      </w:pPr>
      <w:r>
        <w:rPr>
          <w:rFonts w:ascii="Century Gothic" w:hAnsi="Century Gothic" w:cs="Century Gothic" w:eastAsia="Century Gothic"/>
          <w:b/>
          <w:i w:val="0"/>
          <w:sz w:val="20"/>
        </w:rPr>
        <w:t>Contenido técnico, Bibliografía complementaria, Kotler.</w:t>
      </w:r>
      <w:r>
        <w:rPr>
          <w:rFonts w:ascii="Century Gothic" w:hAnsi="Century Gothic" w:cs="Century Gothic" w:eastAsia="Century Gothic"/>
          <w:b w:val="0"/>
          <w:i w:val="0"/>
          <w:sz w:val="20"/>
        </w:rPr>
        <w:t xml:space="preserve"> «Fundamentos de Marketing» es obra de Kotler y Armstrong; la referencia omite al coautor. Citar «Kotler, P. y Armstrong, G. (año). Fundamentos de Marketing. Pearson» con la edición vigente.</w:t>
      </w:r>
    </w:p>
    <w:p>
      <w:pPr>
        <w:numPr>
          <w:ilvl w:val="0"/>
          <w:numId w:val="924"/>
        </w:numPr>
        <w:spacing w:before="0" w:after="160" w:line="240" w:lineRule="auto"/>
        <w:jc w:val="both"/>
      </w:pPr>
      <w:r>
        <w:rPr>
          <w:rFonts w:ascii="Century Gothic" w:hAnsi="Century Gothic" w:cs="Century Gothic" w:eastAsia="Century Gothic"/>
          <w:b/>
          <w:i w:val="0"/>
          <w:sz w:val="20"/>
        </w:rPr>
        <w:t>Marcas de saber, E2, contenido 8.</w:t>
      </w:r>
      <w:r>
        <w:rPr>
          <w:rFonts w:ascii="Century Gothic" w:hAnsi="Century Gothic" w:cs="Century Gothic" w:eastAsia="Century Gothic"/>
          <w:b w:val="0"/>
          <w:i w:val="0"/>
          <w:sz w:val="20"/>
        </w:rPr>
        <w:t xml:space="preserve"> «Gobierno corporativo, RSE y criterios ESG… (C, A)» es descriptivo y ninguna evidencia ni rúbrica de E2 observa esa conducta.</w:t>
      </w:r>
    </w:p>
    <w:p>
      <w:pPr>
        <w:numPr>
          <w:ilvl w:val="0"/>
          <w:numId w:val="924"/>
        </w:numPr>
        <w:spacing w:before="0" w:after="160" w:line="240" w:lineRule="auto"/>
        <w:jc w:val="both"/>
      </w:pPr>
      <w:r>
        <w:rPr>
          <w:rFonts w:ascii="Century Gothic" w:hAnsi="Century Gothic" w:cs="Century Gothic" w:eastAsia="Century Gothic"/>
          <w:b/>
          <w:i w:val="0"/>
          <w:sz w:val="20"/>
        </w:rPr>
        <w:t>Marcas de saber, E4, contenido 3.</w:t>
      </w:r>
      <w:r>
        <w:rPr>
          <w:rFonts w:ascii="Century Gothic" w:hAnsi="Century Gothic" w:cs="Century Gothic" w:eastAsia="Century Gothic"/>
          <w:b w:val="0"/>
          <w:i w:val="0"/>
          <w:sz w:val="20"/>
        </w:rPr>
        <w:t xml:space="preserve"> «Sesgos cognitivos, heurísticas y trampas psicológicas… (C, A)» es un contenido cognitivo y procedimental (identificar y mitigar); la marca (A) no tiene sustento.</w:t>
      </w:r>
    </w:p>
    <w:p>
      <w:pPr>
        <w:numPr>
          <w:ilvl w:val="0"/>
          <w:numId w:val="924"/>
        </w:numPr>
        <w:spacing w:before="0" w:after="160" w:line="240" w:lineRule="auto"/>
        <w:jc w:val="both"/>
      </w:pPr>
      <w:r>
        <w:rPr>
          <w:rFonts w:ascii="Century Gothic" w:hAnsi="Century Gothic" w:cs="Century Gothic" w:eastAsia="Century Gothic"/>
          <w:b/>
          <w:i w:val="0"/>
          <w:sz w:val="20"/>
        </w:rPr>
        <w:t>Circunstanciales, E2, E3, E4, E5 y E6.</w:t>
      </w:r>
      <w:r>
        <w:rPr>
          <w:rFonts w:ascii="Century Gothic" w:hAnsi="Century Gothic" w:cs="Century Gothic" w:eastAsia="Century Gothic"/>
          <w:b w:val="0"/>
          <w:i w:val="0"/>
          <w:sz w:val="20"/>
        </w:rPr>
        <w:t xml:space="preserve"> La mayoría de los conocimientos circunstanciales se dictan en otras asignaturas: enfoque de sistemas, sistema de planificación, fines y objetivos de la organización, control integrado, sistema de información y empresa como sistema (ADM-201, que incluso se cita como «Articulación con ADM-201»); proceso administrativo, toma de decisiones y delegación de autoridad (ADM-101).</w:t>
      </w:r>
    </w:p>
    <w:p>
      <w:pPr>
        <w:numPr>
          <w:ilvl w:val="0"/>
          <w:numId w:val="924"/>
        </w:numPr>
        <w:spacing w:before="0" w:after="160" w:line="240" w:lineRule="auto"/>
        <w:jc w:val="both"/>
      </w:pPr>
      <w:r>
        <w:rPr>
          <w:rFonts w:ascii="Century Gothic" w:hAnsi="Century Gothic" w:cs="Century Gothic" w:eastAsia="Century Gothic"/>
          <w:b/>
          <w:i w:val="0"/>
          <w:sz w:val="20"/>
        </w:rPr>
        <w:t>Circunstanciales, E2 y E1.</w:t>
      </w:r>
      <w:r>
        <w:rPr>
          <w:rFonts w:ascii="Century Gothic" w:hAnsi="Century Gothic" w:cs="Century Gothic" w:eastAsia="Century Gothic"/>
          <w:b w:val="0"/>
          <w:i w:val="0"/>
          <w:sz w:val="20"/>
        </w:rPr>
        <w:t xml:space="preserve"> Las técnicas de investigación (entrevista, grupo focal y observación) se dictan en CPA-204. El aporte de la escuela de relaciones humanas se dicta en ADM-101 (Tema 3).</w:t>
      </w:r>
    </w:p>
    <w:p>
      <w:pPr>
        <w:numPr>
          <w:ilvl w:val="0"/>
          <w:numId w:val="924"/>
        </w:numPr>
        <w:spacing w:before="0" w:after="160" w:line="240" w:lineRule="auto"/>
        <w:jc w:val="both"/>
      </w:pPr>
      <w:r>
        <w:rPr>
          <w:rFonts w:ascii="Century Gothic" w:hAnsi="Century Gothic" w:cs="Century Gothic" w:eastAsia="Century Gothic"/>
          <w:b/>
          <w:i w:val="0"/>
          <w:sz w:val="20"/>
        </w:rPr>
        <w:t>Circunstanciales, E6.</w:t>
      </w:r>
      <w:r>
        <w:rPr>
          <w:rFonts w:ascii="Century Gothic" w:hAnsi="Century Gothic" w:cs="Century Gothic" w:eastAsia="Century Gothic"/>
          <w:b w:val="0"/>
          <w:i w:val="0"/>
          <w:sz w:val="20"/>
        </w:rPr>
        <w:t xml:space="preserve"> «Experiencia con chatbot de acuerdo al modelo de negocios» es una actividad, no un conocimiento.</w:t>
      </w:r>
    </w:p>
    <w:p>
      <w:pPr>
        <w:numPr>
          <w:ilvl w:val="0"/>
          <w:numId w:val="924"/>
        </w:numPr>
        <w:spacing w:before="0" w:after="160" w:line="240" w:lineRule="auto"/>
        <w:jc w:val="both"/>
      </w:pPr>
      <w:r>
        <w:rPr>
          <w:rFonts w:ascii="Century Gothic" w:hAnsi="Century Gothic" w:cs="Century Gothic" w:eastAsia="Century Gothic"/>
          <w:b/>
          <w:i w:val="0"/>
          <w:sz w:val="20"/>
        </w:rPr>
        <w:t>Incoherencia interna, Verificación manual de estructura.</w:t>
      </w:r>
      <w:r>
        <w:rPr>
          <w:rFonts w:ascii="Century Gothic" w:hAnsi="Century Gothic" w:cs="Century Gothic" w:eastAsia="Century Gothic"/>
          <w:b w:val="0"/>
          <w:i w:val="0"/>
          <w:sz w:val="20"/>
        </w:rPr>
        <w:t xml:space="preserve"> 6 elementos, cada uno con 2 criterios (también E4: el aviso automático de 3 criterios es un error de conversión), 4 evidencias numeradas 1.1 a 2.2 y 4 productos (Productos 1 a 24). Las 24 rúbricas tienen 3 criterios y niveles 1–50, 51–80 y 81–100. Los pesos son enteros y suman 100 %: 12 × 5 + 4 + 4 + 4 + 3 + 7 × 3 + 4. Hay contenidos (T) en E1 (17), E3 (4), E5 (4) y E6 (3 y 4), y los 87 contenidos tienen marca, contra lo que dicen los avisos automáticos.</w:t>
      </w:r>
    </w:p>
    <w:p>
      <w:pPr>
        <w:numPr>
          <w:ilvl w:val="0"/>
          <w:numId w:val="924"/>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HP = 160 y TOTAL = 180 están llenados; el total no coincide con la suma de lo llenado ni con las 160 h/año de la malla.</w:t>
      </w:r>
    </w:p>
    <w:p>
      <w:pPr>
        <w:numPr>
          <w:ilvl w:val="0"/>
          <w:numId w:val="924"/>
        </w:numPr>
        <w:spacing w:before="0" w:after="160" w:line="240" w:lineRule="auto"/>
        <w:jc w:val="both"/>
      </w:pPr>
      <w:r>
        <w:rPr>
          <w:rFonts w:ascii="Century Gothic" w:hAnsi="Century Gothic" w:cs="Century Gothic" w:eastAsia="Century Gothic"/>
          <w:b/>
          <w:i w:val="0"/>
          <w:sz w:val="20"/>
        </w:rPr>
        <w:t>Incoherencia interna, E4, E5 y E6 frente al nombre de la asignatura.</w:t>
      </w:r>
      <w:r>
        <w:rPr>
          <w:rFonts w:ascii="Century Gothic" w:hAnsi="Century Gothic" w:cs="Century Gothic" w:eastAsia="Century Gothic"/>
          <w:b w:val="0"/>
          <w:i w:val="0"/>
          <w:sz w:val="20"/>
        </w:rPr>
        <w:t xml:space="preserve"> Toma de decisiones gerenciales, marketing, modelo y plan de negocios e IA ocupan la mitad de los elementos y exceden el «Desarrollo Organizacional y Comportamiento Organizacional».</w:t>
      </w:r>
    </w:p>
    <w:p>
      <w:pPr>
        <w:numPr>
          <w:ilvl w:val="0"/>
          <w:numId w:val="924"/>
        </w:numPr>
        <w:spacing w:before="0" w:after="160" w:line="240" w:lineRule="auto"/>
        <w:jc w:val="both"/>
      </w:pPr>
      <w:r>
        <w:rPr>
          <w:rFonts w:ascii="Century Gothic" w:hAnsi="Century Gothic" w:cs="Century Gothic" w:eastAsia="Century Gothic"/>
          <w:b/>
          <w:i w:val="0"/>
          <w:sz w:val="20"/>
        </w:rPr>
        <w:t>Incoherencia interna, E6, contenidos 10 a 13.</w:t>
      </w:r>
      <w:r>
        <w:rPr>
          <w:rFonts w:ascii="Century Gothic" w:hAnsi="Century Gothic" w:cs="Century Gothic" w:eastAsia="Century Gothic"/>
          <w:b w:val="0"/>
          <w:i w:val="0"/>
          <w:sz w:val="20"/>
        </w:rPr>
        <w:t xml:space="preserve"> El estudio de mercado, el plan técnico y operativo, la inversión inicial y las fuentes de financiamiento se repiten con ECO-301 Preparación y Evaluación de Proyectos.</w:t>
      </w:r>
    </w:p>
    <w:p>
      <w:pPr>
        <w:numPr>
          <w:ilvl w:val="0"/>
          <w:numId w:val="924"/>
        </w:numPr>
        <w:spacing w:before="0" w:after="160" w:line="240" w:lineRule="auto"/>
        <w:jc w:val="both"/>
      </w:pPr>
      <w:r>
        <w:rPr>
          <w:rFonts w:ascii="Century Gothic" w:hAnsi="Century Gothic" w:cs="Century Gothic" w:eastAsia="Century Gothic"/>
          <w:b/>
          <w:i w:val="0"/>
          <w:sz w:val="20"/>
        </w:rPr>
        <w:t>Incoherencia interna, E2 y E4.</w:t>
      </w:r>
      <w:r>
        <w:rPr>
          <w:rFonts w:ascii="Century Gothic" w:hAnsi="Century Gothic" w:cs="Century Gothic" w:eastAsia="Century Gothic"/>
          <w:b w:val="0"/>
          <w:i w:val="0"/>
          <w:sz w:val="20"/>
        </w:rPr>
        <w:t xml:space="preserve"> La formulación estratégica (PESTEL, misión, visión, objetivos) repite ADM-101 (Producto 5) y ADM-201 (Producto 9). Los árboles de decisión, los tableros y el CMI repiten ADM-201 (E2 y E3).</w:t>
      </w:r>
    </w:p>
    <w:p>
      <w:pPr>
        <w:numPr>
          <w:ilvl w:val="0"/>
          <w:numId w:val="924"/>
        </w:numPr>
        <w:spacing w:before="0" w:after="200" w:line="240" w:lineRule="auto"/>
        <w:jc w:val="both"/>
      </w:pPr>
      <w:r>
        <w:rPr>
          <w:rFonts w:ascii="Century Gothic" w:hAnsi="Century Gothic" w:cs="Century Gothic" w:eastAsia="Century Gothic"/>
          <w:b/>
          <w:i w:val="0"/>
          <w:sz w:val="20"/>
        </w:rPr>
        <w:t>Incoherencia interna, Nombres de productos: evidencias frente a rúbricas.</w:t>
      </w:r>
      <w:r>
        <w:rPr>
          <w:rFonts w:ascii="Century Gothic" w:hAnsi="Century Gothic" w:cs="Century Gothic" w:eastAsia="Century Gothic"/>
          <w:b w:val="0"/>
          <w:i w:val="0"/>
          <w:sz w:val="20"/>
        </w:rPr>
        <w:t xml:space="preserve"> Varios productos cambian de nombre entre la tabla de evidencias y la rúbrica: Producto 2 («…con el estilo de liderazgo aplicado…» / «…de liderazgo y negociación»), 9 («Informe del clima… con el procesamiento…» / «Informe de medición del clima…»), 12 («…con indicadores» / «…con su tablero de indicadores»), 18 («Informe de comparación…» / «Informe comparativo…») y 20 («Lienzo modelo de negocio Canvas…» / «Lienzo del modelo de negocio…»).</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7.23</w:t>
        <w:tab/>
      </w:r>
      <w:r>
        <w:rPr>
          <w:rFonts w:ascii="Century Gothic" w:hAnsi="Century Gothic" w:cs="Century Gothic" w:eastAsia="Century Gothic"/>
          <w:b/>
          <w:i w:val="0"/>
          <w:sz w:val="22"/>
        </w:rPr>
        <w:t>ECO-301 Preparación y Evaluación de Proyectos</w:t>
      </w:r>
    </w:p>
    <w:p>
      <w:pPr>
        <w:spacing w:before="0" w:after="200" w:line="240" w:lineRule="auto"/>
        <w:jc w:val="both"/>
      </w:pPr>
      <w:r>
        <w:rPr>
          <w:rFonts w:ascii="Century Gothic" w:hAnsi="Century Gothic" w:cs="Century Gothic" w:eastAsia="Century Gothic"/>
          <w:b w:val="0"/>
          <w:i w:val="0"/>
          <w:sz w:val="20"/>
        </w:rPr>
        <w:t xml:space="preserve">Archivo: MOD ECO-301 Preparacion y Evaluacion de Proyectos nuevo.docx. Cumple 17 de 23 controles, 3 de forma parcial y no cumple 3.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con una cadena clara del estudio de mercado al plan de ejecución y productos tangibles bien definidos (proyección en hoja de cálculo, cuadro de inversión, balance de apertura). Los cambios de la subcomisión quedaron a medias: rúbricas y criterios que evalúan contenidos eliminados, una unidad que promete evaluación pública sin evidencias que la sostengan y marcas (C)/(P) mal asignadas en E3 y E5.</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16 hs., 16 hs., 32 hr., 16 hr.,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Saberes A y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contenidos actitudinales (A)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Rúbricas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rúbricas sin exactamente tres criterios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(1 inversiones); 5 de 7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25"/>
        </w:numPr>
        <w:spacing w:before="0" w:after="160" w:line="240" w:lineRule="auto"/>
        <w:jc w:val="both"/>
      </w:pPr>
      <w:r>
        <w:rPr>
          <w:rFonts w:ascii="Century Gothic" w:hAnsi="Century Gothic" w:cs="Century Gothic" w:eastAsia="Century Gothic"/>
          <w:b/>
          <w:i w:val="0"/>
          <w:sz w:val="20"/>
        </w:rPr>
        <w:t>Coherencia, E5, criterio 1, evidencia 1.2 / Producto 18 y su rúbrica.</w:t>
      </w:r>
      <w:r>
        <w:rPr>
          <w:rFonts w:ascii="Century Gothic" w:hAnsi="Century Gothic" w:cs="Century Gothic" w:eastAsia="Century Gothic"/>
          <w:b w:val="0"/>
          <w:i w:val="0"/>
          <w:sz w:val="20"/>
        </w:rPr>
        <w:t xml:space="preserve"> El criterio, la evidencia y el producto se cambiaron a VAN, TIR y razón beneficio-costo, pero la rúbrica del Producto 18 sigue evaluando 'Servicio de la deuda', 'Efecto del financiamiento' y 'Apalancamiento', y no evalúa la razón beneficio-costo. Reescribir la rúbrica con criterios de VAN y TIR financieros, razón beneficio-costo e interpretación para la decisión.</w:t>
      </w:r>
    </w:p>
    <w:p>
      <w:pPr>
        <w:numPr>
          <w:ilvl w:val="0"/>
          <w:numId w:val="925"/>
        </w:numPr>
        <w:spacing w:before="0" w:after="160" w:line="240" w:lineRule="auto"/>
        <w:jc w:val="both"/>
      </w:pPr>
      <w:r>
        <w:rPr>
          <w:rFonts w:ascii="Century Gothic" w:hAnsi="Century Gothic" w:cs="Century Gothic" w:eastAsia="Century Gothic"/>
          <w:b/>
          <w:i w:val="0"/>
          <w:sz w:val="20"/>
        </w:rPr>
        <w:t>Coherencia, Unidad de competencia / E5.</w:t>
      </w:r>
      <w:r>
        <w:rPr>
          <w:rFonts w:ascii="Century Gothic" w:hAnsi="Century Gothic" w:cs="Century Gothic" w:eastAsia="Century Gothic"/>
          <w:b w:val="0"/>
          <w:i w:val="0"/>
          <w:sz w:val="20"/>
        </w:rPr>
        <w:t xml:space="preserve"> La unidad promete la evaluación 'socioeconómica a nivel privado y público', pero tras eliminar el elemento 6 ningún criterio, evidencia ni producto evalúa un proyecto público; solo quedan dos contenidos sueltos de inversión pública en E5. Añadir una evidencia y un producto de evaluación socioeconómica en E5 o acotar la unidad a la evaluación privada.</w:t>
      </w:r>
    </w:p>
    <w:p>
      <w:pPr>
        <w:numPr>
          <w:ilvl w:val="0"/>
          <w:numId w:val="925"/>
        </w:numPr>
        <w:spacing w:before="0" w:after="160" w:line="240" w:lineRule="auto"/>
        <w:jc w:val="both"/>
      </w:pPr>
      <w:r>
        <w:rPr>
          <w:rFonts w:ascii="Century Gothic" w:hAnsi="Century Gothic" w:cs="Century Gothic" w:eastAsia="Century Gothic"/>
          <w:b/>
          <w:i w:val="0"/>
          <w:sz w:val="20"/>
        </w:rPr>
        <w:t>Coherencia, E3, criterio 2.</w:t>
      </w:r>
      <w:r>
        <w:rPr>
          <w:rFonts w:ascii="Century Gothic" w:hAnsi="Century Gothic" w:cs="Century Gothic" w:eastAsia="Century Gothic"/>
          <w:b w:val="0"/>
          <w:i w:val="0"/>
          <w:sz w:val="20"/>
        </w:rPr>
        <w:t xml:space="preserve"> Se eliminó el contenido de impacto social, pero el criterio sigue exigiendo evaluar 'su impacto social en el área de influencia', y la evidencia 2.2 ('Evalúa en equipo los criterios de viabilidad') no lo trata. Ajustar el criterio a la viabilidad legal y ambiental o restituir el contenido.</w:t>
      </w:r>
    </w:p>
    <w:p>
      <w:pPr>
        <w:numPr>
          <w:ilvl w:val="0"/>
          <w:numId w:val="925"/>
        </w:numPr>
        <w:spacing w:before="0" w:after="160" w:line="240" w:lineRule="auto"/>
        <w:jc w:val="both"/>
      </w:pPr>
      <w:r>
        <w:rPr>
          <w:rFonts w:ascii="Century Gothic" w:hAnsi="Century Gothic" w:cs="Century Gothic" w:eastAsia="Century Gothic"/>
          <w:b/>
          <w:i w:val="0"/>
          <w:sz w:val="20"/>
        </w:rPr>
        <w:t>Coherencia, E3, Producto 12 / rúbrica.</w:t>
      </w:r>
      <w:r>
        <w:rPr>
          <w:rFonts w:ascii="Century Gothic" w:hAnsi="Century Gothic" w:cs="Century Gothic" w:eastAsia="Century Gothic"/>
          <w:b w:val="0"/>
          <w:i w:val="0"/>
          <w:sz w:val="20"/>
        </w:rPr>
        <w:t xml:space="preserve"> La rúbrica tiene un solo criterio ('Informe de viabilidad') y su Suficiente ('Al menos identifica 3 tipos de viabilidad') no corresponde a la viabilidad legal y ambiental de la localización. Tres criterios propios: requisitos legales y licencias, ficha ambiental y categorización, conclusión de viabilidad.</w:t>
      </w:r>
    </w:p>
    <w:p>
      <w:pPr>
        <w:numPr>
          <w:ilvl w:val="0"/>
          <w:numId w:val="925"/>
        </w:numPr>
        <w:spacing w:before="0" w:after="160" w:line="240" w:lineRule="auto"/>
        <w:jc w:val="both"/>
      </w:pPr>
      <w:r>
        <w:rPr>
          <w:rFonts w:ascii="Century Gothic" w:hAnsi="Century Gothic" w:cs="Century Gothic" w:eastAsia="Century Gothic"/>
          <w:b/>
          <w:i w:val="0"/>
          <w:sz w:val="20"/>
        </w:rPr>
        <w:t>Coherencia, E4, criterio 2 / rúbrica del Producto 15.</w:t>
      </w:r>
      <w:r>
        <w:rPr>
          <w:rFonts w:ascii="Century Gothic" w:hAnsi="Century Gothic" w:cs="Century Gothic" w:eastAsia="Century Gothic"/>
          <w:b w:val="0"/>
          <w:i w:val="0"/>
          <w:sz w:val="20"/>
        </w:rPr>
        <w:t xml:space="preserve"> Se eliminó el contenido de inversiones ambientales y de seguridad industrial, pero el criterio mantiene la 'inversión... ambiental' y el Destacado de la rúbrica 15 exige incluirlas. Retirar la inversión ambiental del criterio y de la rúbrica o restituir el contenido.</w:t>
      </w:r>
    </w:p>
    <w:p>
      <w:pPr>
        <w:numPr>
          <w:ilvl w:val="0"/>
          <w:numId w:val="925"/>
        </w:numPr>
        <w:spacing w:before="0" w:after="160" w:line="240" w:lineRule="auto"/>
        <w:jc w:val="both"/>
      </w:pPr>
      <w:r>
        <w:rPr>
          <w:rFonts w:ascii="Century Gothic" w:hAnsi="Century Gothic" w:cs="Century Gothic" w:eastAsia="Century Gothic"/>
          <w:b/>
          <w:i w:val="0"/>
          <w:sz w:val="20"/>
        </w:rPr>
        <w:t>Coherencia, E1, rúbrica del Producto 4, criterio 'Terminología técnica'.</w:t>
      </w:r>
      <w:r>
        <w:rPr>
          <w:rFonts w:ascii="Century Gothic" w:hAnsi="Century Gothic" w:cs="Century Gothic" w:eastAsia="Century Gothic"/>
          <w:b w:val="0"/>
          <w:i w:val="0"/>
          <w:sz w:val="20"/>
        </w:rPr>
        <w:t xml:space="preserve"> El Destacado ('Incorpora la terminología de manera correcta') no supera al Suficiente ('Usa con propiedad la terminología'); el criterio parece un resto del contenido de terminología en inglés eliminado. Sustituirlo por un criterio de la matriz, por ejemplo 'Indicadores de contribución social y ambiental'.</w:t>
      </w:r>
    </w:p>
    <w:p>
      <w:pPr>
        <w:numPr>
          <w:ilvl w:val="0"/>
          <w:numId w:val="925"/>
        </w:numPr>
        <w:spacing w:before="0" w:after="160" w:line="240" w:lineRule="auto"/>
        <w:jc w:val="both"/>
      </w:pPr>
      <w:r>
        <w:rPr>
          <w:rFonts w:ascii="Century Gothic" w:hAnsi="Century Gothic" w:cs="Century Gothic" w:eastAsia="Century Gothic"/>
          <w:b/>
          <w:i w:val="0"/>
          <w:sz w:val="20"/>
        </w:rPr>
        <w:t>Contenido técnico, E5, contenidos: 'Reglamento básico de inversión publica. (C)'.</w:t>
      </w:r>
      <w:r>
        <w:rPr>
          <w:rFonts w:ascii="Century Gothic" w:hAnsi="Century Gothic" w:cs="Century Gothic" w:eastAsia="Century Gothic"/>
          <w:b w:val="0"/>
          <w:i w:val="0"/>
          <w:sz w:val="20"/>
        </w:rPr>
        <w:t xml:space="preserve"> No existe un 'Reglamento Básico de Inversión Pública'; las normas son las Normas Básicas del Sistema Nacional de Inversión Pública y el Reglamento Básico de Preinversión (RM N° 115/2015), citados en recursos y bibliografía. Redactar 'Normas Básicas del Sistema Nacional de Inversión Pública y Reglamento Básico de Preinversión. (C)'.</w:t>
      </w:r>
    </w:p>
    <w:p>
      <w:pPr>
        <w:numPr>
          <w:ilvl w:val="0"/>
          <w:numId w:val="925"/>
        </w:numPr>
        <w:spacing w:before="0" w:after="160" w:line="240" w:lineRule="auto"/>
        <w:jc w:val="both"/>
      </w:pPr>
      <w:r>
        <w:rPr>
          <w:rFonts w:ascii="Century Gothic" w:hAnsi="Century Gothic" w:cs="Century Gothic" w:eastAsia="Century Gothic"/>
          <w:b/>
          <w:i w:val="0"/>
          <w:sz w:val="20"/>
        </w:rPr>
        <w:t>Contenido técnico, E5, contenidos: 'Valor actual neto, tasa interna de retorno y periodo de amortización de la evaluación económica'.</w:t>
      </w:r>
      <w:r>
        <w:rPr>
          <w:rFonts w:ascii="Century Gothic" w:hAnsi="Century Gothic" w:cs="Century Gothic" w:eastAsia="Century Gothic"/>
          <w:b w:val="0"/>
          <w:i w:val="0"/>
          <w:sz w:val="20"/>
        </w:rPr>
        <w:t xml:space="preserve"> El indicador es el periodo de recuperación de la inversión (como dice la rúbrica 17); 'periodo de amortización' se refiere a un préstamo. Usar 'periodo de recuperación de la inversión'.</w:t>
      </w:r>
    </w:p>
    <w:p>
      <w:pPr>
        <w:numPr>
          <w:ilvl w:val="0"/>
          <w:numId w:val="925"/>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Baca Urbina se cita en la edición de 1990 (hay ediciones recientes) y la lista no está en orden alfabético ('Decreto Supremo N° 24051' va después de 'Guevara'); la Ley del Sistema de Planificación Integral del Estado se cita sin número (Ley N° 777). Actualizar la edición, ordenar alfabéticamente y citar la Ley N° 777.</w:t>
      </w:r>
    </w:p>
    <w:p>
      <w:pPr>
        <w:numPr>
          <w:ilvl w:val="0"/>
          <w:numId w:val="925"/>
        </w:numPr>
        <w:spacing w:before="0" w:after="160" w:line="240" w:lineRule="auto"/>
        <w:jc w:val="both"/>
      </w:pPr>
      <w:r>
        <w:rPr>
          <w:rFonts w:ascii="Century Gothic" w:hAnsi="Century Gothic" w:cs="Century Gothic" w:eastAsia="Century Gothic"/>
          <w:b/>
          <w:i w:val="0"/>
          <w:sz w:val="20"/>
        </w:rPr>
        <w:t>Marcas de saber, Asignatura en conjunto.</w:t>
      </w:r>
      <w:r>
        <w:rPr>
          <w:rFonts w:ascii="Century Gothic" w:hAnsi="Century Gothic" w:cs="Century Gothic" w:eastAsia="Century Gothic"/>
          <w:b w:val="0"/>
          <w:i w:val="0"/>
          <w:sz w:val="20"/>
        </w:rPr>
        <w:t xml:space="preserve"> Tras eliminar 'Ética y objetividad en la formulación del proyecto', no queda ningún contenido (A), aunque la rúbrica 19 evalúa 'Objetividad' y la unidad exige objetividad.</w:t>
      </w:r>
    </w:p>
    <w:p>
      <w:pPr>
        <w:numPr>
          <w:ilvl w:val="0"/>
          <w:numId w:val="925"/>
        </w:numPr>
        <w:spacing w:before="0" w:after="160" w:line="240" w:lineRule="auto"/>
        <w:jc w:val="both"/>
      </w:pPr>
      <w:r>
        <w:rPr>
          <w:rFonts w:ascii="Century Gothic" w:hAnsi="Century Gothic" w:cs="Century Gothic" w:eastAsia="Century Gothic"/>
          <w:b/>
          <w:i w:val="0"/>
          <w:sz w:val="20"/>
        </w:rPr>
        <w:t>Marcas de saber, E3, contenidos.</w:t>
      </w:r>
      <w:r>
        <w:rPr>
          <w:rFonts w:ascii="Century Gothic" w:hAnsi="Century Gothic" w:cs="Century Gothic" w:eastAsia="Century Gothic"/>
          <w:b w:val="0"/>
          <w:i w:val="0"/>
          <w:sz w:val="20"/>
        </w:rPr>
        <w:t xml:space="preserve"> Las marcas parecen invertidas: 'Significado de la organización en el diseño del proyecto' y 'Significado de las obras civiles...' llevan (P), mientras 'Estimación del costo o inversión en obras civiles' y 'Método de puntaje en la localización' llevan solo (C).</w:t>
      </w:r>
    </w:p>
    <w:p>
      <w:pPr>
        <w:numPr>
          <w:ilvl w:val="0"/>
          <w:numId w:val="925"/>
        </w:numPr>
        <w:spacing w:before="0" w:after="160" w:line="240" w:lineRule="auto"/>
        <w:jc w:val="both"/>
      </w:pPr>
      <w:r>
        <w:rPr>
          <w:rFonts w:ascii="Century Gothic" w:hAnsi="Century Gothic" w:cs="Century Gothic" w:eastAsia="Century Gothic"/>
          <w:b/>
          <w:i w:val="0"/>
          <w:sz w:val="20"/>
        </w:rPr>
        <w:t>Marcas de saber, E5, contenidos: 'Programación con cuadro de secuencia de actividades, con red de flechas y con cuadro de doble entrada. (C)'.</w:t>
      </w:r>
      <w:r>
        <w:rPr>
          <w:rFonts w:ascii="Century Gothic" w:hAnsi="Century Gothic" w:cs="Century Gothic" w:eastAsia="Century Gothic"/>
          <w:b w:val="0"/>
          <w:i w:val="0"/>
          <w:sz w:val="20"/>
        </w:rPr>
        <w:t xml:space="preserve"> Es procedimental (el Producto 20 la exige); corresponde (P) o (P, T) si se usa software de proyectos.</w:t>
      </w:r>
    </w:p>
    <w:p>
      <w:pPr>
        <w:numPr>
          <w:ilvl w:val="0"/>
          <w:numId w:val="925"/>
        </w:numPr>
        <w:spacing w:before="0" w:after="160" w:line="240" w:lineRule="auto"/>
        <w:jc w:val="both"/>
      </w:pPr>
      <w:r>
        <w:rPr>
          <w:rFonts w:ascii="Century Gothic" w:hAnsi="Century Gothic" w:cs="Century Gothic" w:eastAsia="Century Gothic"/>
          <w:b/>
          <w:i w:val="0"/>
          <w:sz w:val="20"/>
        </w:rPr>
        <w:t>Marcas de saber, E2, contenidos: 'Canales digitales y comercio electrónico en la estrategia comercial del proyecto. (C, T)'.</w:t>
      </w:r>
      <w:r>
        <w:rPr>
          <w:rFonts w:ascii="Century Gothic" w:hAnsi="Century Gothic" w:cs="Century Gothic" w:eastAsia="Century Gothic"/>
          <w:b w:val="0"/>
          <w:i w:val="0"/>
          <w:sz w:val="20"/>
        </w:rPr>
        <w:t xml:space="preserve"> Solo menciona los canales digitales; no se opera ninguna herramienta.</w:t>
      </w:r>
    </w:p>
    <w:p>
      <w:pPr>
        <w:numPr>
          <w:ilvl w:val="0"/>
          <w:numId w:val="925"/>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160, TOTAL 240) con unidades mezcladas ('16 hs.', '32 hr.'), aunque la guía pide dejarlas en blanco; el TOTAL de 240 h no coincide con las 160 h/año de la malla.</w:t>
      </w:r>
    </w:p>
    <w:p>
      <w:pPr>
        <w:numPr>
          <w:ilvl w:val="0"/>
          <w:numId w:val="925"/>
        </w:numPr>
        <w:spacing w:before="0" w:after="160" w:line="240" w:lineRule="auto"/>
        <w:jc w:val="both"/>
      </w:pPr>
      <w:r>
        <w:rPr>
          <w:rFonts w:ascii="Century Gothic" w:hAnsi="Century Gothic" w:cs="Century Gothic" w:eastAsia="Century Gothic"/>
          <w:b/>
          <w:i w:val="0"/>
          <w:sz w:val="20"/>
        </w:rPr>
        <w:t>Incoherencia interna, Actividades, estrategias y evaluación sumativa.</w:t>
      </w:r>
      <w:r>
        <w:rPr>
          <w:rFonts w:ascii="Century Gothic" w:hAnsi="Century Gothic" w:cs="Century Gothic" w:eastAsia="Century Gothic"/>
          <w:b w:val="0"/>
          <w:i w:val="0"/>
          <w:sz w:val="20"/>
        </w:rPr>
        <w:t xml:space="preserve"> Conservan restos del elemento 6 eliminado: videotutoriales de 'conversión de flujos de caja a precios cuenta de eficiencia', 'evaluación socioeconómica de un proyecto de inversión pública' en la sumativa y comparación con precios cuenta; la columna Investigación/Práctica tiene líneas vacías.</w:t>
      </w:r>
    </w:p>
    <w:p>
      <w:pPr>
        <w:numPr>
          <w:ilvl w:val="0"/>
          <w:numId w:val="925"/>
        </w:numPr>
        <w:spacing w:before="0" w:after="200" w:line="240" w:lineRule="auto"/>
        <w:jc w:val="both"/>
      </w:pPr>
      <w:r>
        <w:rPr>
          <w:rFonts w:ascii="Century Gothic" w:hAnsi="Century Gothic" w:cs="Century Gothic" w:eastAsia="Century Gothic"/>
          <w:b/>
          <w:i w:val="0"/>
          <w:sz w:val="20"/>
        </w:rPr>
        <w:t>Incoherencia interna, E4 (umbral de rentabilidad) y E5 (VAN, TIR).</w:t>
      </w:r>
      <w:r>
        <w:rPr>
          <w:rFonts w:ascii="Century Gothic" w:hAnsi="Century Gothic" w:cs="Century Gothic" w:eastAsia="Century Gothic"/>
          <w:b w:val="0"/>
          <w:i w:val="0"/>
          <w:sz w:val="20"/>
        </w:rPr>
        <w:t xml:space="preserve"> El punto de equilibrio con sensibilidad se repite en CPA-302 (Producto 15), y el VAN, la TIR y la sensibilidad a la tasa de descuento en ECO-201 (E1) y MAT-102; conviene coordinar el alcance para no duplicar.</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no registra cambio de nombre. Explica 6 cambios: nueva unidad de competencia, eliminación de la terminología en inglés, eliminación del elemento 6 de inversión pública con dos contenidos reubicados en E5, eliminación de contenidos 'que exceden el alcance', precisión de que corresponde la 'estimación de costos de las obras civiles y no de su diseño', y sustitución del servicio de la deuda y el apalancamiento por la razón beneficio-costo. Los cambios aparecen en el itinerario (5 elementos, 20 productos), pero con discordancias: la rúbrica 18 sigue evaluando servicio de la deuda y apalancamiento; el criterio 2 de E3 conserva el impacto social y la rúbrica 15 las inversiones ambientales eliminadas; las actividades mantienen precios cuenta de eficiencia; al suprimir 'Ética y objetividad' la asignatura queda sin contenidos (A). El informe se contradice: el acuerdo 4 y el aporte estudiantil 3 hablan de 'incorporación de dos temas', mientras el cuadro resumen registra 0 incorporaciones y en el itinerario son dos contenidos dentro de los Temas 8-9, no temas nuevos; además marca la carga horaria conforme a la malla pese a sumar 240 h.</w:t>
      </w:r>
    </w:p>
    <w:p>
      <w:pPr>
        <w:spacing w:before="0" w:after="200" w:line="240" w:lineRule="auto"/>
        <w:jc w:val="both"/>
      </w:pPr>
      <w:r>
        <w:rPr>
          <w:rFonts w:ascii="Century Gothic" w:hAnsi="Century Gothic" w:cs="Century Gothic" w:eastAsia="Century Gothic"/>
          <w:b w:val="0"/>
          <w:i w:val="0"/>
          <w:sz w:val="20"/>
        </w:rPr>
        <w:t>Se aplicaron 5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7.24</w:t>
        <w:tab/>
      </w:r>
      <w:r>
        <w:rPr>
          <w:rFonts w:ascii="Century Gothic" w:hAnsi="Century Gothic" w:cs="Century Gothic" w:eastAsia="Century Gothic"/>
          <w:b/>
          <w:i w:val="0"/>
          <w:sz w:val="22"/>
        </w:rPr>
        <w:t>MAT-301 Estadística</w:t>
      </w:r>
    </w:p>
    <w:p>
      <w:pPr>
        <w:spacing w:before="0" w:after="200" w:line="240" w:lineRule="auto"/>
        <w:jc w:val="both"/>
      </w:pPr>
      <w:r>
        <w:rPr>
          <w:rFonts w:ascii="Century Gothic" w:hAnsi="Century Gothic" w:cs="Century Gothic" w:eastAsia="Century Gothic"/>
          <w:b w:val="0"/>
          <w:i w:val="0"/>
          <w:sz w:val="20"/>
        </w:rPr>
        <w:t xml:space="preserve">Archivo: MAT-301 Estadistica.docx. Cumple 13 de 23 controles, 4 de forma parcial y no cumple 6. Estado: </w:t>
      </w:r>
      <w:r>
        <w:rPr>
          <w:rFonts w:ascii="Century Gothic" w:hAnsi="Century Gothic" w:cs="Century Gothic" w:eastAsia="Century Gothic"/>
          <w:b/>
          <w:i w:val="0"/>
          <w:sz w:val="20"/>
        </w:rPr>
        <w:t>requiere reformulación parcial</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Los contenidos son amplios y actuales (R, Python, depuración de datos, ética en el manejo de datos), pero la cadena de evidencias falla en E3, E4 y E5, donde los productos no corresponden a sus evidencias. Las rúbricas son seis, por elemento, en lugar de una por producto. Hay errores conceptuales relevantes: estimadores tomados por muestras, la normal llamada discreta, pruebas de hipótesis 'para estimar', regresores confundidos con coeficientes y la escala de Likert descrita como matriz. Además repite el muestreo de auditoría de CPA-407.</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16, 32, 16, 16,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de desempeño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E3: 4 evidencias, sin numeración completa (numeración 1.1, 1.2, 2.1)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Actividades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falta la columna «En clase»; 4 columnas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Rótulo de estrategias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rótulo «Estrategias de aprendizaje»</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Rúbricas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 rúbricas para 24 productos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(2 inversiones); 3 de 4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26"/>
        </w:numPr>
        <w:spacing w:before="0" w:after="160" w:line="240" w:lineRule="auto"/>
        <w:jc w:val="both"/>
      </w:pPr>
      <w:r>
        <w:rPr>
          <w:rFonts w:ascii="Century Gothic" w:hAnsi="Century Gothic" w:cs="Century Gothic" w:eastAsia="Century Gothic"/>
          <w:b/>
          <w:i w:val="0"/>
          <w:sz w:val="20"/>
        </w:rPr>
        <w:t>Coherencia, E3, criterio 1 / evidencia 1.2 / Producto 10.</w:t>
      </w:r>
      <w:r>
        <w:rPr>
          <w:rFonts w:ascii="Century Gothic" w:hAnsi="Century Gothic" w:cs="Century Gothic" w:eastAsia="Century Gothic"/>
          <w:b w:val="0"/>
          <w:i w:val="0"/>
          <w:sz w:val="20"/>
        </w:rPr>
        <w:t xml:space="preserve"> El criterio y la evidencia 1.2 tratan de distribuciones discretas, pero el Producto 10 es de una variable aleatoria continua. La evidencia 1.2 incluye además Pascal e hipergeométrica, que no están en los contenidos. Separar la evidencia 1.2 para la distribución normal (continua) y añadir Pascal e hipergeométrica a los contenidos, o retirarlas.</w:t>
      </w:r>
    </w:p>
    <w:p>
      <w:pPr>
        <w:numPr>
          <w:ilvl w:val="0"/>
          <w:numId w:val="926"/>
        </w:numPr>
        <w:spacing w:before="0" w:after="160" w:line="240" w:lineRule="auto"/>
        <w:jc w:val="both"/>
      </w:pPr>
      <w:r>
        <w:rPr>
          <w:rFonts w:ascii="Century Gothic" w:hAnsi="Century Gothic" w:cs="Century Gothic" w:eastAsia="Century Gothic"/>
          <w:b/>
          <w:i w:val="0"/>
          <w:sz w:val="20"/>
        </w:rPr>
        <w:t>Coherencia, E3, criterio 2 / evidencia 2.2 / Producto 12.</w:t>
      </w:r>
      <w:r>
        <w:rPr>
          <w:rFonts w:ascii="Century Gothic" w:hAnsi="Century Gothic" w:cs="Century Gothic" w:eastAsia="Century Gothic"/>
          <w:b w:val="0"/>
          <w:i w:val="0"/>
          <w:sz w:val="20"/>
        </w:rPr>
        <w:t xml:space="preserve"> La evidencia 2.2 no lleva número y repite la 2.1 (Bayes en aula); el Producto 12 ('aplicación de un modelo probabilístico a la profesión contable') no corresponde a Bayes. Diferenciar la 2.2 (por ejemplo, Bayes aplicado a la revisión de un riesgo de auditoría) y ajustar su producto.</w:t>
      </w:r>
    </w:p>
    <w:p>
      <w:pPr>
        <w:numPr>
          <w:ilvl w:val="0"/>
          <w:numId w:val="926"/>
        </w:numPr>
        <w:spacing w:before="0" w:after="160" w:line="240" w:lineRule="auto"/>
        <w:jc w:val="both"/>
      </w:pPr>
      <w:r>
        <w:rPr>
          <w:rFonts w:ascii="Century Gothic" w:hAnsi="Century Gothic" w:cs="Century Gothic" w:eastAsia="Century Gothic"/>
          <w:b/>
          <w:i w:val="0"/>
          <w:sz w:val="20"/>
        </w:rPr>
        <w:t>Coherencia, E4, criterio 1 / Productos 13 y 14.</w:t>
      </w:r>
      <w:r>
        <w:rPr>
          <w:rFonts w:ascii="Century Gothic" w:hAnsi="Century Gothic" w:cs="Century Gothic" w:eastAsia="Century Gothic"/>
          <w:b w:val="0"/>
          <w:i w:val="0"/>
          <w:sz w:val="20"/>
        </w:rPr>
        <w:t xml:space="preserve"> La evidencia 1.1 usa SPSS, R o Python, pero el Producto 13 dice 'mediante el uso de programa de Excel'. El Producto 14 (límites de error de estimación) no resulta de la evidencia 1.2, que pide interpretar y distinguir tipos de muestras. Unificar el software y alinear el Producto 14 con su evidencia.</w:t>
      </w:r>
    </w:p>
    <w:p>
      <w:pPr>
        <w:numPr>
          <w:ilvl w:val="0"/>
          <w:numId w:val="926"/>
        </w:numPr>
        <w:spacing w:before="0" w:after="160" w:line="240" w:lineRule="auto"/>
        <w:jc w:val="both"/>
      </w:pPr>
      <w:r>
        <w:rPr>
          <w:rFonts w:ascii="Century Gothic" w:hAnsi="Century Gothic" w:cs="Century Gothic" w:eastAsia="Century Gothic"/>
          <w:b/>
          <w:i w:val="0"/>
          <w:sz w:val="20"/>
        </w:rPr>
        <w:t>Coherencia, E5, criterios 1 y 2 / Productos 17 a 20.</w:t>
      </w:r>
      <w:r>
        <w:rPr>
          <w:rFonts w:ascii="Century Gothic" w:hAnsi="Century Gothic" w:cs="Century Gothic" w:eastAsia="Century Gothic"/>
          <w:b w:val="0"/>
          <w:i w:val="0"/>
          <w:sz w:val="20"/>
        </w:rPr>
        <w:t xml:space="preserve"> Los productos están cruzados: la evidencia 1.1 formula hipótesis, pero el Producto 17 analiza resultados; la evidencia 1.2 trata una media o proporción, pero el Producto 18 es la diferencia entre dos medias; el criterio 2 trata la diferencia entre dos poblaciones, pero las evidencias 2.1 y 2.2 y los Productos 19 y 20 prueban una sola media. Reasignar: los criterios 1 (una población) y 2 (dos poblaciones) con sus productos correspondientes.</w:t>
      </w:r>
    </w:p>
    <w:p>
      <w:pPr>
        <w:numPr>
          <w:ilvl w:val="0"/>
          <w:numId w:val="926"/>
        </w:numPr>
        <w:spacing w:before="0" w:after="160" w:line="240" w:lineRule="auto"/>
        <w:jc w:val="both"/>
      </w:pPr>
      <w:r>
        <w:rPr>
          <w:rFonts w:ascii="Century Gothic" w:hAnsi="Century Gothic" w:cs="Century Gothic" w:eastAsia="Century Gothic"/>
          <w:b/>
          <w:i w:val="0"/>
          <w:sz w:val="20"/>
        </w:rPr>
        <w:t>Coherencia, E6, criterio 2 / Producto 24.</w:t>
      </w:r>
      <w:r>
        <w:rPr>
          <w:rFonts w:ascii="Century Gothic" w:hAnsi="Century Gothic" w:cs="Century Gothic" w:eastAsia="Century Gothic"/>
          <w:b w:val="0"/>
          <w:i w:val="0"/>
          <w:sz w:val="20"/>
        </w:rPr>
        <w:t xml:space="preserve"> El producto pide un 'Análisis de fiabilidad' de la escala de Likert (por ejemplo, alfa de Cronbach), pero ningún contenido lo enseña. Añadir el contenido de fiabilidad o cambiar el producto.</w:t>
      </w:r>
    </w:p>
    <w:p>
      <w:pPr>
        <w:numPr>
          <w:ilvl w:val="0"/>
          <w:numId w:val="926"/>
        </w:numPr>
        <w:spacing w:before="0" w:after="160" w:line="240" w:lineRule="auto"/>
        <w:jc w:val="both"/>
      </w:pPr>
      <w:r>
        <w:rPr>
          <w:rFonts w:ascii="Century Gothic" w:hAnsi="Century Gothic" w:cs="Century Gothic" w:eastAsia="Century Gothic"/>
          <w:b/>
          <w:i w:val="0"/>
          <w:sz w:val="20"/>
        </w:rPr>
        <w:t>Coherencia, Niveles de logro.</w:t>
      </w:r>
      <w:r>
        <w:rPr>
          <w:rFonts w:ascii="Century Gothic" w:hAnsi="Century Gothic" w:cs="Century Gothic" w:eastAsia="Century Gothic"/>
          <w:b w:val="0"/>
          <w:i w:val="0"/>
          <w:sz w:val="20"/>
        </w:rPr>
        <w:t xml:space="preserve"> Las rúbricas son seis, una por elemento, rotuladas 'Producto 1' a 'Producto 6', mientras los productos del itinerario son 24; por ejemplo, 'Producto 2: Correlación y regresión' choca con el Producto 2 'Distribución de frecuencias'. Elaborar una rúbrica por producto con la numeración correlativa del itinerario.</w:t>
      </w:r>
    </w:p>
    <w:p>
      <w:pPr>
        <w:numPr>
          <w:ilvl w:val="0"/>
          <w:numId w:val="926"/>
        </w:numPr>
        <w:spacing w:before="0" w:after="160" w:line="240" w:lineRule="auto"/>
        <w:jc w:val="both"/>
      </w:pPr>
      <w:r>
        <w:rPr>
          <w:rFonts w:ascii="Century Gothic" w:hAnsi="Century Gothic" w:cs="Century Gothic" w:eastAsia="Century Gothic"/>
          <w:b/>
          <w:i w:val="0"/>
          <w:sz w:val="20"/>
        </w:rPr>
        <w:t>Coherencia, E1, evidencia 2.1 / Producto 3.</w:t>
      </w:r>
      <w:r>
        <w:rPr>
          <w:rFonts w:ascii="Century Gothic" w:hAnsi="Century Gothic" w:cs="Century Gothic" w:eastAsia="Century Gothic"/>
          <w:b w:val="0"/>
          <w:i w:val="0"/>
          <w:sz w:val="20"/>
        </w:rPr>
        <w:t xml:space="preserve"> El producto incluye medidas de apuntamiento que la evidencia 2.1 no calcula (corresponden a la 2.2). Retirar el apuntamiento del Producto 3.</w:t>
      </w:r>
    </w:p>
    <w:p>
      <w:pPr>
        <w:numPr>
          <w:ilvl w:val="0"/>
          <w:numId w:val="926"/>
        </w:numPr>
        <w:spacing w:before="0" w:after="160" w:line="240" w:lineRule="auto"/>
        <w:jc w:val="both"/>
      </w:pPr>
      <w:r>
        <w:rPr>
          <w:rFonts w:ascii="Century Gothic" w:hAnsi="Century Gothic" w:cs="Century Gothic" w:eastAsia="Century Gothic"/>
          <w:b/>
          <w:i w:val="0"/>
          <w:sz w:val="20"/>
        </w:rPr>
        <w:t>Contenido técnico, Unidad de competencia.</w:t>
      </w:r>
      <w:r>
        <w:rPr>
          <w:rFonts w:ascii="Century Gothic" w:hAnsi="Century Gothic" w:cs="Century Gothic" w:eastAsia="Century Gothic"/>
          <w:b w:val="0"/>
          <w:i w:val="0"/>
          <w:sz w:val="20"/>
        </w:rPr>
        <w:t xml:space="preserve"> 'utilizando muestras insesgadas, consistentes, eficientes y de máxima verosimilitud' es un error conceptual: insesgadez, consistencia y eficiencia son propiedades de los estimadores, y la máxima verosimilitud es un método de estimación, no un tipo de muestra.</w:t>
      </w:r>
    </w:p>
    <w:p>
      <w:pPr>
        <w:numPr>
          <w:ilvl w:val="0"/>
          <w:numId w:val="926"/>
        </w:numPr>
        <w:spacing w:before="0" w:after="160" w:line="240" w:lineRule="auto"/>
        <w:jc w:val="both"/>
      </w:pPr>
      <w:r>
        <w:rPr>
          <w:rFonts w:ascii="Century Gothic" w:hAnsi="Century Gothic" w:cs="Century Gothic" w:eastAsia="Century Gothic"/>
          <w:b/>
          <w:i w:val="0"/>
          <w:sz w:val="20"/>
        </w:rPr>
        <w:t>Contenido técnico, E3, criterio 1.</w:t>
      </w:r>
      <w:r>
        <w:rPr>
          <w:rFonts w:ascii="Century Gothic" w:hAnsi="Century Gothic" w:cs="Century Gothic" w:eastAsia="Century Gothic"/>
          <w:b w:val="0"/>
          <w:i w:val="0"/>
          <w:sz w:val="20"/>
        </w:rPr>
        <w:t xml:space="preserve"> Incluye la distribución normal entre las 'distribuciones de probabilidad discreta'; la normal es continua. La evidencia 1.2 también llama 'discreta' a la normal estandarizada.</w:t>
      </w:r>
    </w:p>
    <w:p>
      <w:pPr>
        <w:numPr>
          <w:ilvl w:val="0"/>
          <w:numId w:val="926"/>
        </w:numPr>
        <w:spacing w:before="0" w:after="160" w:line="240" w:lineRule="auto"/>
        <w:jc w:val="both"/>
      </w:pPr>
      <w:r>
        <w:rPr>
          <w:rFonts w:ascii="Century Gothic" w:hAnsi="Century Gothic" w:cs="Century Gothic" w:eastAsia="Century Gothic"/>
          <w:b/>
          <w:i w:val="0"/>
          <w:sz w:val="20"/>
        </w:rPr>
        <w:t>Contenido técnico, E5, criterio 1 y contenidos.</w:t>
      </w:r>
      <w:r>
        <w:rPr>
          <w:rFonts w:ascii="Century Gothic" w:hAnsi="Century Gothic" w:cs="Century Gothic" w:eastAsia="Century Gothic"/>
          <w:b w:val="0"/>
          <w:i w:val="0"/>
          <w:sz w:val="20"/>
        </w:rPr>
        <w:t xml:space="preserve"> 'Pruebas bilaterales y unilaterales para la estimación de la media...': una prueba de hipótesis contrasta, no estima. Debe decir 'para el contraste de la media...' (la estimación es por intervalos).</w:t>
      </w:r>
    </w:p>
    <w:p>
      <w:pPr>
        <w:numPr>
          <w:ilvl w:val="0"/>
          <w:numId w:val="926"/>
        </w:numPr>
        <w:spacing w:before="0" w:after="160" w:line="240" w:lineRule="auto"/>
        <w:jc w:val="both"/>
      </w:pPr>
      <w:r>
        <w:rPr>
          <w:rFonts w:ascii="Century Gothic" w:hAnsi="Century Gothic" w:cs="Century Gothic" w:eastAsia="Century Gothic"/>
          <w:b/>
          <w:i w:val="0"/>
          <w:sz w:val="20"/>
        </w:rPr>
        <w:t>Contenido técnico, Rúbrica 'Producto 5: Docimasia'.</w:t>
      </w:r>
      <w:r>
        <w:rPr>
          <w:rFonts w:ascii="Century Gothic" w:hAnsi="Century Gothic" w:cs="Century Gothic" w:eastAsia="Century Gothic"/>
          <w:b w:val="0"/>
          <w:i w:val="0"/>
          <w:sz w:val="20"/>
        </w:rPr>
        <w:t xml:space="preserve"> 'ya sea rechazando la hipótesis nula o aceptándola': en rigor no se acepta H0, se dice que no se rechaza.</w:t>
      </w:r>
    </w:p>
    <w:p>
      <w:pPr>
        <w:numPr>
          <w:ilvl w:val="0"/>
          <w:numId w:val="926"/>
        </w:numPr>
        <w:spacing w:before="0" w:after="160" w:line="240" w:lineRule="auto"/>
        <w:jc w:val="both"/>
      </w:pPr>
      <w:r>
        <w:rPr>
          <w:rFonts w:ascii="Century Gothic" w:hAnsi="Century Gothic" w:cs="Century Gothic" w:eastAsia="Century Gothic"/>
          <w:b/>
          <w:i w:val="0"/>
          <w:sz w:val="20"/>
        </w:rPr>
        <w:t>Contenido técnico, Rúbrica 'Producto 3'.</w:t>
      </w:r>
      <w:r>
        <w:rPr>
          <w:rFonts w:ascii="Century Gothic" w:hAnsi="Century Gothic" w:cs="Century Gothic" w:eastAsia="Century Gothic"/>
          <w:b w:val="0"/>
          <w:i w:val="0"/>
          <w:sz w:val="20"/>
        </w:rPr>
        <w:t xml:space="preserve"> Destacado: 'Analiza el efecto de la media y la desviación típica en la forma de la distribuciones normal estándar, t-Student, F de Fisher'. La normal estándar tiene media 0 y desviación 1 fijas, y la forma de la t y la F depende de los grados de libertad.</w:t>
      </w:r>
    </w:p>
    <w:p>
      <w:pPr>
        <w:numPr>
          <w:ilvl w:val="0"/>
          <w:numId w:val="926"/>
        </w:numPr>
        <w:spacing w:before="0" w:after="160" w:line="240" w:lineRule="auto"/>
        <w:jc w:val="both"/>
      </w:pPr>
      <w:r>
        <w:rPr>
          <w:rFonts w:ascii="Century Gothic" w:hAnsi="Century Gothic" w:cs="Century Gothic" w:eastAsia="Century Gothic"/>
          <w:b/>
          <w:i w:val="0"/>
          <w:sz w:val="20"/>
        </w:rPr>
        <w:t>Contenido técnico, E6, contenidos.</w:t>
      </w:r>
      <w:r>
        <w:rPr>
          <w:rFonts w:ascii="Century Gothic" w:hAnsi="Century Gothic" w:cs="Century Gothic" w:eastAsia="Century Gothic"/>
          <w:b w:val="0"/>
          <w:i w:val="0"/>
          <w:sz w:val="20"/>
        </w:rPr>
        <w:t xml:space="preserve"> 'Coeficientes de regresión o regresores' es incorrecto: los regresores son las variables explicativas, no los coeficientes. El supuesto es la 'ausencia de multicolinealidad', no la 'multicolinealidad entre los regresores'.</w:t>
      </w:r>
    </w:p>
    <w:p>
      <w:pPr>
        <w:numPr>
          <w:ilvl w:val="0"/>
          <w:numId w:val="926"/>
        </w:numPr>
        <w:spacing w:before="0" w:after="160" w:line="240" w:lineRule="auto"/>
        <w:jc w:val="both"/>
      </w:pPr>
      <w:r>
        <w:rPr>
          <w:rFonts w:ascii="Century Gothic" w:hAnsi="Century Gothic" w:cs="Century Gothic" w:eastAsia="Century Gothic"/>
          <w:b/>
          <w:i w:val="0"/>
          <w:sz w:val="20"/>
        </w:rPr>
        <w:t>Contenido técnico, E6, evidencia 2.2.</w:t>
      </w:r>
      <w:r>
        <w:rPr>
          <w:rFonts w:ascii="Century Gothic" w:hAnsi="Century Gothic" w:cs="Century Gothic" w:eastAsia="Century Gothic"/>
          <w:b w:val="0"/>
          <w:i w:val="0"/>
          <w:sz w:val="20"/>
        </w:rPr>
        <w:t xml:space="preserve"> 'una matriz de doble entrada denominada escala de Likert': la escala de Likert es una escala de respuesta ordinal de un cuestionario, no una matriz de doble entrada.</w:t>
      </w:r>
    </w:p>
    <w:p>
      <w:pPr>
        <w:numPr>
          <w:ilvl w:val="0"/>
          <w:numId w:val="926"/>
        </w:numPr>
        <w:spacing w:before="0" w:after="160" w:line="240" w:lineRule="auto"/>
        <w:jc w:val="both"/>
      </w:pPr>
      <w:r>
        <w:rPr>
          <w:rFonts w:ascii="Century Gothic" w:hAnsi="Century Gothic" w:cs="Century Gothic" w:eastAsia="Century Gothic"/>
          <w:b/>
          <w:i w:val="0"/>
          <w:sz w:val="20"/>
        </w:rPr>
        <w:t>Contenido técnico, E4, evidencia 2.2 / Producto 16.</w:t>
      </w:r>
      <w:r>
        <w:rPr>
          <w:rFonts w:ascii="Century Gothic" w:hAnsi="Century Gothic" w:cs="Century Gothic" w:eastAsia="Century Gothic"/>
          <w:b w:val="0"/>
          <w:i w:val="0"/>
          <w:sz w:val="20"/>
        </w:rPr>
        <w:t xml:space="preserve"> El tamaño de la muestra se determina con el nivel de confianza, el error admisible y la variabilidad, no con 'los niveles de significancia de cada modelo'.</w:t>
      </w:r>
    </w:p>
    <w:p>
      <w:pPr>
        <w:numPr>
          <w:ilvl w:val="0"/>
          <w:numId w:val="926"/>
        </w:numPr>
        <w:spacing w:before="0" w:after="160" w:line="240" w:lineRule="auto"/>
        <w:jc w:val="both"/>
      </w:pPr>
      <w:r>
        <w:rPr>
          <w:rFonts w:ascii="Century Gothic" w:hAnsi="Century Gothic" w:cs="Century Gothic" w:eastAsia="Century Gothic"/>
          <w:b/>
          <w:i w:val="0"/>
          <w:sz w:val="20"/>
        </w:rPr>
        <w:t>Contenido técnico, E4, conocimientos circunstanciales.</w:t>
      </w:r>
      <w:r>
        <w:rPr>
          <w:rFonts w:ascii="Century Gothic" w:hAnsi="Century Gothic" w:cs="Century Gothic" w:eastAsia="Century Gothic"/>
          <w:b w:val="0"/>
          <w:i w:val="0"/>
          <w:sz w:val="20"/>
        </w:rPr>
        <w:t xml:space="preserve"> La NIA 530 se titula 'Muestreo de auditoría' y no 'Muestreo estadístico de auditoría'.</w:t>
      </w:r>
    </w:p>
    <w:p>
      <w:pPr>
        <w:numPr>
          <w:ilvl w:val="0"/>
          <w:numId w:val="926"/>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El Handbook del IAASB figura como '(2023) ... Edición 2021', datos contradictorios, y con el título antiguo ('Quality Control'); desde la edición 2022 es 'Handbook of International Quality Management...'. Además, una obra de normas de auditoría no es bibliografía básica de Estadística.</w:t>
      </w:r>
    </w:p>
    <w:p>
      <w:pPr>
        <w:numPr>
          <w:ilvl w:val="0"/>
          <w:numId w:val="926"/>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No está en orden alfabético (IAASB, Anderson, Walpole, Kazmier) y usa ediciones antiguas: Walpole y Myers 1992, 3.ª ed.; Kazmier 1998; Anderson 2003.</w:t>
      </w:r>
    </w:p>
    <w:p>
      <w:pPr>
        <w:numPr>
          <w:ilvl w:val="0"/>
          <w:numId w:val="926"/>
        </w:numPr>
        <w:spacing w:before="0" w:after="160" w:line="240" w:lineRule="auto"/>
        <w:jc w:val="both"/>
      </w:pPr>
      <w:r>
        <w:rPr>
          <w:rFonts w:ascii="Century Gothic" w:hAnsi="Century Gothic" w:cs="Century Gothic" w:eastAsia="Century Gothic"/>
          <w:b/>
          <w:i w:val="0"/>
          <w:sz w:val="20"/>
        </w:rPr>
        <w:t>Contenido técnico, E1, conocimientos circunstanciales.</w:t>
      </w:r>
      <w:r>
        <w:rPr>
          <w:rFonts w:ascii="Century Gothic" w:hAnsi="Century Gothic" w:cs="Century Gothic" w:eastAsia="Century Gothic"/>
          <w:b w:val="0"/>
          <w:i w:val="0"/>
          <w:sz w:val="20"/>
        </w:rPr>
        <w:t xml:space="preserve"> El dato del Censo 2024 '11.365.333 habitantes' debe verificarse con la publicación oficial del INE (la cifra difundida en 2024 fue 11.312.620). En todo caso, una cifra puntual no es un conocimiento circunstancial.</w:t>
      </w:r>
    </w:p>
    <w:p>
      <w:pPr>
        <w:numPr>
          <w:ilvl w:val="0"/>
          <w:numId w:val="926"/>
        </w:numPr>
        <w:spacing w:before="0" w:after="160" w:line="240" w:lineRule="auto"/>
        <w:jc w:val="both"/>
      </w:pPr>
      <w:r>
        <w:rPr>
          <w:rFonts w:ascii="Century Gothic" w:hAnsi="Century Gothic" w:cs="Century Gothic" w:eastAsia="Century Gothic"/>
          <w:b/>
          <w:i w:val="0"/>
          <w:sz w:val="20"/>
        </w:rPr>
        <w:t>Contenido técnico, Rúbrica 'Producto 2'.</w:t>
      </w:r>
      <w:r>
        <w:rPr>
          <w:rFonts w:ascii="Century Gothic" w:hAnsi="Century Gothic" w:cs="Century Gothic" w:eastAsia="Century Gothic"/>
          <w:b w:val="0"/>
          <w:i w:val="0"/>
          <w:sz w:val="20"/>
        </w:rPr>
        <w:t xml:space="preserve"> El Destacado menciona la regresión 'inversa', que no figura en los contenidos.</w:t>
      </w:r>
    </w:p>
    <w:p>
      <w:pPr>
        <w:numPr>
          <w:ilvl w:val="0"/>
          <w:numId w:val="926"/>
        </w:numPr>
        <w:spacing w:before="0" w:after="160" w:line="240" w:lineRule="auto"/>
        <w:jc w:val="both"/>
      </w:pPr>
      <w:r>
        <w:rPr>
          <w:rFonts w:ascii="Century Gothic" w:hAnsi="Century Gothic" w:cs="Century Gothic" w:eastAsia="Century Gothic"/>
          <w:b/>
          <w:i w:val="0"/>
          <w:sz w:val="20"/>
        </w:rPr>
        <w:t>Marcas de saber, E2, contenidos.</w:t>
      </w:r>
      <w:r>
        <w:rPr>
          <w:rFonts w:ascii="Century Gothic" w:hAnsi="Century Gothic" w:cs="Century Gothic" w:eastAsia="Century Gothic"/>
          <w:b w:val="0"/>
          <w:i w:val="0"/>
          <w:sz w:val="20"/>
        </w:rPr>
        <w:t xml:space="preserve"> 'Supuestos y límites del modelo de regresión: correlación frente a causalidad...' va con (C, A), pero es contenido cognitivo y procedimental, sin una conducta actitudinal observable.</w:t>
      </w:r>
    </w:p>
    <w:p>
      <w:pPr>
        <w:numPr>
          <w:ilvl w:val="0"/>
          <w:numId w:val="926"/>
        </w:numPr>
        <w:spacing w:before="0" w:after="160" w:line="240" w:lineRule="auto"/>
        <w:jc w:val="both"/>
      </w:pPr>
      <w:r>
        <w:rPr>
          <w:rFonts w:ascii="Century Gothic" w:hAnsi="Century Gothic" w:cs="Century Gothic" w:eastAsia="Century Gothic"/>
          <w:b/>
          <w:i w:val="0"/>
          <w:sz w:val="20"/>
        </w:rPr>
        <w:t>Circunstanciales, E4, conocimientos circunstanciales.</w:t>
      </w:r>
      <w:r>
        <w:rPr>
          <w:rFonts w:ascii="Century Gothic" w:hAnsi="Century Gothic" w:cs="Century Gothic" w:eastAsia="Century Gothic"/>
          <w:b w:val="0"/>
          <w:i w:val="0"/>
          <w:sz w:val="20"/>
        </w:rPr>
        <w:t xml:space="preserve"> La 'Norma Internacional de Auditoría 530' y el 'Muestreo por Unidades Monetarias' se dictan en CPA-407 Auditoría Financiera (y la MUM en CPA-502); no son circunstanciales de Estadística.</w:t>
      </w:r>
    </w:p>
    <w:p>
      <w:pPr>
        <w:numPr>
          <w:ilvl w:val="0"/>
          <w:numId w:val="926"/>
        </w:numPr>
        <w:spacing w:before="0" w:after="160" w:line="240" w:lineRule="auto"/>
        <w:jc w:val="both"/>
      </w:pPr>
      <w:r>
        <w:rPr>
          <w:rFonts w:ascii="Century Gothic" w:hAnsi="Century Gothic" w:cs="Century Gothic" w:eastAsia="Century Gothic"/>
          <w:b/>
          <w:i w:val="0"/>
          <w:sz w:val="20"/>
        </w:rPr>
        <w:t>Circunstanciales, E3, conocimientos circunstanciales.</w:t>
      </w:r>
      <w:r>
        <w:rPr>
          <w:rFonts w:ascii="Century Gothic" w:hAnsi="Century Gothic" w:cs="Century Gothic" w:eastAsia="Century Gothic"/>
          <w:b w:val="0"/>
          <w:i w:val="0"/>
          <w:sz w:val="20"/>
        </w:rPr>
        <w:t xml:space="preserve"> 'Aplicaciones de la variable aleatoria en la teoría de juegos' no es necesaria para los contenidos del elemento.</w:t>
      </w:r>
    </w:p>
    <w:p>
      <w:pPr>
        <w:numPr>
          <w:ilvl w:val="0"/>
          <w:numId w:val="926"/>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Horas llenas (HP 160 + 80 = TOTAL 240) frente a la guía (en blanco) y a las 160 h/año de la malla.</w:t>
      </w:r>
    </w:p>
    <w:p>
      <w:pPr>
        <w:numPr>
          <w:ilvl w:val="0"/>
          <w:numId w:val="926"/>
        </w:numPr>
        <w:spacing w:before="0" w:after="160" w:line="240" w:lineRule="auto"/>
        <w:jc w:val="both"/>
      </w:pPr>
      <w:r>
        <w:rPr>
          <w:rFonts w:ascii="Century Gothic" w:hAnsi="Century Gothic" w:cs="Century Gothic" w:eastAsia="Century Gothic"/>
          <w:b/>
          <w:i w:val="0"/>
          <w:sz w:val="20"/>
        </w:rPr>
        <w:t>Incoherencia interna, Actividades.</w:t>
      </w:r>
      <w:r>
        <w:rPr>
          <w:rFonts w:ascii="Century Gothic" w:hAnsi="Century Gothic" w:cs="Century Gothic" w:eastAsia="Century Gothic"/>
          <w:b w:val="0"/>
          <w:i w:val="0"/>
          <w:sz w:val="20"/>
        </w:rPr>
        <w:t xml:space="preserve"> Falta la columna 'En clase' (solo hay cuatro columnas).</w:t>
      </w:r>
    </w:p>
    <w:p>
      <w:pPr>
        <w:numPr>
          <w:ilvl w:val="0"/>
          <w:numId w:val="926"/>
        </w:numPr>
        <w:spacing w:before="0" w:after="160" w:line="240" w:lineRule="auto"/>
        <w:jc w:val="both"/>
      </w:pPr>
      <w:r>
        <w:rPr>
          <w:rFonts w:ascii="Century Gothic" w:hAnsi="Century Gothic" w:cs="Century Gothic" w:eastAsia="Century Gothic"/>
          <w:b/>
          <w:i w:val="0"/>
          <w:sz w:val="20"/>
        </w:rPr>
        <w:t>Incoherencia interna, Estrategias.</w:t>
      </w:r>
      <w:r>
        <w:rPr>
          <w:rFonts w:ascii="Century Gothic" w:hAnsi="Century Gothic" w:cs="Century Gothic" w:eastAsia="Century Gothic"/>
          <w:b w:val="0"/>
          <w:i w:val="0"/>
          <w:sz w:val="20"/>
        </w:rPr>
        <w:t xml:space="preserve"> El rótulo dice 'Estrategias de aprendizaje' en lugar de 'Estrategias de aprendizaje y enseñanza'.</w:t>
      </w:r>
    </w:p>
    <w:p>
      <w:pPr>
        <w:numPr>
          <w:ilvl w:val="0"/>
          <w:numId w:val="926"/>
        </w:numPr>
        <w:spacing w:before="0" w:after="160" w:line="240" w:lineRule="auto"/>
        <w:jc w:val="both"/>
      </w:pPr>
      <w:r>
        <w:rPr>
          <w:rFonts w:ascii="Century Gothic" w:hAnsi="Century Gothic" w:cs="Century Gothic" w:eastAsia="Century Gothic"/>
          <w:b/>
          <w:i w:val="0"/>
          <w:sz w:val="20"/>
        </w:rPr>
        <w:t>Incoherencia interna, E4, Temas 9 y 10.</w:t>
      </w:r>
      <w:r>
        <w:rPr>
          <w:rFonts w:ascii="Century Gothic" w:hAnsi="Century Gothic" w:cs="Century Gothic" w:eastAsia="Century Gothic"/>
          <w:b w:val="0"/>
          <w:i w:val="0"/>
          <w:sz w:val="20"/>
        </w:rPr>
        <w:t xml:space="preserve"> El muestreo de atributos, el muestreo de variables, la MUM y la 'Documentación del muestreo en los papeles de trabajo electrónicos' repiten CPA-407, que dicta las mismas técnicas con la NIA 530.</w:t>
      </w:r>
    </w:p>
    <w:p>
      <w:pPr>
        <w:numPr>
          <w:ilvl w:val="0"/>
          <w:numId w:val="926"/>
        </w:numPr>
        <w:spacing w:before="0" w:after="200" w:line="240" w:lineRule="auto"/>
        <w:jc w:val="both"/>
      </w:pPr>
      <w:r>
        <w:rPr>
          <w:rFonts w:ascii="Century Gothic" w:hAnsi="Century Gothic" w:cs="Century Gothic" w:eastAsia="Century Gothic"/>
          <w:b/>
          <w:i w:val="0"/>
          <w:sz w:val="20"/>
        </w:rPr>
        <w:t>Incoherencia interna, Verbos.</w:t>
      </w:r>
      <w:r>
        <w:rPr>
          <w:rFonts w:ascii="Century Gothic" w:hAnsi="Century Gothic" w:cs="Century Gothic" w:eastAsia="Century Gothic"/>
          <w:b w:val="0"/>
          <w:i w:val="0"/>
          <w:sz w:val="20"/>
        </w:rPr>
        <w:t xml:space="preserve"> El criterio 1 de E4 ('Identifica') y el criterio 1 de E6 ('Describe') usan verbos de nivel bajo para tercer año.</w:t>
      </w:r>
    </w:p>
    <w:p>
      <w:pPr>
        <w:spacing w:before="0" w:after="200" w:line="240" w:lineRule="auto"/>
        <w:jc w:val="both"/>
      </w:pPr>
      <w:r>
        <w:rPr>
          <w:rFonts w:ascii="Century Gothic" w:hAnsi="Century Gothic" w:cs="Century Gothic" w:eastAsia="Century Gothic"/>
          <w:b w:val="0"/>
          <w:i w:val="0"/>
          <w:sz w:val="20"/>
        </w:rPr>
        <w:t>Se aplicaron 10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7.25</w:t>
        <w:tab/>
      </w:r>
      <w:r>
        <w:rPr>
          <w:rFonts w:ascii="Century Gothic" w:hAnsi="Century Gothic" w:cs="Century Gothic" w:eastAsia="Century Gothic"/>
          <w:b/>
          <w:i w:val="0"/>
          <w:sz w:val="22"/>
        </w:rPr>
        <w:t>CPA-401 Contabilidad Minera y Petrolera</w:t>
      </w:r>
    </w:p>
    <w:p>
      <w:pPr>
        <w:spacing w:before="0" w:after="200" w:line="240" w:lineRule="auto"/>
        <w:jc w:val="both"/>
      </w:pPr>
      <w:r>
        <w:rPr>
          <w:rFonts w:ascii="Century Gothic" w:hAnsi="Century Gothic" w:cs="Century Gothic" w:eastAsia="Century Gothic"/>
          <w:b w:val="0"/>
          <w:i w:val="0"/>
          <w:sz w:val="20"/>
        </w:rPr>
        <w:t xml:space="preserve">Archivo: CPA-401 Contabilidad Minera y Petrolera MEJORADA.docx. Cumple 16 de 23 controles, 6 de forma parcial y no cumple 1.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rico en procedimientos sectoriales (costos de superficie, mina e ingenio, liquidación de minerales, métodos de costo total y esfuerzo exitoso, renta petrolera) y con rúbricas propias de cada producto. Requiere corregir la copia del Elemento 8, dar evidencias a la elaboración de estados financieros mineros, actualizar referencias (Ley 3787, SIRESE, FASB 143, riesgo compartido), incorporar contenidos actitudinales y tecnológicos y subir el nivel de los verbos de los elementos introductorios.</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20, 30, 10, 20,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de 40 contenidos sin marca C, P, A o T; 2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Saberes A y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contenidos actitudinales (A)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(1 inversiones)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en colores distintos del amarillo (cyan: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Redacción de enunciados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enunciados en infinitivo o futuro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27"/>
        </w:numPr>
        <w:spacing w:before="0" w:after="160" w:line="240" w:lineRule="auto"/>
        <w:jc w:val="both"/>
      </w:pPr>
      <w:r>
        <w:rPr>
          <w:rFonts w:ascii="Century Gothic" w:hAnsi="Century Gothic" w:cs="Century Gothic" w:eastAsia="Century Gothic"/>
          <w:b/>
          <w:i w:val="0"/>
          <w:sz w:val="20"/>
        </w:rPr>
        <w:t>Coherencia, E8, criterio 2, evidencias 2.1 y 2.2 / Productos 31 y 32.</w:t>
      </w:r>
      <w:r>
        <w:rPr>
          <w:rFonts w:ascii="Century Gothic" w:hAnsi="Century Gothic" w:cs="Century Gothic" w:eastAsia="Century Gothic"/>
          <w:b w:val="0"/>
          <w:i w:val="0"/>
          <w:sz w:val="20"/>
        </w:rPr>
        <w:t xml:space="preserve"> El Elemento 8 es petrolero (YPFB Corporación) y su Tema 23 trata la gestión ambiental petrolera, pero el criterio 2, sus evidencias, los Productos 31 y 32 y sus rúbricas copian los del Elemento 4 sobre el impacto ambiental de las empresas mineras auríferas. Reescribir el criterio 2 y sus productos para la actividad hidrocarburífera (por ejemplo, provisión por abandono de pozos y el DS 24335).</w:t>
      </w:r>
    </w:p>
    <w:p>
      <w:pPr>
        <w:numPr>
          <w:ilvl w:val="0"/>
          <w:numId w:val="927"/>
        </w:numPr>
        <w:spacing w:before="0" w:after="160" w:line="240" w:lineRule="auto"/>
        <w:jc w:val="both"/>
      </w:pPr>
      <w:r>
        <w:rPr>
          <w:rFonts w:ascii="Century Gothic" w:hAnsi="Century Gothic" w:cs="Century Gothic" w:eastAsia="Century Gothic"/>
          <w:b/>
          <w:i w:val="0"/>
          <w:sz w:val="20"/>
        </w:rPr>
        <w:t>Coherencia, E4, criterios 1 y 2 / Productos 13 a 16.</w:t>
      </w:r>
      <w:r>
        <w:rPr>
          <w:rFonts w:ascii="Century Gothic" w:hAnsi="Century Gothic" w:cs="Century Gothic" w:eastAsia="Century Gothic"/>
          <w:b w:val="0"/>
          <w:i w:val="0"/>
          <w:sz w:val="20"/>
        </w:rPr>
        <w:t xml:space="preserve"> El elemento exige elaborar los estados financieros y valuar los inventarios de minerales, pero ningún criterio, evidencia ni producto los genera: el criterio 2 y los Productos 15 y 16 (diapositivas y resumen de normativa) tratan solo de impacto ambiental, y el Tema 10 de estados financieros queda sin evidencia. Sustituir una evidencia ambiental por la elaboración de los estados financieros y estados auxiliares de regalías de una empresa minera.</w:t>
      </w:r>
    </w:p>
    <w:p>
      <w:pPr>
        <w:numPr>
          <w:ilvl w:val="0"/>
          <w:numId w:val="927"/>
        </w:numPr>
        <w:spacing w:before="0" w:after="160" w:line="240" w:lineRule="auto"/>
        <w:jc w:val="both"/>
      </w:pPr>
      <w:r>
        <w:rPr>
          <w:rFonts w:ascii="Century Gothic" w:hAnsi="Century Gothic" w:cs="Century Gothic" w:eastAsia="Century Gothic"/>
          <w:b/>
          <w:i w:val="0"/>
          <w:sz w:val="20"/>
        </w:rPr>
        <w:t>Coherencia, E4, criterio 1, evidencia 1.2 / Producto 14.</w:t>
      </w:r>
      <w:r>
        <w:rPr>
          <w:rFonts w:ascii="Century Gothic" w:hAnsi="Century Gothic" w:cs="Century Gothic" w:eastAsia="Century Gothic"/>
          <w:b w:val="0"/>
          <w:i w:val="0"/>
          <w:sz w:val="20"/>
        </w:rPr>
        <w:t xml:space="preserve"> La evidencia es calcular las regalías acreditables y no acreditables contra el IUE, pero el producto es un cuadro comparativo de cotizaciones con la tabla de alícuotas; el cálculo de la acreditación no aparece en el nombre del producto. Nombrar el producto 'Planilla de cálculo de la regalía minera acreditable y no acreditable contra el IUE'.</w:t>
      </w:r>
    </w:p>
    <w:p>
      <w:pPr>
        <w:numPr>
          <w:ilvl w:val="0"/>
          <w:numId w:val="927"/>
        </w:numPr>
        <w:spacing w:before="0" w:after="160" w:line="240" w:lineRule="auto"/>
        <w:jc w:val="both"/>
      </w:pPr>
      <w:r>
        <w:rPr>
          <w:rFonts w:ascii="Century Gothic" w:hAnsi="Century Gothic" w:cs="Century Gothic" w:eastAsia="Century Gothic"/>
          <w:b/>
          <w:i w:val="0"/>
          <w:sz w:val="20"/>
        </w:rPr>
        <w:t>Coherencia, E8, criterio 1, evidencia 1.2 / Producto 30.</w:t>
      </w:r>
      <w:r>
        <w:rPr>
          <w:rFonts w:ascii="Century Gothic" w:hAnsi="Century Gothic" w:cs="Century Gothic" w:eastAsia="Century Gothic"/>
          <w:b w:val="0"/>
          <w:i w:val="0"/>
          <w:sz w:val="20"/>
        </w:rPr>
        <w:t xml:space="preserve"> El elemento pide estados financieros consolidados de YPFB Corporación y la rúbrica evalúa la eliminación de operaciones entre empresas del grupo, pero los contenidos del Tema 22 (Balance General, Estado de Resultados, anexos) no incluyen consolidación. Añadir un contenido sobre consolidación y eliminaciones intragrupo (NIIF 10) o retirar 'consolidados' del elemento.</w:t>
      </w:r>
    </w:p>
    <w:p>
      <w:pPr>
        <w:numPr>
          <w:ilvl w:val="0"/>
          <w:numId w:val="927"/>
        </w:numPr>
        <w:spacing w:before="0" w:after="160" w:line="240" w:lineRule="auto"/>
        <w:jc w:val="both"/>
      </w:pPr>
      <w:r>
        <w:rPr>
          <w:rFonts w:ascii="Century Gothic" w:hAnsi="Century Gothic" w:cs="Century Gothic" w:eastAsia="Century Gothic"/>
          <w:b/>
          <w:i w:val="0"/>
          <w:sz w:val="20"/>
        </w:rPr>
        <w:t>Coherencia, E1 y E5, criterio 2, evidencia 2.1 / Productos 3 y 19.</w:t>
      </w:r>
      <w:r>
        <w:rPr>
          <w:rFonts w:ascii="Century Gothic" w:hAnsi="Century Gothic" w:cs="Century Gothic" w:eastAsia="Century Gothic"/>
          <w:b w:val="0"/>
          <w:i w:val="0"/>
          <w:sz w:val="20"/>
        </w:rPr>
        <w:t xml:space="preserve"> La evidencia es explicar en aula la importancia del registro contable y las decisiones gerenciales, pero el producto es un cuestionario, que no es el resultado tangible de esa explicación. Cambiar el producto por un resumen o informe breve de la explicación, o la evidencia por la resolución del cuestionario.</w:t>
      </w:r>
    </w:p>
    <w:p>
      <w:pPr>
        <w:numPr>
          <w:ilvl w:val="0"/>
          <w:numId w:val="927"/>
        </w:numPr>
        <w:spacing w:before="0" w:after="160" w:line="240" w:lineRule="auto"/>
        <w:jc w:val="both"/>
      </w:pPr>
      <w:r>
        <w:rPr>
          <w:rFonts w:ascii="Century Gothic" w:hAnsi="Century Gothic" w:cs="Century Gothic" w:eastAsia="Century Gothic"/>
          <w:b/>
          <w:i w:val="0"/>
          <w:sz w:val="20"/>
        </w:rPr>
        <w:t>Coherencia, E6, criterio 2, evidencia 2.2 / Producto 24 y E7, criterio 2 / Productos 27 y 28.</w:t>
      </w:r>
      <w:r>
        <w:rPr>
          <w:rFonts w:ascii="Century Gothic" w:hAnsi="Century Gothic" w:cs="Century Gothic" w:eastAsia="Century Gothic"/>
          <w:b w:val="0"/>
          <w:i w:val="0"/>
          <w:sz w:val="20"/>
        </w:rPr>
        <w:t xml:space="preserve"> El criterio 2 del Elemento 6 trata del costo de explotación, pero su evidencia 2.2 calcula la renta petrolera (regalías, TGN, IDH), que el Elemento 7 vuelve a liquidar y registrar en los Productos 27 y 28. Dejar la renta petrolera solo en el Elemento 7 y reemplazar la evidencia 2.2 del Elemento 6 por la determinación del costo unitario de producción.</w:t>
      </w:r>
    </w:p>
    <w:p>
      <w:pPr>
        <w:numPr>
          <w:ilvl w:val="0"/>
          <w:numId w:val="927"/>
        </w:numPr>
        <w:spacing w:before="0" w:after="160" w:line="240" w:lineRule="auto"/>
        <w:jc w:val="both"/>
      </w:pPr>
      <w:r>
        <w:rPr>
          <w:rFonts w:ascii="Century Gothic" w:hAnsi="Century Gothic" w:cs="Century Gothic" w:eastAsia="Century Gothic"/>
          <w:b/>
          <w:i w:val="0"/>
          <w:sz w:val="20"/>
        </w:rPr>
        <w:t>Contenido técnico, Producto 14 (matriz).</w:t>
      </w:r>
      <w:r>
        <w:rPr>
          <w:rFonts w:ascii="Century Gothic" w:hAnsi="Century Gothic" w:cs="Century Gothic" w:eastAsia="Century Gothic"/>
          <w:b w:val="0"/>
          <w:i w:val="0"/>
          <w:sz w:val="20"/>
        </w:rPr>
        <w:t xml:space="preserve"> Se cita la tabla de alícuotas 'del art. 101 de la Ley 3787'; la Ley 3787 modificó el Código de Minería (Ley 1777), abrogado por la Ley 535 de Minería y Metalurgia, que hoy fija las alícuotas de la regalía minera (art. 227). Citar la tabla de alícuotas de la Ley 535.</w:t>
      </w:r>
    </w:p>
    <w:p>
      <w:pPr>
        <w:numPr>
          <w:ilvl w:val="0"/>
          <w:numId w:val="927"/>
        </w:numPr>
        <w:spacing w:before="0" w:after="160" w:line="240" w:lineRule="auto"/>
        <w:jc w:val="both"/>
      </w:pPr>
      <w:r>
        <w:rPr>
          <w:rFonts w:ascii="Century Gothic" w:hAnsi="Century Gothic" w:cs="Century Gothic" w:eastAsia="Century Gothic"/>
          <w:b/>
          <w:i w:val="0"/>
          <w:sz w:val="20"/>
        </w:rPr>
        <w:t>Contenido técnico, E7, Temas 18 y 19.</w:t>
      </w:r>
      <w:r>
        <w:rPr>
          <w:rFonts w:ascii="Century Gothic" w:hAnsi="Century Gothic" w:cs="Century Gothic" w:eastAsia="Century Gothic"/>
          <w:b w:val="0"/>
          <w:i w:val="0"/>
          <w:sz w:val="20"/>
        </w:rPr>
        <w:t xml:space="preserve"> Se menciona la 'Tasa SIRESE'; el Sistema de Regulación Sectorial y la Superintendencia de Hidrocarburos fueron sustituidos por la Agencia Nacional de Hidrocarburos (DS 0071 de 2009), que ya figura en los recursos. Referir la tasa de regulación de la Agencia Nacional de Hidrocarburos.</w:t>
      </w:r>
    </w:p>
    <w:p>
      <w:pPr>
        <w:numPr>
          <w:ilvl w:val="0"/>
          <w:numId w:val="927"/>
        </w:numPr>
        <w:spacing w:before="0" w:after="160" w:line="240" w:lineRule="auto"/>
        <w:jc w:val="both"/>
      </w:pPr>
      <w:r>
        <w:rPr>
          <w:rFonts w:ascii="Century Gothic" w:hAnsi="Century Gothic" w:cs="Century Gothic" w:eastAsia="Century Gothic"/>
          <w:b/>
          <w:i w:val="0"/>
          <w:sz w:val="20"/>
        </w:rPr>
        <w:t>Contenido técnico, E4, Tema 11, último contenido; E8, Tema 23.</w:t>
      </w:r>
      <w:r>
        <w:rPr>
          <w:rFonts w:ascii="Century Gothic" w:hAnsi="Century Gothic" w:cs="Century Gothic" w:eastAsia="Century Gothic"/>
          <w:b w:val="0"/>
          <w:i w:val="0"/>
          <w:sz w:val="20"/>
        </w:rPr>
        <w:t xml:space="preserve"> Se analiza el pronunciamiento FASB 143 sobre obligaciones por retiro de activos, norma de los US GAAP ya codificada (ASC 410-20) y no aplicable en Bolivia; el tratamiento vigente bajo las NIIF es la NIC 37 con la NIC 16 y la CINIIF 1. Sustituir FASB 143 por la NIC 37, la NIC 16 y la CINIIF 1.</w:t>
      </w:r>
    </w:p>
    <w:p>
      <w:pPr>
        <w:numPr>
          <w:ilvl w:val="0"/>
          <w:numId w:val="927"/>
        </w:numPr>
        <w:spacing w:before="0" w:after="160" w:line="240" w:lineRule="auto"/>
        <w:jc w:val="both"/>
      </w:pPr>
      <w:r>
        <w:rPr>
          <w:rFonts w:ascii="Century Gothic" w:hAnsi="Century Gothic" w:cs="Century Gothic" w:eastAsia="Century Gothic"/>
          <w:b/>
          <w:i w:val="0"/>
          <w:sz w:val="20"/>
        </w:rPr>
        <w:t>Contenido técnico, E1, contenidos (empresas mineras estatales, privadas, mixtas o de riesgo compartido).</w:t>
      </w:r>
      <w:r>
        <w:rPr>
          <w:rFonts w:ascii="Century Gothic" w:hAnsi="Century Gothic" w:cs="Century Gothic" w:eastAsia="Century Gothic"/>
          <w:b w:val="0"/>
          <w:i w:val="0"/>
          <w:sz w:val="20"/>
        </w:rPr>
        <w:t xml:space="preserve"> 'Empresas mineras ... mixtas o de riesgo compartido' usa la figura del abrogado Código de Minería; la Ley 535 reconoce a los actores productivos estatal, privado y cooperativo y los contratos de asociación minera. Actualizar la clasificación a la Ley 535.</w:t>
      </w:r>
    </w:p>
    <w:p>
      <w:pPr>
        <w:numPr>
          <w:ilvl w:val="0"/>
          <w:numId w:val="927"/>
        </w:numPr>
        <w:spacing w:before="0" w:after="160" w:line="240" w:lineRule="auto"/>
        <w:jc w:val="both"/>
      </w:pPr>
      <w:r>
        <w:rPr>
          <w:rFonts w:ascii="Century Gothic" w:hAnsi="Century Gothic" w:cs="Century Gothic" w:eastAsia="Century Gothic"/>
          <w:b/>
          <w:i w:val="0"/>
          <w:sz w:val="20"/>
        </w:rPr>
        <w:t>Contenido técnico, E6, Tema 15.</w:t>
      </w:r>
      <w:r>
        <w:rPr>
          <w:rFonts w:ascii="Century Gothic" w:hAnsi="Century Gothic" w:cs="Century Gothic" w:eastAsia="Century Gothic"/>
          <w:b w:val="0"/>
          <w:i w:val="0"/>
          <w:sz w:val="20"/>
        </w:rPr>
        <w:t xml:space="preserve"> Se nombra 'Impuesto a las Utilidades de las Empresas'; el nombre legal en la Ley 843 es Impuesto sobre las Utilidades de las Empresas, como se escribe en el Elemento 4. Corregir el nombre del impuesto.</w:t>
      </w:r>
    </w:p>
    <w:p>
      <w:pPr>
        <w:numPr>
          <w:ilvl w:val="0"/>
          <w:numId w:val="927"/>
        </w:numPr>
        <w:spacing w:before="0" w:after="160" w:line="240" w:lineRule="auto"/>
        <w:jc w:val="both"/>
      </w:pPr>
      <w:r>
        <w:rPr>
          <w:rFonts w:ascii="Century Gothic" w:hAnsi="Century Gothic" w:cs="Century Gothic" w:eastAsia="Century Gothic"/>
          <w:b/>
          <w:i w:val="0"/>
          <w:sz w:val="20"/>
        </w:rPr>
        <w:t>Marcas de saber, Toda la asignatura.</w:t>
      </w:r>
      <w:r>
        <w:rPr>
          <w:rFonts w:ascii="Century Gothic" w:hAnsi="Century Gothic" w:cs="Century Gothic" w:eastAsia="Century Gothic"/>
          <w:b w:val="0"/>
          <w:i w:val="0"/>
          <w:sz w:val="20"/>
        </w:rPr>
        <w:t xml:space="preserve"> Ningún contenido lleva (A), pese a que la unidad de competencia exige atención al desempeño ambiental y social, y solo un contenido lleva (T) (costo por tonelada en hoja de cálculo).</w:t>
      </w:r>
    </w:p>
    <w:p>
      <w:pPr>
        <w:numPr>
          <w:ilvl w:val="0"/>
          <w:numId w:val="927"/>
        </w:numPr>
        <w:spacing w:before="0" w:after="160" w:line="240" w:lineRule="auto"/>
        <w:jc w:val="both"/>
      </w:pPr>
      <w:r>
        <w:rPr>
          <w:rFonts w:ascii="Century Gothic" w:hAnsi="Century Gothic" w:cs="Century Gothic" w:eastAsia="Century Gothic"/>
          <w:b/>
          <w:i w:val="0"/>
          <w:sz w:val="20"/>
        </w:rPr>
        <w:t>Marcas de saber, E7, Temas 18 a 20.</w:t>
      </w:r>
      <w:r>
        <w:rPr>
          <w:rFonts w:ascii="Century Gothic" w:hAnsi="Century Gothic" w:cs="Century Gothic" w:eastAsia="Century Gothic"/>
          <w:b w:val="0"/>
          <w:i w:val="0"/>
          <w:sz w:val="20"/>
        </w:rPr>
        <w:t xml:space="preserve"> Las marcas aparecen como (P, C) y (P,C), invirtiendo el orden C, P, A, T que fija la guía.</w:t>
      </w:r>
    </w:p>
    <w:p>
      <w:pPr>
        <w:numPr>
          <w:ilvl w:val="0"/>
          <w:numId w:val="927"/>
        </w:numPr>
        <w:spacing w:before="0" w:after="160" w:line="240" w:lineRule="auto"/>
        <w:jc w:val="both"/>
      </w:pPr>
      <w:r>
        <w:rPr>
          <w:rFonts w:ascii="Century Gothic" w:hAnsi="Century Gothic" w:cs="Century Gothic" w:eastAsia="Century Gothic"/>
          <w:b/>
          <w:i w:val="0"/>
          <w:sz w:val="20"/>
        </w:rPr>
        <w:t>Marcas de saber, E4, Tema 11, contenidos 4 y 6.</w:t>
      </w:r>
      <w:r>
        <w:rPr>
          <w:rFonts w:ascii="Century Gothic" w:hAnsi="Century Gothic" w:cs="Century Gothic" w:eastAsia="Century Gothic"/>
          <w:b w:val="0"/>
          <w:i w:val="0"/>
          <w:sz w:val="20"/>
        </w:rPr>
        <w:t xml:space="preserve"> Los pasivos ambientales con estimación y descuento financiero se marcan solo (C), mientras los problemas ambientales y el uso de reactivos, que son descriptivos, se marcan (P).</w:t>
      </w:r>
    </w:p>
    <w:p>
      <w:pPr>
        <w:numPr>
          <w:ilvl w:val="0"/>
          <w:numId w:val="927"/>
        </w:numPr>
        <w:spacing w:before="0" w:after="160" w:line="240" w:lineRule="auto"/>
        <w:jc w:val="both"/>
      </w:pPr>
      <w:r>
        <w:rPr>
          <w:rFonts w:ascii="Century Gothic" w:hAnsi="Century Gothic" w:cs="Century Gothic" w:eastAsia="Century Gothic"/>
          <w:b/>
          <w:i w:val="0"/>
          <w:sz w:val="20"/>
        </w:rPr>
        <w:t>Circunstanciales, E3, conocimientos circunstanciales.</w:t>
      </w:r>
      <w:r>
        <w:rPr>
          <w:rFonts w:ascii="Century Gothic" w:hAnsi="Century Gothic" w:cs="Century Gothic" w:eastAsia="Century Gothic"/>
          <w:b w:val="0"/>
          <w:i w:val="0"/>
          <w:sz w:val="20"/>
        </w:rPr>
        <w:t xml:space="preserve"> 'Conocimientos previos de sistemas de costos de producción' es un conocimiento previo que se dicta en CPA-302 Contabilidad de Costos y Gestión, prerrequisito de la asignatura.</w:t>
      </w:r>
    </w:p>
    <w:p>
      <w:pPr>
        <w:numPr>
          <w:ilvl w:val="0"/>
          <w:numId w:val="927"/>
        </w:numPr>
        <w:spacing w:before="0" w:after="160" w:line="240" w:lineRule="auto"/>
        <w:jc w:val="both"/>
      </w:pPr>
      <w:r>
        <w:rPr>
          <w:rFonts w:ascii="Century Gothic" w:hAnsi="Century Gothic" w:cs="Century Gothic" w:eastAsia="Century Gothic"/>
          <w:b/>
          <w:i w:val="0"/>
          <w:sz w:val="20"/>
        </w:rPr>
        <w:t>Circunstanciales, E1, conocimientos circunstanciales.</w:t>
      </w:r>
      <w:r>
        <w:rPr>
          <w:rFonts w:ascii="Century Gothic" w:hAnsi="Century Gothic" w:cs="Century Gothic" w:eastAsia="Century Gothic"/>
          <w:b w:val="0"/>
          <w:i w:val="0"/>
          <w:sz w:val="20"/>
        </w:rPr>
        <w:t xml:space="preserve"> 'Conocimiento en tipos de Sociedades y organigramas' se dicta en DER-101 Derecho Comercial y Corporativo, CPA-202 Contabilidad de Sociedades y ADM-101 Administración General.</w:t>
      </w:r>
    </w:p>
    <w:p>
      <w:pPr>
        <w:numPr>
          <w:ilvl w:val="0"/>
          <w:numId w:val="927"/>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no están en blanco (HP 160, TOTAL 240) y el total contradice las 160 h/año de la malla.</w:t>
      </w:r>
    </w:p>
    <w:p>
      <w:pPr>
        <w:numPr>
          <w:ilvl w:val="0"/>
          <w:numId w:val="927"/>
        </w:numPr>
        <w:spacing w:before="0" w:after="160" w:line="240" w:lineRule="auto"/>
        <w:jc w:val="both"/>
      </w:pPr>
      <w:r>
        <w:rPr>
          <w:rFonts w:ascii="Century Gothic" w:hAnsi="Century Gothic" w:cs="Century Gothic" w:eastAsia="Century Gothic"/>
          <w:b/>
          <w:i w:val="0"/>
          <w:sz w:val="20"/>
        </w:rPr>
        <w:t>Incoherencia interna, E2, criterio 1 y E6, criterio 1.</w:t>
      </w:r>
      <w:r>
        <w:rPr>
          <w:rFonts w:ascii="Century Gothic" w:hAnsi="Century Gothic" w:cs="Century Gothic" w:eastAsia="Century Gothic"/>
          <w:b w:val="0"/>
          <w:i w:val="0"/>
          <w:sz w:val="20"/>
        </w:rPr>
        <w:t xml:space="preserve"> Los criterios empiezan en infinitivo ('Registrar las operaciones...'); los criterios 2 de E1 y E5 usan 'Comprende', verbo que la guía excluye.</w:t>
      </w:r>
    </w:p>
    <w:p>
      <w:pPr>
        <w:numPr>
          <w:ilvl w:val="0"/>
          <w:numId w:val="927"/>
        </w:numPr>
        <w:spacing w:before="0" w:after="160" w:line="240" w:lineRule="auto"/>
        <w:jc w:val="both"/>
      </w:pPr>
      <w:r>
        <w:rPr>
          <w:rFonts w:ascii="Century Gothic" w:hAnsi="Century Gothic" w:cs="Century Gothic" w:eastAsia="Century Gothic"/>
          <w:b/>
          <w:i w:val="0"/>
          <w:sz w:val="20"/>
        </w:rPr>
        <w:t>Incoherencia interna, E1, E2 y E5 (nivel de los verbos).</w:t>
      </w:r>
      <w:r>
        <w:rPr>
          <w:rFonts w:ascii="Century Gothic" w:hAnsi="Century Gothic" w:cs="Century Gothic" w:eastAsia="Century Gothic"/>
          <w:b w:val="0"/>
          <w:i w:val="0"/>
          <w:sz w:val="20"/>
        </w:rPr>
        <w:t xml:space="preserve"> Para cuarto año predominan verbos de recordar y comprender (explica, reconoce, comprende, describe, expone la historia, cuestionario) en tres de los ocho elementos.</w:t>
      </w:r>
    </w:p>
    <w:p>
      <w:pPr>
        <w:numPr>
          <w:ilvl w:val="0"/>
          <w:numId w:val="927"/>
        </w:numPr>
        <w:spacing w:before="0" w:after="160" w:line="240" w:lineRule="auto"/>
        <w:jc w:val="both"/>
      </w:pPr>
      <w:r>
        <w:rPr>
          <w:rFonts w:ascii="Century Gothic" w:hAnsi="Century Gothic" w:cs="Century Gothic" w:eastAsia="Century Gothic"/>
          <w:b/>
          <w:i w:val="0"/>
          <w:sz w:val="20"/>
        </w:rPr>
        <w:t>Incoherencia interna, E2, Tema 4.</w:t>
      </w:r>
      <w:r>
        <w:rPr>
          <w:rFonts w:ascii="Century Gothic" w:hAnsi="Century Gothic" w:cs="Century Gothic" w:eastAsia="Century Gothic"/>
          <w:b w:val="0"/>
          <w:i w:val="0"/>
          <w:sz w:val="20"/>
        </w:rPr>
        <w:t xml:space="preserve"> El régimen tributario minero se ubica en el Elemento 2 (pre-producción y superficie), cuyas evidencias no lo usan; se aplica recién en el Elemento 4.</w:t>
      </w:r>
    </w:p>
    <w:p>
      <w:pPr>
        <w:numPr>
          <w:ilvl w:val="0"/>
          <w:numId w:val="927"/>
        </w:numPr>
        <w:spacing w:before="0" w:after="160" w:line="240" w:lineRule="auto"/>
        <w:jc w:val="both"/>
      </w:pPr>
      <w:r>
        <w:rPr>
          <w:rFonts w:ascii="Century Gothic" w:hAnsi="Century Gothic" w:cs="Century Gothic" w:eastAsia="Century Gothic"/>
          <w:b/>
          <w:i w:val="0"/>
          <w:sz w:val="20"/>
        </w:rPr>
        <w:t>Incoherencia interna, E6, Tema 15; E7, Tema 20; E8, Tema 21.</w:t>
      </w:r>
      <w:r>
        <w:rPr>
          <w:rFonts w:ascii="Century Gothic" w:hAnsi="Century Gothic" w:cs="Century Gothic" w:eastAsia="Century Gothic"/>
          <w:b w:val="0"/>
          <w:i w:val="0"/>
          <w:sz w:val="20"/>
        </w:rPr>
        <w:t xml:space="preserve"> El tratamiento general del IVA, IT e IUE repite contenidos de CPA-203 Contabilidad de Tributos; solo lo sectorial (regalías, IDH, IEHD, devolución a exportadores) es propio de la asignatura.</w:t>
      </w:r>
    </w:p>
    <w:p>
      <w:pPr>
        <w:numPr>
          <w:ilvl w:val="0"/>
          <w:numId w:val="927"/>
        </w:numPr>
        <w:spacing w:before="0" w:after="200" w:line="240" w:lineRule="auto"/>
        <w:jc w:val="both"/>
      </w:pPr>
      <w:r>
        <w:rPr>
          <w:rFonts w:ascii="Century Gothic" w:hAnsi="Century Gothic" w:cs="Century Gothic" w:eastAsia="Century Gothic"/>
          <w:b/>
          <w:i w:val="0"/>
          <w:sz w:val="20"/>
        </w:rPr>
        <w:t>Incoherencia interna, Bibliografía básica.</w:t>
      </w:r>
      <w:r>
        <w:rPr>
          <w:rFonts w:ascii="Century Gothic" w:hAnsi="Century Gothic" w:cs="Century Gothic" w:eastAsia="Century Gothic"/>
          <w:b w:val="0"/>
          <w:i w:val="0"/>
          <w:sz w:val="20"/>
        </w:rPr>
        <w:t xml:space="preserve"> No está en orden alfabético (Perez y Pozo preceden a Código de Comercio) y Fowler Newton (2001) no es edición vigente.</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general no trata cambios de nombre (la asignatura coincide con la malla). Señala que los conceptos de geología e ingeniería deben ir a la columna de conocimientos circunstanciales (en el itinerario ya figuran allí) y una 'errata de copiado en el Elemento 8', que esta revisión confirma: su criterio 2 y los Productos 31 y 32 copian los del Elemento 4 minero.</w:t>
      </w:r>
    </w:p>
    <w:p>
      <w:pPr>
        <w:spacing w:before="0" w:after="200" w:line="240" w:lineRule="auto"/>
        <w:jc w:val="both"/>
      </w:pPr>
      <w:r>
        <w:rPr>
          <w:rFonts w:ascii="Century Gothic" w:hAnsi="Century Gothic" w:cs="Century Gothic" w:eastAsia="Century Gothic"/>
          <w:b w:val="0"/>
          <w:i w:val="0"/>
          <w:sz w:val="20"/>
        </w:rPr>
        <w:t>Se aplicaron 27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7.26</w:t>
        <w:tab/>
      </w:r>
      <w:r>
        <w:rPr>
          <w:rFonts w:ascii="Century Gothic" w:hAnsi="Century Gothic" w:cs="Century Gothic" w:eastAsia="Century Gothic"/>
          <w:b/>
          <w:i w:val="0"/>
          <w:sz w:val="22"/>
        </w:rPr>
        <w:t>CPA-402 Contabilidad Agrícola y Ganadera</w:t>
      </w:r>
    </w:p>
    <w:p>
      <w:pPr>
        <w:spacing w:before="0" w:after="200" w:line="240" w:lineRule="auto"/>
        <w:jc w:val="both"/>
      </w:pPr>
      <w:r>
        <w:rPr>
          <w:rFonts w:ascii="Century Gothic" w:hAnsi="Century Gothic" w:cs="Century Gothic" w:eastAsia="Century Gothic"/>
          <w:b w:val="0"/>
          <w:i w:val="0"/>
          <w:sz w:val="20"/>
        </w:rPr>
        <w:t xml:space="preserve">Archivo: CPA-402 Contabilidad Agricola y Ganadera ajustado 8-10-26 en la comision jueves HQ+FH+HV.docx. Cumple 15 de 23 controles, 5 de forma parcial y no cumple 3.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con buen contenido sectorial boliviano (RAU, proyección del hato, costo unitario según el proveedor, NIC 41 frente a la norma tributaria) y rúbricas mayormente propias de cada producto. Debe corregir la estructura de los Elementos 3 y 4, la numeración de temas y evidencias, la rúbrica 27, los contenidos de Naciones Unidas ajenos a la asignatura y el marcado casi exclusivo en (C) de contenidos de contabilización.</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10, 10, 20, 40,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C7</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Dos criterios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E3: 3 criterios; E4: 3 criterios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de desempeño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E3: 6 evidencias (numeración 1.1, 1.2, 1.1, 1.2, 2.1, 2.2); E4: 6 evidencias (numeración 2.1, 2.2, 1.1, 1.2, 2.1, 2.2)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de producto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E3: 6 productos; E4: 6 productos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Rúbricas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rúbricas con niveles distintos de 1–50, 51–80 y 81–100 (p. ej., «Criterio Insuficiente (1–50) Criterio Insuficiente (1–50)»)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17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28"/>
        </w:numPr>
        <w:spacing w:before="0" w:after="160" w:line="240" w:lineRule="auto"/>
        <w:jc w:val="both"/>
      </w:pPr>
      <w:r>
        <w:rPr>
          <w:rFonts w:ascii="Century Gothic" w:hAnsi="Century Gothic" w:cs="Century Gothic" w:eastAsia="Century Gothic"/>
          <w:b/>
          <w:i w:val="0"/>
          <w:sz w:val="20"/>
        </w:rPr>
        <w:t>Coherencia, E2, criterio 1, evidencia 1.2 / Producto 6.</w:t>
      </w:r>
      <w:r>
        <w:rPr>
          <w:rFonts w:ascii="Century Gothic" w:hAnsi="Century Gothic" w:cs="Century Gothic" w:eastAsia="Century Gothic"/>
          <w:b w:val="0"/>
          <w:i w:val="0"/>
          <w:sz w:val="20"/>
        </w:rPr>
        <w:t xml:space="preserve"> El criterio trata de las obligaciones tributarias del Régimen General, pero la evidencia 1.2 y el Producto 6 tratan de requisitos y certificados de importación y exportación; además el producto ('Procedimientos de...') no nombra un documento y la rúbrica lo titula solo 'de importación'. Llevar comercio exterior a un criterio propio o reformular el producto como 'Informe de los requisitos tributarios y certificados de importación y exportación' con el mismo nombre en matriz y rúbrica.</w:t>
      </w:r>
    </w:p>
    <w:p>
      <w:pPr>
        <w:numPr>
          <w:ilvl w:val="0"/>
          <w:numId w:val="928"/>
        </w:numPr>
        <w:spacing w:before="0" w:after="160" w:line="240" w:lineRule="auto"/>
        <w:jc w:val="both"/>
      </w:pPr>
      <w:r>
        <w:rPr>
          <w:rFonts w:ascii="Century Gothic" w:hAnsi="Century Gothic" w:cs="Century Gothic" w:eastAsia="Century Gothic"/>
          <w:b/>
          <w:i w:val="0"/>
          <w:sz w:val="20"/>
        </w:rPr>
        <w:t>Coherencia, E4, criterio 2, evidencia 1.1 / Producto 17.</w:t>
      </w:r>
      <w:r>
        <w:rPr>
          <w:rFonts w:ascii="Century Gothic" w:hAnsi="Century Gothic" w:cs="Century Gothic" w:eastAsia="Century Gothic"/>
          <w:b w:val="0"/>
          <w:i w:val="0"/>
          <w:sz w:val="20"/>
        </w:rPr>
        <w:t xml:space="preserve"> La evidencia es registrar la adquisición, el procreo y la venta de ganado, pero el producto es un 'esquema del proceso de producción biológico', no los registros contables que la rúbrica evalúa. Nombrar el producto 'Asientos contables de adquisición, procreo y venta de ganado'.</w:t>
      </w:r>
    </w:p>
    <w:p>
      <w:pPr>
        <w:numPr>
          <w:ilvl w:val="0"/>
          <w:numId w:val="928"/>
        </w:numPr>
        <w:spacing w:before="0" w:after="160" w:line="240" w:lineRule="auto"/>
        <w:jc w:val="both"/>
      </w:pPr>
      <w:r>
        <w:rPr>
          <w:rFonts w:ascii="Century Gothic" w:hAnsi="Century Gothic" w:cs="Century Gothic" w:eastAsia="Century Gothic"/>
          <w:b/>
          <w:i w:val="0"/>
          <w:sz w:val="20"/>
        </w:rPr>
        <w:t>Coherencia, Rúbrica del Producto 19, criterio 'Ética profesional'.</w:t>
      </w:r>
      <w:r>
        <w:rPr>
          <w:rFonts w:ascii="Century Gothic" w:hAnsi="Century Gothic" w:cs="Century Gothic" w:eastAsia="Century Gothic"/>
          <w:b w:val="0"/>
          <w:i w:val="0"/>
          <w:sz w:val="20"/>
        </w:rPr>
        <w:t xml:space="preserve"> El nivel Destacado ('Señala el riesgo tributario de las compras sin factura') no corresponde al acta de conciliación del inventario físico del hato. Redactar el Destacado sobre la objetividad al informar y documentar las diferencias de conteo.</w:t>
      </w:r>
    </w:p>
    <w:p>
      <w:pPr>
        <w:numPr>
          <w:ilvl w:val="0"/>
          <w:numId w:val="928"/>
        </w:numPr>
        <w:spacing w:before="0" w:after="160" w:line="240" w:lineRule="auto"/>
        <w:jc w:val="both"/>
      </w:pPr>
      <w:r>
        <w:rPr>
          <w:rFonts w:ascii="Century Gothic" w:hAnsi="Century Gothic" w:cs="Century Gothic" w:eastAsia="Century Gothic"/>
          <w:b/>
          <w:i w:val="0"/>
          <w:sz w:val="20"/>
        </w:rPr>
        <w:t>Coherencia, E6, elemento.</w:t>
      </w:r>
      <w:r>
        <w:rPr>
          <w:rFonts w:ascii="Century Gothic" w:hAnsi="Century Gothic" w:cs="Century Gothic" w:eastAsia="Century Gothic"/>
          <w:b w:val="0"/>
          <w:i w:val="0"/>
          <w:sz w:val="20"/>
        </w:rPr>
        <w:t xml:space="preserve"> Dice que se reconoce y mide 'conforme al ordenamiento jurídico tributario boliviano', pero la NIC 41 se aplica con sus propios criterios; el tratamiento tributario es objeto de comparación en el criterio 2, no la base de la medición. Redactar: 'Aplica la NIC 41..., comparando su medición con el tratamiento tributario boliviano'.</w:t>
      </w:r>
    </w:p>
    <w:p>
      <w:pPr>
        <w:numPr>
          <w:ilvl w:val="0"/>
          <w:numId w:val="928"/>
        </w:numPr>
        <w:spacing w:before="0" w:after="160" w:line="240" w:lineRule="auto"/>
        <w:jc w:val="both"/>
      </w:pPr>
      <w:r>
        <w:rPr>
          <w:rFonts w:ascii="Century Gothic" w:hAnsi="Century Gothic" w:cs="Century Gothic" w:eastAsia="Century Gothic"/>
          <w:b/>
          <w:i w:val="0"/>
          <w:sz w:val="20"/>
        </w:rPr>
        <w:t>Coherencia, E5, criterio 1, evidencia 1.1 / rúbrica del Producto 21.</w:t>
      </w:r>
      <w:r>
        <w:rPr>
          <w:rFonts w:ascii="Century Gothic" w:hAnsi="Century Gothic" w:cs="Century Gothic" w:eastAsia="Century Gothic"/>
          <w:b w:val="0"/>
          <w:i w:val="0"/>
          <w:sz w:val="20"/>
        </w:rPr>
        <w:t xml:space="preserve"> La evidencia y el producto son la hoja de costos de productos agropecuarios en general, pero la rúbrica evalúa solo componentes ganaderos (costo estable, de crianza y de procreo, categoría del hato). Incluir en la rúbrica los componentes del costo agrícola por campaña o limitar el producto a la hoja de costos ganadera.</w:t>
      </w:r>
    </w:p>
    <w:p>
      <w:pPr>
        <w:numPr>
          <w:ilvl w:val="0"/>
          <w:numId w:val="928"/>
        </w:numPr>
        <w:spacing w:before="0" w:after="160" w:line="240" w:lineRule="auto"/>
        <w:jc w:val="both"/>
      </w:pPr>
      <w:r>
        <w:rPr>
          <w:rFonts w:ascii="Century Gothic" w:hAnsi="Century Gothic" w:cs="Century Gothic" w:eastAsia="Century Gothic"/>
          <w:b/>
          <w:i w:val="0"/>
          <w:sz w:val="20"/>
        </w:rPr>
        <w:t>Contenido técnico, E3, Tema 5 y E4, Tema 8.</w:t>
      </w:r>
      <w:r>
        <w:rPr>
          <w:rFonts w:ascii="Century Gothic" w:hAnsi="Century Gothic" w:cs="Century Gothic" w:eastAsia="Century Gothic"/>
          <w:b w:val="0"/>
          <w:i w:val="0"/>
          <w:sz w:val="20"/>
        </w:rPr>
        <w:t xml:space="preserve"> Se usan categorías ajenas a la NIC 41 ('activos transitorios biológicos', 'activos biológicos semovientes', 'activos biológicos productivos') junto con las de la norma (consumibles, para producir frutos, plantas productoras), sin indicar a qué marco corresponde cada una. Usar la terminología de la NIC 41 y la NIC 16, o aclarar la equivalencia con la nomenclatura local.</w:t>
      </w:r>
    </w:p>
    <w:p>
      <w:pPr>
        <w:numPr>
          <w:ilvl w:val="0"/>
          <w:numId w:val="928"/>
        </w:numPr>
        <w:spacing w:before="0" w:after="160" w:line="240" w:lineRule="auto"/>
        <w:jc w:val="both"/>
      </w:pPr>
      <w:r>
        <w:rPr>
          <w:rFonts w:ascii="Century Gothic" w:hAnsi="Century Gothic" w:cs="Century Gothic" w:eastAsia="Century Gothic"/>
          <w:b/>
          <w:i w:val="0"/>
          <w:sz w:val="20"/>
        </w:rPr>
        <w:t>Contenido técnico, E3, Tema 4, contenidos 2 a 4.</w:t>
      </w:r>
      <w:r>
        <w:rPr>
          <w:rFonts w:ascii="Century Gothic" w:hAnsi="Century Gothic" w:cs="Century Gothic" w:eastAsia="Century Gothic"/>
          <w:b w:val="0"/>
          <w:i w:val="0"/>
          <w:sz w:val="20"/>
        </w:rPr>
        <w:t xml:space="preserve"> Los contenidos sobre la posición de Bolivia en Río+20 (2012), el vivir bien en foros de Naciones Unidas y el mecanismo conjunto de mitigación no corresponden al tema 'Inversión, explotación y rendimiento' ni a la contabilidad agrícola, y su referencia está desactualizada. Sustituirlos por contenidos de inversión y rendimiento o por la revelación de riesgos climáticos (NIIF S2), que ya figura en el tema.</w:t>
      </w:r>
    </w:p>
    <w:p>
      <w:pPr>
        <w:numPr>
          <w:ilvl w:val="0"/>
          <w:numId w:val="928"/>
        </w:numPr>
        <w:spacing w:before="0" w:after="160" w:line="240" w:lineRule="auto"/>
        <w:jc w:val="both"/>
      </w:pPr>
      <w:r>
        <w:rPr>
          <w:rFonts w:ascii="Century Gothic" w:hAnsi="Century Gothic" w:cs="Century Gothic" w:eastAsia="Century Gothic"/>
          <w:b/>
          <w:i w:val="0"/>
          <w:sz w:val="20"/>
        </w:rPr>
        <w:t>Marcas de saber, E3, Tema 4, contenido 3.</w:t>
      </w:r>
      <w:r>
        <w:rPr>
          <w:rFonts w:ascii="Century Gothic" w:hAnsi="Century Gothic" w:cs="Century Gothic" w:eastAsia="Century Gothic"/>
          <w:b w:val="0"/>
          <w:i w:val="0"/>
          <w:sz w:val="20"/>
        </w:rPr>
        <w:t xml:space="preserve"> 'El vivir bien en el Programa de las Naciones Unidas para el Medio Ambiente...' lleva (T) sin relación con tecnología alguna.</w:t>
      </w:r>
    </w:p>
    <w:p>
      <w:pPr>
        <w:numPr>
          <w:ilvl w:val="0"/>
          <w:numId w:val="928"/>
        </w:numPr>
        <w:spacing w:before="0" w:after="160" w:line="240" w:lineRule="auto"/>
        <w:jc w:val="both"/>
      </w:pPr>
      <w:r>
        <w:rPr>
          <w:rFonts w:ascii="Century Gothic" w:hAnsi="Century Gothic" w:cs="Century Gothic" w:eastAsia="Century Gothic"/>
          <w:b/>
          <w:i w:val="0"/>
          <w:sz w:val="20"/>
        </w:rPr>
        <w:t>Marcas de saber, E4, Tema 8, contenidos 1 y 3.</w:t>
      </w:r>
      <w:r>
        <w:rPr>
          <w:rFonts w:ascii="Century Gothic" w:hAnsi="Century Gothic" w:cs="Century Gothic" w:eastAsia="Century Gothic"/>
          <w:b w:val="0"/>
          <w:i w:val="0"/>
          <w:sz w:val="20"/>
        </w:rPr>
        <w:t xml:space="preserve"> 'Concepto de contabilidad ganadera, sistemas contables...' lleva (T) sin operar herramienta, e 'Inventarios ... importación de genética bovina' lleva (A) sin conducta observable.</w:t>
      </w:r>
    </w:p>
    <w:p>
      <w:pPr>
        <w:numPr>
          <w:ilvl w:val="0"/>
          <w:numId w:val="928"/>
        </w:numPr>
        <w:spacing w:before="0" w:after="160" w:line="240" w:lineRule="auto"/>
        <w:jc w:val="both"/>
      </w:pPr>
      <w:r>
        <w:rPr>
          <w:rFonts w:ascii="Century Gothic" w:hAnsi="Century Gothic" w:cs="Century Gothic" w:eastAsia="Century Gothic"/>
          <w:b/>
          <w:i w:val="0"/>
          <w:sz w:val="20"/>
        </w:rPr>
        <w:t>Marcas de saber, E3, Tema 5 y E4, Tema 8.</w:t>
      </w:r>
      <w:r>
        <w:rPr>
          <w:rFonts w:ascii="Century Gothic" w:hAnsi="Century Gothic" w:cs="Century Gothic" w:eastAsia="Century Gothic"/>
          <w:b w:val="0"/>
          <w:i w:val="0"/>
          <w:sz w:val="20"/>
        </w:rPr>
        <w:t xml:space="preserve"> La mayoría de los contenidos que incluyen 'con su contabilización' (adquisición de ganado, ganado en tránsito, procreo en proceso, ventas, bajas) están marcados solo (C), aunque son procedimentales.</w:t>
      </w:r>
    </w:p>
    <w:p>
      <w:pPr>
        <w:numPr>
          <w:ilvl w:val="0"/>
          <w:numId w:val="928"/>
        </w:numPr>
        <w:spacing w:before="0" w:after="160" w:line="240" w:lineRule="auto"/>
        <w:jc w:val="both"/>
      </w:pPr>
      <w:r>
        <w:rPr>
          <w:rFonts w:ascii="Century Gothic" w:hAnsi="Century Gothic" w:cs="Century Gothic" w:eastAsia="Century Gothic"/>
          <w:b/>
          <w:i w:val="0"/>
          <w:sz w:val="20"/>
        </w:rPr>
        <w:t>Marcas de saber, E1 y E2.</w:t>
      </w:r>
      <w:r>
        <w:rPr>
          <w:rFonts w:ascii="Century Gothic" w:hAnsi="Century Gothic" w:cs="Century Gothic" w:eastAsia="Century Gothic"/>
          <w:b w:val="0"/>
          <w:i w:val="0"/>
          <w:sz w:val="20"/>
        </w:rPr>
        <w:t xml:space="preserve"> Todos los contenidos del Tema 1 y casi todos los del Tema 2 llevan solo (C), incluida la 'Gestión del riesgo agropecuario', base del Producto 3.</w:t>
      </w:r>
    </w:p>
    <w:p>
      <w:pPr>
        <w:numPr>
          <w:ilvl w:val="0"/>
          <w:numId w:val="928"/>
        </w:numPr>
        <w:spacing w:before="0" w:after="160" w:line="240" w:lineRule="auto"/>
        <w:jc w:val="both"/>
      </w:pPr>
      <w:r>
        <w:rPr>
          <w:rFonts w:ascii="Century Gothic" w:hAnsi="Century Gothic" w:cs="Century Gothic" w:eastAsia="Century Gothic"/>
          <w:b/>
          <w:i w:val="0"/>
          <w:sz w:val="20"/>
        </w:rPr>
        <w:t>Circunstanciales, E3, Temas 3, 4 y 5.</w:t>
      </w:r>
      <w:r>
        <w:rPr>
          <w:rFonts w:ascii="Century Gothic" w:hAnsi="Century Gothic" w:cs="Century Gothic" w:eastAsia="Century Gothic"/>
          <w:b w:val="0"/>
          <w:i w:val="0"/>
          <w:sz w:val="20"/>
        </w:rPr>
        <w:t xml:space="preserve"> La misma lista de cinco conocimientos circunstanciales se repite idéntica en los tres temas; 'Anexo 2 vida útil de activos fijos DS 24051' es normativa tributaria que se estudia en CPA-203 Contabilidad de Tributos y CPA-201 (vida útil contable frente a la tributaria).</w:t>
      </w:r>
    </w:p>
    <w:p>
      <w:pPr>
        <w:numPr>
          <w:ilvl w:val="0"/>
          <w:numId w:val="928"/>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Solo se llenan HP (160) y TOTAL (240), con las demás casillas vacías: el total no suma y contradice las 160 h/año de la malla.</w:t>
      </w:r>
    </w:p>
    <w:p>
      <w:pPr>
        <w:numPr>
          <w:ilvl w:val="0"/>
          <w:numId w:val="928"/>
        </w:numPr>
        <w:spacing w:before="0" w:after="160" w:line="240" w:lineRule="auto"/>
        <w:jc w:val="both"/>
      </w:pPr>
      <w:r>
        <w:rPr>
          <w:rFonts w:ascii="Century Gothic" w:hAnsi="Century Gothic" w:cs="Century Gothic" w:eastAsia="Century Gothic"/>
          <w:b/>
          <w:i w:val="0"/>
          <w:sz w:val="20"/>
        </w:rPr>
        <w:t>Incoherencia interna, E3 y E4, numeración de evidencias.</w:t>
      </w:r>
      <w:r>
        <w:rPr>
          <w:rFonts w:ascii="Century Gothic" w:hAnsi="Century Gothic" w:cs="Century Gothic" w:eastAsia="Century Gothic"/>
          <w:b w:val="0"/>
          <w:i w:val="0"/>
          <w:sz w:val="20"/>
        </w:rPr>
        <w:t xml:space="preserve"> Las evidencias del criterio 2 del Elemento 3 se numeran 1.1 y 1.2 y las del criterio 3, 2.1 y 2.2; en el Elemento 4 el criterio 1 usa 2.1 y 2.2 y el criterio 2, 1.1 y 1.2.</w:t>
      </w:r>
    </w:p>
    <w:p>
      <w:pPr>
        <w:numPr>
          <w:ilvl w:val="0"/>
          <w:numId w:val="928"/>
        </w:numPr>
        <w:spacing w:before="0" w:after="160" w:line="240" w:lineRule="auto"/>
        <w:jc w:val="both"/>
      </w:pPr>
      <w:r>
        <w:rPr>
          <w:rFonts w:ascii="Century Gothic" w:hAnsi="Century Gothic" w:cs="Century Gothic" w:eastAsia="Century Gothic"/>
          <w:b/>
          <w:i w:val="0"/>
          <w:sz w:val="20"/>
        </w:rPr>
        <w:t>Incoherencia interna, Unidades de aprendizaje.</w:t>
      </w:r>
      <w:r>
        <w:rPr>
          <w:rFonts w:ascii="Century Gothic" w:hAnsi="Century Gothic" w:cs="Century Gothic" w:eastAsia="Century Gothic"/>
          <w:b w:val="0"/>
          <w:i w:val="0"/>
          <w:sz w:val="20"/>
        </w:rPr>
        <w:t xml:space="preserve"> La numeración salta del Tema 5 al Tema 7 y del Tema 9 al Tema 15; no existen los Temas 6 y 10 a 14.</w:t>
      </w:r>
    </w:p>
    <w:p>
      <w:pPr>
        <w:numPr>
          <w:ilvl w:val="0"/>
          <w:numId w:val="928"/>
        </w:numPr>
        <w:spacing w:before="0" w:after="160" w:line="240" w:lineRule="auto"/>
        <w:jc w:val="both"/>
      </w:pPr>
      <w:r>
        <w:rPr>
          <w:rFonts w:ascii="Century Gothic" w:hAnsi="Century Gothic" w:cs="Century Gothic" w:eastAsia="Century Gothic"/>
          <w:b/>
          <w:i w:val="0"/>
          <w:sz w:val="20"/>
        </w:rPr>
        <w:t>Incoherencia interna, Rúbrica del Producto 27.</w:t>
      </w:r>
      <w:r>
        <w:rPr>
          <w:rFonts w:ascii="Century Gothic" w:hAnsi="Century Gothic" w:cs="Century Gothic" w:eastAsia="Century Gothic"/>
          <w:b w:val="0"/>
          <w:i w:val="0"/>
          <w:sz w:val="20"/>
        </w:rPr>
        <w:t xml:space="preserve"> La tabla está mal armada: repite las columnas Criterio e Insuficiente y no tiene los niveles Suficiente ni Destacado.</w:t>
      </w:r>
    </w:p>
    <w:p>
      <w:pPr>
        <w:numPr>
          <w:ilvl w:val="0"/>
          <w:numId w:val="928"/>
        </w:numPr>
        <w:spacing w:before="0" w:after="160" w:line="240" w:lineRule="auto"/>
        <w:jc w:val="both"/>
      </w:pPr>
      <w:r>
        <w:rPr>
          <w:rFonts w:ascii="Century Gothic" w:hAnsi="Century Gothic" w:cs="Century Gothic" w:eastAsia="Century Gothic"/>
          <w:b/>
          <w:i w:val="0"/>
          <w:sz w:val="20"/>
        </w:rPr>
        <w:t>Incoherencia interna, Unidad de competencia, E3 criterio 3, E4 criterio 2.</w:t>
      </w:r>
      <w:r>
        <w:rPr>
          <w:rFonts w:ascii="Century Gothic" w:hAnsi="Century Gothic" w:cs="Century Gothic" w:eastAsia="Century Gothic"/>
          <w:b w:val="0"/>
          <w:i w:val="0"/>
          <w:sz w:val="20"/>
        </w:rPr>
        <w:t xml:space="preserve"> Se usa la sigla 'NC' sin desarrollarla en su primera aparición.</w:t>
      </w:r>
    </w:p>
    <w:p>
      <w:pPr>
        <w:numPr>
          <w:ilvl w:val="0"/>
          <w:numId w:val="928"/>
        </w:numPr>
        <w:spacing w:before="0" w:after="200" w:line="240" w:lineRule="auto"/>
        <w:jc w:val="both"/>
      </w:pPr>
      <w:r>
        <w:rPr>
          <w:rFonts w:ascii="Century Gothic" w:hAnsi="Century Gothic" w:cs="Century Gothic" w:eastAsia="Century Gothic"/>
          <w:b/>
          <w:i w:val="0"/>
          <w:sz w:val="20"/>
        </w:rPr>
        <w:t>Formato del archivo.</w:t>
      </w:r>
      <w:r>
        <w:rPr>
          <w:rFonts w:ascii="Century Gothic" w:hAnsi="Century Gothic" w:cs="Century Gothic" w:eastAsia="Century Gothic"/>
          <w:b w:val="0"/>
          <w:i w:val="0"/>
          <w:sz w:val="20"/>
        </w:rPr>
        <w:t xml:space="preserve"> Se entregó con 4 inserciones sin aceptar.</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general no explica cambios de nombre (coincide con la malla). Señala la ruptura 1-2-4-4 en el Elemento 3 (tres criterios y seis productos), la rúbrica 27 mal maquetada y el uso de 'Cálculo...' en productos; no advierte que el Elemento 4 también tiene tres criterios y seis productos (Productos 15 a 20), lo que explica los 28 productos que registra.</w:t>
      </w:r>
    </w:p>
    <w:p>
      <w:pPr>
        <w:spacing w:before="0" w:after="200" w:line="240" w:lineRule="auto"/>
        <w:jc w:val="both"/>
      </w:pPr>
      <w:r>
        <w:rPr>
          <w:rFonts w:ascii="Century Gothic" w:hAnsi="Century Gothic" w:cs="Century Gothic" w:eastAsia="Century Gothic"/>
          <w:b w:val="0"/>
          <w:i w:val="0"/>
          <w:sz w:val="20"/>
        </w:rPr>
        <w:t>Se aplicaron 6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7.27</w:t>
        <w:tab/>
      </w:r>
      <w:r>
        <w:rPr>
          <w:rFonts w:ascii="Century Gothic" w:hAnsi="Century Gothic" w:cs="Century Gothic" w:eastAsia="Century Gothic"/>
          <w:b/>
          <w:i w:val="0"/>
          <w:sz w:val="22"/>
        </w:rPr>
        <w:t>CPA-403 Contabilidad de Seguros: Privado y Social</w:t>
      </w:r>
    </w:p>
    <w:p>
      <w:pPr>
        <w:spacing w:before="0" w:after="200" w:line="240" w:lineRule="auto"/>
        <w:jc w:val="both"/>
      </w:pPr>
      <w:r>
        <w:rPr>
          <w:rFonts w:ascii="Century Gothic" w:hAnsi="Century Gothic" w:cs="Century Gothic" w:eastAsia="Century Gothic"/>
          <w:b w:val="0"/>
          <w:i w:val="0"/>
          <w:sz w:val="20"/>
        </w:rPr>
        <w:t xml:space="preserve">Archivo: CPA-403_3_Contabilidad de Seguros Privado y Social V. modificada1 TCM (1).docx. Cumple 16 de 23 controles, 3 de forma parcial y no cumple 4.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Estructura completa y pesos correctos, con un núcleo técnico sólido en seguro privado (coaseguro, reaseguro, reservas, margen de solvencia, NIIF 17). Lo debilitan rúbricas genéricas o copiadas, un elemento de seguridad social con contenidos mínimos que además repite DER-102, una bibliografía muy antigua con leyes abrogadas y la casi ausencia de contenidos actitudinales y tecnológicos.</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16, 16, 32, 16,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 sin condiciones de calidad explícitas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de desempeño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E1: 4 evidencias, sin numeración completa (numeración 2.1, 2.2); E2: 4 evidencias, sin numeración completa (numeración 2.1, 2.2); E3: 4 evidencias, sin numeración completa (numeración 2.1, 2.2)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de 55 contenidos sin marca C, P, A o T; 1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 de 17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29"/>
        </w:numPr>
        <w:spacing w:before="0" w:after="160" w:line="240" w:lineRule="auto"/>
        <w:jc w:val="both"/>
      </w:pPr>
      <w:r>
        <w:rPr>
          <w:rFonts w:ascii="Century Gothic" w:hAnsi="Century Gothic" w:cs="Century Gothic" w:eastAsia="Century Gothic"/>
          <w:b/>
          <w:i w:val="0"/>
          <w:sz w:val="20"/>
        </w:rPr>
        <w:t>Coherencia, E3, criterios 1 y 2 / Productos 9 a 12 frente a los Temas 10 y 11.</w:t>
      </w:r>
      <w:r>
        <w:rPr>
          <w:rFonts w:ascii="Century Gothic" w:hAnsi="Century Gothic" w:cs="Century Gothic" w:eastAsia="Century Gothic"/>
          <w:b w:val="0"/>
          <w:i w:val="0"/>
          <w:sz w:val="20"/>
        </w:rPr>
        <w:t xml:space="preserve"> El Elemento 3 pesa 35 % y sus productos exigen analizar prestaciones de vejez, invalidez, muerte, salud y riesgos profesionales, financiamiento y destino de aportes, pero los contenidos se reducen a seis enunciados generales (antecedentes, concepto, diferencias, prestaciones 'concepto y clases', sistema contable-financiero) sin la Ley 065, el Sistema Integral de Pensiones, la Gestora ni el régimen de corto plazo. Desarrollar contenidos de financiamiento, prestaciones y registro contable de los entes gestores de corto y largo plazo, con su normativa.</w:t>
      </w:r>
    </w:p>
    <w:p>
      <w:pPr>
        <w:numPr>
          <w:ilvl w:val="0"/>
          <w:numId w:val="929"/>
        </w:numPr>
        <w:spacing w:before="0" w:after="160" w:line="240" w:lineRule="auto"/>
        <w:jc w:val="both"/>
      </w:pPr>
      <w:r>
        <w:rPr>
          <w:rFonts w:ascii="Century Gothic" w:hAnsi="Century Gothic" w:cs="Century Gothic" w:eastAsia="Century Gothic"/>
          <w:b/>
          <w:i w:val="0"/>
          <w:sz w:val="20"/>
        </w:rPr>
        <w:t>Coherencia, Rúbricas de los Productos 4 a 12.</w:t>
      </w:r>
      <w:r>
        <w:rPr>
          <w:rFonts w:ascii="Century Gothic" w:hAnsi="Century Gothic" w:cs="Century Gothic" w:eastAsia="Century Gothic"/>
          <w:b w:val="0"/>
          <w:i w:val="0"/>
          <w:sz w:val="20"/>
        </w:rPr>
        <w:t xml:space="preserve"> Muchos niveles son genéricos y el Destacado no añade valor ('Calcula mal / Calcula correctamente / Determina con precisión los cálculos'; 'Presenta errores / Aplica correctamente / Aplica con precisión'; 'Estructura adecuada / Estructura correctamente'), contra lo que pide la guía. Redactar descriptores propios de cada producto y un Destacado que analice, justifique o verifique.</w:t>
      </w:r>
    </w:p>
    <w:p>
      <w:pPr>
        <w:numPr>
          <w:ilvl w:val="0"/>
          <w:numId w:val="929"/>
        </w:numPr>
        <w:spacing w:before="0" w:after="160" w:line="240" w:lineRule="auto"/>
        <w:jc w:val="both"/>
      </w:pPr>
      <w:r>
        <w:rPr>
          <w:rFonts w:ascii="Century Gothic" w:hAnsi="Century Gothic" w:cs="Century Gothic" w:eastAsia="Century Gothic"/>
          <w:b/>
          <w:i w:val="0"/>
          <w:sz w:val="20"/>
        </w:rPr>
        <w:t>Coherencia, Rúbricas de los Productos 11 y 12.</w:t>
      </w:r>
      <w:r>
        <w:rPr>
          <w:rFonts w:ascii="Century Gothic" w:hAnsi="Century Gothic" w:cs="Century Gothic" w:eastAsia="Century Gothic"/>
          <w:b w:val="0"/>
          <w:i w:val="0"/>
          <w:sz w:val="20"/>
        </w:rPr>
        <w:t xml:space="preserve"> La rúbrica del Producto 11 (mapa conceptual) copia en su criterio 2 'Revela la información en aplicación a las normas' de la rúbrica de estados financieros, y la del Producto 12 copia íntegra la del Producto 10, aunque el 12 es un análisis contable-financiero de una entidad de corto plazo. Redactar criterios propios: para el 11, instituciones y aportes de corto plazo; para el 12, análisis de los estados financieros del ente gestor.</w:t>
      </w:r>
    </w:p>
    <w:p>
      <w:pPr>
        <w:numPr>
          <w:ilvl w:val="0"/>
          <w:numId w:val="929"/>
        </w:numPr>
        <w:spacing w:before="0" w:after="160" w:line="240" w:lineRule="auto"/>
        <w:jc w:val="both"/>
      </w:pPr>
      <w:r>
        <w:rPr>
          <w:rFonts w:ascii="Century Gothic" w:hAnsi="Century Gothic" w:cs="Century Gothic" w:eastAsia="Century Gothic"/>
          <w:b/>
          <w:i w:val="0"/>
          <w:sz w:val="20"/>
        </w:rPr>
        <w:t>Coherencia, E2, criterio 1, evidencia 1 / Producto 5.</w:t>
      </w:r>
      <w:r>
        <w:rPr>
          <w:rFonts w:ascii="Century Gothic" w:hAnsi="Century Gothic" w:cs="Century Gothic" w:eastAsia="Century Gothic"/>
          <w:b w:val="0"/>
          <w:i w:val="0"/>
          <w:sz w:val="20"/>
        </w:rPr>
        <w:t xml:space="preserve"> El producto es una matriz de identificación de cuentas, pero su rúbrica evalúa el 'Registro contable' y el desarrollo del 'ciclo contable', que corresponden al Producto 6. Sustituir ese criterio por uno sobre la correspondencia entre cada operación y su cuenta del plan único.</w:t>
      </w:r>
    </w:p>
    <w:p>
      <w:pPr>
        <w:numPr>
          <w:ilvl w:val="0"/>
          <w:numId w:val="929"/>
        </w:numPr>
        <w:spacing w:before="0" w:after="160" w:line="240" w:lineRule="auto"/>
        <w:jc w:val="both"/>
      </w:pPr>
      <w:r>
        <w:rPr>
          <w:rFonts w:ascii="Century Gothic" w:hAnsi="Century Gothic" w:cs="Century Gothic" w:eastAsia="Century Gothic"/>
          <w:b/>
          <w:i w:val="0"/>
          <w:sz w:val="20"/>
        </w:rPr>
        <w:t>Coherencia, E1, criterio 2 / Productos 3 y 4.</w:t>
      </w:r>
      <w:r>
        <w:rPr>
          <w:rFonts w:ascii="Century Gothic" w:hAnsi="Century Gothic" w:cs="Century Gothic" w:eastAsia="Century Gothic"/>
          <w:b w:val="0"/>
          <w:i w:val="0"/>
          <w:sz w:val="20"/>
        </w:rPr>
        <w:t xml:space="preserve"> 'Aplicación técnica y contable del Coaseguro/Reaseguro' nombra una acción y no un documento; las rúbricas hablan además de 'Presenta el Informe', que el producto no menciona. Nombrar el producto, por ejemplo, 'Planilla de distribución del riesgo y asientos del coaseguro activo y pasivo'.</w:t>
      </w:r>
    </w:p>
    <w:p>
      <w:pPr>
        <w:numPr>
          <w:ilvl w:val="0"/>
          <w:numId w:val="929"/>
        </w:numPr>
        <w:spacing w:before="0" w:after="160" w:line="240" w:lineRule="auto"/>
        <w:jc w:val="both"/>
      </w:pPr>
      <w:r>
        <w:rPr>
          <w:rFonts w:ascii="Century Gothic" w:hAnsi="Century Gothic" w:cs="Century Gothic" w:eastAsia="Century Gothic"/>
          <w:b/>
          <w:i w:val="0"/>
          <w:sz w:val="20"/>
        </w:rPr>
        <w:t>Contenido técnico, E1, Tema 4, último contenido.</w:t>
      </w:r>
      <w:r>
        <w:rPr>
          <w:rFonts w:ascii="Century Gothic" w:hAnsi="Century Gothic" w:cs="Century Gothic" w:eastAsia="Century Gothic"/>
          <w:b w:val="0"/>
          <w:i w:val="0"/>
          <w:sz w:val="20"/>
        </w:rPr>
        <w:t xml:space="preserve"> 'Impuesto a las Operaciones de Reaseguro' no es un tributo vigente con ese nombre; las primas cedidas a reaseguradores del exterior están alcanzadas por el IUE a beneficiarios del exterior. Redactar 'Tratamiento tributario de las primas de reaseguro cedidas al exterior (IUE beneficiarios del exterior)' o verificar la norma que se pretende citar.</w:t>
      </w:r>
    </w:p>
    <w:p>
      <w:pPr>
        <w:numPr>
          <w:ilvl w:val="0"/>
          <w:numId w:val="929"/>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Incluye la Ley 1732 de Pensiones (1996), sustituida por la Ley 065 de 2010, y la Ley 1488 de Bancos, abrogada y ajena a la asignatura; la mayoría de los textos son de 1961 a 1981 (Arce 1977 cita a la Superintendencia Nacional de Seguros y Reaseguros, hoy APS). Retirar o señalar como históricas las leyes abrogadas y priorizar textos y normativa vigentes de la APS y la NIIF 17.</w:t>
      </w:r>
    </w:p>
    <w:p>
      <w:pPr>
        <w:numPr>
          <w:ilvl w:val="0"/>
          <w:numId w:val="929"/>
        </w:numPr>
        <w:spacing w:before="0" w:after="160" w:line="240" w:lineRule="auto"/>
        <w:jc w:val="both"/>
      </w:pPr>
      <w:r>
        <w:rPr>
          <w:rFonts w:ascii="Century Gothic" w:hAnsi="Century Gothic" w:cs="Century Gothic" w:eastAsia="Century Gothic"/>
          <w:b/>
          <w:i w:val="0"/>
          <w:sz w:val="20"/>
        </w:rPr>
        <w:t>Contenido técnico, Bibliografía complementaria.</w:t>
      </w:r>
      <w:r>
        <w:rPr>
          <w:rFonts w:ascii="Century Gothic" w:hAnsi="Century Gothic" w:cs="Century Gothic" w:eastAsia="Century Gothic"/>
          <w:b w:val="0"/>
          <w:i w:val="0"/>
          <w:sz w:val="20"/>
        </w:rPr>
        <w:t xml:space="preserve"> 'Viviante, C.' corresponde a Cesare Vivante, autor del tratado de derecho mercantil. Corregir el apellido del autor.</w:t>
      </w:r>
    </w:p>
    <w:p>
      <w:pPr>
        <w:numPr>
          <w:ilvl w:val="0"/>
          <w:numId w:val="929"/>
        </w:numPr>
        <w:spacing w:before="0" w:after="160" w:line="240" w:lineRule="auto"/>
        <w:jc w:val="both"/>
      </w:pPr>
      <w:r>
        <w:rPr>
          <w:rFonts w:ascii="Century Gothic" w:hAnsi="Century Gothic" w:cs="Century Gothic" w:eastAsia="Century Gothic"/>
          <w:b/>
          <w:i w:val="0"/>
          <w:sz w:val="20"/>
        </w:rPr>
        <w:t>Marcas de saber, Toda la asignatura.</w:t>
      </w:r>
      <w:r>
        <w:rPr>
          <w:rFonts w:ascii="Century Gothic" w:hAnsi="Century Gothic" w:cs="Century Gothic" w:eastAsia="Century Gothic"/>
          <w:b w:val="0"/>
          <w:i w:val="0"/>
          <w:sz w:val="20"/>
        </w:rPr>
        <w:t xml:space="preserve"> Solo un contenido lleva (A) y uno (T), y en ambos sin sustento: 'Características y Principios del Contrato de Seguro (C, P, A)' no describe conducta, y 'Límites de Inversión para Compañías Aseguradoras (C, P, T)' no opera herramienta alguna; la unidad de competencia exige ética profesional.</w:t>
      </w:r>
    </w:p>
    <w:p>
      <w:pPr>
        <w:numPr>
          <w:ilvl w:val="0"/>
          <w:numId w:val="929"/>
        </w:numPr>
        <w:spacing w:before="0" w:after="160" w:line="240" w:lineRule="auto"/>
        <w:jc w:val="both"/>
      </w:pPr>
      <w:r>
        <w:rPr>
          <w:rFonts w:ascii="Century Gothic" w:hAnsi="Century Gothic" w:cs="Century Gothic" w:eastAsia="Century Gothic"/>
          <w:b/>
          <w:i w:val="0"/>
          <w:sz w:val="20"/>
        </w:rPr>
        <w:t>Marcas de saber, E3, Tema 10.</w:t>
      </w:r>
      <w:r>
        <w:rPr>
          <w:rFonts w:ascii="Century Gothic" w:hAnsi="Century Gothic" w:cs="Century Gothic" w:eastAsia="Century Gothic"/>
          <w:b w:val="0"/>
          <w:i w:val="0"/>
          <w:sz w:val="20"/>
        </w:rPr>
        <w:t xml:space="preserve"> Los contenidos del elemento de seguridad social son casi todos (C), aunque los Productos 10 y 12 son análisis y liquidaciones de prestaciones.</w:t>
      </w:r>
    </w:p>
    <w:p>
      <w:pPr>
        <w:numPr>
          <w:ilvl w:val="0"/>
          <w:numId w:val="929"/>
        </w:numPr>
        <w:spacing w:before="0" w:after="160" w:line="240" w:lineRule="auto"/>
        <w:jc w:val="both"/>
      </w:pPr>
      <w:r>
        <w:rPr>
          <w:rFonts w:ascii="Century Gothic" w:hAnsi="Century Gothic" w:cs="Century Gothic" w:eastAsia="Century Gothic"/>
          <w:b/>
          <w:i w:val="0"/>
          <w:sz w:val="20"/>
        </w:rPr>
        <w:t>Circunstanciales, E3, contenidos y conocimientos circunstanciales.</w:t>
      </w:r>
      <w:r>
        <w:rPr>
          <w:rFonts w:ascii="Century Gothic" w:hAnsi="Century Gothic" w:cs="Century Gothic" w:eastAsia="Century Gothic"/>
          <w:b w:val="0"/>
          <w:i w:val="0"/>
          <w:sz w:val="20"/>
        </w:rPr>
        <w:t xml:space="preserve"> Las prestaciones del seguro social de corto plazo y del Sistema Integral de Pensiones (vejez, invalidez, muerte, aportes, Gestora Pública) se dictan en DER-102 Derecho Laboral y Seguridad Social; el conocimiento circunstancial sobre registro y contabilización de aportes y prestaciones es contenido central de la asignatura, no circunstancial.</w:t>
      </w:r>
    </w:p>
    <w:p>
      <w:pPr>
        <w:numPr>
          <w:ilvl w:val="0"/>
          <w:numId w:val="929"/>
        </w:numPr>
        <w:spacing w:before="0" w:after="160" w:line="240" w:lineRule="auto"/>
        <w:jc w:val="both"/>
      </w:pPr>
      <w:r>
        <w:rPr>
          <w:rFonts w:ascii="Century Gothic" w:hAnsi="Century Gothic" w:cs="Century Gothic" w:eastAsia="Century Gothic"/>
          <w:b/>
          <w:i w:val="0"/>
          <w:sz w:val="20"/>
        </w:rPr>
        <w:t>Circunstanciales, E2, conocimientos circunstanciales.</w:t>
      </w:r>
      <w:r>
        <w:rPr>
          <w:rFonts w:ascii="Century Gothic" w:hAnsi="Century Gothic" w:cs="Century Gothic" w:eastAsia="Century Gothic"/>
          <w:b w:val="0"/>
          <w:i w:val="0"/>
          <w:sz w:val="20"/>
        </w:rPr>
        <w:t xml:space="preserve"> 'Determinación del patrimonio técnico requerido y respaldo patrimonial' es contenido del propio Tema 6 (margen de solvencia y patrimonio técnico).</w:t>
      </w:r>
    </w:p>
    <w:p>
      <w:pPr>
        <w:numPr>
          <w:ilvl w:val="0"/>
          <w:numId w:val="929"/>
        </w:numPr>
        <w:spacing w:before="0" w:after="160" w:line="240" w:lineRule="auto"/>
        <w:jc w:val="both"/>
      </w:pPr>
      <w:r>
        <w:rPr>
          <w:rFonts w:ascii="Century Gothic" w:hAnsi="Century Gothic" w:cs="Century Gothic" w:eastAsia="Century Gothic"/>
          <w:b/>
          <w:i w:val="0"/>
          <w:sz w:val="20"/>
        </w:rPr>
        <w:t>Circunstanciales, E1, conocimientos circunstanciales.</w:t>
      </w:r>
      <w:r>
        <w:rPr>
          <w:rFonts w:ascii="Century Gothic" w:hAnsi="Century Gothic" w:cs="Century Gothic" w:eastAsia="Century Gothic"/>
          <w:b w:val="0"/>
          <w:i w:val="0"/>
          <w:sz w:val="20"/>
        </w:rPr>
        <w:t xml:space="preserve"> 'Elementos reales y formales del contrato de seguro' repite el contenido del Tema 2 'El Contrato del Seguro'.</w:t>
      </w:r>
    </w:p>
    <w:p>
      <w:pPr>
        <w:numPr>
          <w:ilvl w:val="0"/>
          <w:numId w:val="929"/>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no están en blanco (HP 160, TOTAL 240) y el total contradice las 160 h/año de la malla.</w:t>
      </w:r>
    </w:p>
    <w:p>
      <w:pPr>
        <w:numPr>
          <w:ilvl w:val="0"/>
          <w:numId w:val="929"/>
        </w:numPr>
        <w:spacing w:before="0" w:after="160" w:line="240" w:lineRule="auto"/>
        <w:jc w:val="both"/>
      </w:pPr>
      <w:r>
        <w:rPr>
          <w:rFonts w:ascii="Century Gothic" w:hAnsi="Century Gothic" w:cs="Century Gothic" w:eastAsia="Century Gothic"/>
          <w:b/>
          <w:i w:val="0"/>
          <w:sz w:val="20"/>
        </w:rPr>
        <w:t>Incoherencia interna, Productos 12 y 7 (matriz frente a rúbrica).</w:t>
      </w:r>
      <w:r>
        <w:rPr>
          <w:rFonts w:ascii="Century Gothic" w:hAnsi="Century Gothic" w:cs="Century Gothic" w:eastAsia="Century Gothic"/>
          <w:b w:val="0"/>
          <w:i w:val="0"/>
          <w:sz w:val="20"/>
        </w:rPr>
        <w:t xml:space="preserve"> El Producto 12 se llama 'Informe de análisis de casos prácticos de aplicación del Seguro Social a Corto Plazo' en la matriz y 'Informe contable-financiero de Seguridad Social de Corto Plazo' en la rúbrica; el Producto 7 queda truncado en la rúbrica ('...determinación de Reservas').</w:t>
      </w:r>
    </w:p>
    <w:p>
      <w:pPr>
        <w:numPr>
          <w:ilvl w:val="0"/>
          <w:numId w:val="929"/>
        </w:numPr>
        <w:spacing w:before="0" w:after="160" w:line="240" w:lineRule="auto"/>
        <w:jc w:val="both"/>
      </w:pPr>
      <w:r>
        <w:rPr>
          <w:rFonts w:ascii="Century Gothic" w:hAnsi="Century Gothic" w:cs="Century Gothic" w:eastAsia="Century Gothic"/>
          <w:b/>
          <w:i w:val="0"/>
          <w:sz w:val="20"/>
        </w:rPr>
        <w:t>Incoherencia interna, Elemento 3 (nivel de los verbos).</w:t>
      </w:r>
      <w:r>
        <w:rPr>
          <w:rFonts w:ascii="Century Gothic" w:hAnsi="Century Gothic" w:cs="Century Gothic" w:eastAsia="Century Gothic"/>
          <w:b w:val="0"/>
          <w:i w:val="0"/>
          <w:sz w:val="20"/>
        </w:rPr>
        <w:t xml:space="preserve"> Para cuarto año, el elemento y sus dos criterios se quedan en 'Describe' e 'Identifica'.</w:t>
      </w:r>
    </w:p>
    <w:p>
      <w:pPr>
        <w:numPr>
          <w:ilvl w:val="0"/>
          <w:numId w:val="929"/>
        </w:numPr>
        <w:spacing w:before="0" w:after="160" w:line="240" w:lineRule="auto"/>
        <w:jc w:val="both"/>
      </w:pPr>
      <w:r>
        <w:rPr>
          <w:rFonts w:ascii="Century Gothic" w:hAnsi="Century Gothic" w:cs="Century Gothic" w:eastAsia="Century Gothic"/>
          <w:b/>
          <w:i w:val="0"/>
          <w:sz w:val="20"/>
        </w:rPr>
        <w:t>Incoherencia interna, Estrategias de evaluación.</w:t>
      </w:r>
      <w:r>
        <w:rPr>
          <w:rFonts w:ascii="Century Gothic" w:hAnsi="Century Gothic" w:cs="Century Gothic" w:eastAsia="Century Gothic"/>
          <w:b w:val="0"/>
          <w:i w:val="0"/>
          <w:sz w:val="20"/>
        </w:rPr>
        <w:t xml:space="preserve"> Mencionan 'casos prácticos (Buro)' sin explicar la sigla, y exámenes parciales y final que no figuran en la calificación por productos.</w:t>
      </w:r>
    </w:p>
    <w:p>
      <w:pPr>
        <w:numPr>
          <w:ilvl w:val="0"/>
          <w:numId w:val="929"/>
        </w:numPr>
        <w:spacing w:before="0" w:after="200" w:line="240" w:lineRule="auto"/>
        <w:jc w:val="both"/>
      </w:pPr>
      <w:r>
        <w:rPr>
          <w:rFonts w:ascii="Century Gothic" w:hAnsi="Century Gothic" w:cs="Century Gothic" w:eastAsia="Century Gothic"/>
          <w:b/>
          <w:i w:val="0"/>
          <w:sz w:val="20"/>
        </w:rPr>
        <w:t>Incoherencia interna, Actividades y recursos.</w:t>
      </w:r>
      <w:r>
        <w:rPr>
          <w:rFonts w:ascii="Century Gothic" w:hAnsi="Century Gothic" w:cs="Century Gothic" w:eastAsia="Century Gothic"/>
          <w:b w:val="0"/>
          <w:i w:val="0"/>
          <w:sz w:val="20"/>
        </w:rPr>
        <w:t xml:space="preserve"> La columna B-Learning y los recursos citan 'Herramientas Digitales UMSA' en lugar de la plataforma Moodle UMSA que fija la guía.</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general titula la asignatura 'Contabilidad de Seguros Privado y Social' (sin los dos puntos de la malla, que el itinerario sí conserva) y no explica cambios de nombre. La califica como documento que cumple la cadena 1-2-4-4 con 12 rúbricas completas y destaca su equilibrio de 11 temas en 3 elementos; no advierte las rúbricas genéricas o copiadas (Productos 11 y 12) ni la escasez de contenidos del elemento de seguridad social.</w:t>
      </w:r>
    </w:p>
    <w:p>
      <w:pPr>
        <w:spacing w:before="0" w:after="200" w:line="240" w:lineRule="auto"/>
        <w:jc w:val="both"/>
      </w:pPr>
      <w:r>
        <w:rPr>
          <w:rFonts w:ascii="Century Gothic" w:hAnsi="Century Gothic" w:cs="Century Gothic" w:eastAsia="Century Gothic"/>
          <w:b w:val="0"/>
          <w:i w:val="0"/>
          <w:sz w:val="20"/>
        </w:rPr>
        <w:t>Se aplicaron 12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7.28</w:t>
        <w:tab/>
      </w:r>
      <w:r>
        <w:rPr>
          <w:rFonts w:ascii="Century Gothic" w:hAnsi="Century Gothic" w:cs="Century Gothic" w:eastAsia="Century Gothic"/>
          <w:b/>
          <w:i w:val="0"/>
          <w:sz w:val="22"/>
        </w:rPr>
        <w:t>CPA-404 Diseño e Implantación de Sistemas de Contabilidad</w:t>
      </w:r>
    </w:p>
    <w:p>
      <w:pPr>
        <w:spacing w:before="0" w:after="200" w:line="240" w:lineRule="auto"/>
        <w:jc w:val="both"/>
      </w:pPr>
      <w:r>
        <w:rPr>
          <w:rFonts w:ascii="Century Gothic" w:hAnsi="Century Gothic" w:cs="Century Gothic" w:eastAsia="Century Gothic"/>
          <w:b w:val="0"/>
          <w:i w:val="0"/>
          <w:sz w:val="20"/>
        </w:rPr>
        <w:t xml:space="preserve">Archivo: CPA-404 - DISEÑOS 09 10 2026.docx. Cumple 14 de 23 controles, 5 de forma parcial y no cumple 4. Estado: </w:t>
      </w:r>
      <w:r>
        <w:rPr>
          <w:rFonts w:ascii="Century Gothic" w:hAnsi="Century Gothic" w:cs="Century Gothic" w:eastAsia="Century Gothic"/>
          <w:b/>
          <w:i w:val="0"/>
          <w:sz w:val="20"/>
        </w:rPr>
        <w:t>requiere reformulación parcial</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bien orientado al diseño de sistemas contables, con productos tangibles y rúbricas propias en los Elementos 1 a 6. El Elemento 7 está incompleto y desordenado y repite CPA-305; además deben corregirse el Producto 16, marcas (T) y (P) sin sustento, la casi ausencia de (A) y la bibliografía. Nota: el texto de dump/CPA-404.txt está dañado; se revisó con el texto del PDF.</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20, 15, 25, 20,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Créditos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créditos llenados: 12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de producto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E7: 2 productos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de 67 contenidos sin marca C, P, A o T; 3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Rúbricas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rúbricas sin exactamente tres criterios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(9 inversiones)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en colores distintos del amarillo (green: 2)</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30"/>
        </w:numPr>
        <w:spacing w:before="0" w:after="160" w:line="240" w:lineRule="auto"/>
        <w:jc w:val="both"/>
      </w:pPr>
      <w:r>
        <w:rPr>
          <w:rFonts w:ascii="Century Gothic" w:hAnsi="Century Gothic" w:cs="Century Gothic" w:eastAsia="Century Gothic"/>
          <w:b/>
          <w:i w:val="0"/>
          <w:sz w:val="20"/>
        </w:rPr>
        <w:t>Coherencia, E7, criterios 1 y 2, evidencias 1.1 a 2.2 / Productos 25 y 26.</w:t>
      </w:r>
      <w:r>
        <w:rPr>
          <w:rFonts w:ascii="Century Gothic" w:hAnsi="Century Gothic" w:cs="Century Gothic" w:eastAsia="Century Gothic"/>
          <w:b w:val="0"/>
          <w:i w:val="0"/>
          <w:sz w:val="20"/>
        </w:rPr>
        <w:t xml:space="preserve"> El criterio 1 es 'Explica la arquitectura modular de un ERP', pero sus evidencias son parametrizar y registrar un ciclo completo; el criterio 2 es parametrizar la empresa, pero su evidencia 2.2 es presentar el tablero de indicadores. La evidencia 1.1 habla de 'planificación y elaboración de un ERP', que no es lo que se hace. Reordenar: criterio 1 parametriza y registra en el ERP (Productos 25 y uno nuevo del ciclo y cierre); criterio 2 elabora e interpreta el tablero en Power BI (Producto 26 y uno nuevo de depuración de datos).</w:t>
      </w:r>
    </w:p>
    <w:p>
      <w:pPr>
        <w:numPr>
          <w:ilvl w:val="0"/>
          <w:numId w:val="930"/>
        </w:numPr>
        <w:spacing w:before="0" w:after="160" w:line="240" w:lineRule="auto"/>
        <w:jc w:val="both"/>
      </w:pPr>
      <w:r>
        <w:rPr>
          <w:rFonts w:ascii="Century Gothic" w:hAnsi="Century Gothic" w:cs="Century Gothic" w:eastAsia="Century Gothic"/>
          <w:b/>
          <w:i w:val="0"/>
          <w:sz w:val="20"/>
        </w:rPr>
        <w:t>Coherencia, E4, criterio 2, evidencia 2.2 / Producto 16 y E5, criterio 1 / Producto 17.</w:t>
      </w:r>
      <w:r>
        <w:rPr>
          <w:rFonts w:ascii="Century Gothic" w:hAnsi="Century Gothic" w:cs="Century Gothic" w:eastAsia="Century Gothic"/>
          <w:b w:val="0"/>
          <w:i w:val="0"/>
          <w:sz w:val="20"/>
        </w:rPr>
        <w:t xml:space="preserve"> El nombre del Producto 16 está truncado y mezclado ('informes, los indicadores y los controles de aplicación del sistema el Manual contable con los.') y su rúbrica evalúa un 'manual', que es el Producto 17 del Elemento 5; el manual contable aparece así en dos elementos. Nombrar el Producto 16 'Cuadro de informes, indicadores y controles de aplicación del sistema' y dejar el manual solo en el Elemento 5.</w:t>
      </w:r>
    </w:p>
    <w:p>
      <w:pPr>
        <w:numPr>
          <w:ilvl w:val="0"/>
          <w:numId w:val="930"/>
        </w:numPr>
        <w:spacing w:before="0" w:after="160" w:line="240" w:lineRule="auto"/>
        <w:jc w:val="both"/>
      </w:pPr>
      <w:r>
        <w:rPr>
          <w:rFonts w:ascii="Century Gothic" w:hAnsi="Century Gothic" w:cs="Century Gothic" w:eastAsia="Century Gothic"/>
          <w:b/>
          <w:i w:val="0"/>
          <w:sz w:val="20"/>
        </w:rPr>
        <w:t>Coherencia, E5, elemento.</w:t>
      </w:r>
      <w:r>
        <w:rPr>
          <w:rFonts w:ascii="Century Gothic" w:hAnsi="Century Gothic" w:cs="Century Gothic" w:eastAsia="Century Gothic"/>
          <w:b w:val="0"/>
          <w:i w:val="0"/>
          <w:sz w:val="20"/>
        </w:rPr>
        <w:t xml:space="preserve"> El enunciado une dos competencias distintas (diseño del control interno y elaboración de manuales y documentos) en una sola oración extensa; el criterio 2 vuelve a incluir el control documental de los manuales. Separar el control interno y la documentación en elementos distintos o simplificar el enunciado.</w:t>
      </w:r>
    </w:p>
    <w:p>
      <w:pPr>
        <w:numPr>
          <w:ilvl w:val="0"/>
          <w:numId w:val="930"/>
        </w:numPr>
        <w:spacing w:before="0" w:after="160" w:line="240" w:lineRule="auto"/>
        <w:jc w:val="both"/>
      </w:pPr>
      <w:r>
        <w:rPr>
          <w:rFonts w:ascii="Century Gothic" w:hAnsi="Century Gothic" w:cs="Century Gothic" w:eastAsia="Century Gothic"/>
          <w:b/>
          <w:i w:val="0"/>
          <w:sz w:val="20"/>
        </w:rPr>
        <w:t>Contenido técnico, E5, Tema 8, contenido 2.</w:t>
      </w:r>
      <w:r>
        <w:rPr>
          <w:rFonts w:ascii="Century Gothic" w:hAnsi="Century Gothic" w:cs="Century Gothic" w:eastAsia="Century Gothic"/>
          <w:b w:val="0"/>
          <w:i w:val="0"/>
          <w:sz w:val="20"/>
        </w:rPr>
        <w:t xml:space="preserve"> Se cita el 'marco COSO ERM' sin versión; la vigente es COSO ERM 2017 (Gestión del riesgo empresarial: integrando estrategia y desempeño). Precisar 'COSO ERM 2017'.</w:t>
      </w:r>
    </w:p>
    <w:p>
      <w:pPr>
        <w:numPr>
          <w:ilvl w:val="0"/>
          <w:numId w:val="930"/>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Nombres de autor y obra incorrectos: 'Guillispie, C.' es Cecil Gillespie; la obra de Osterwalder y Pigneur es 'Generación de modelos de negocio' (2010), no 'Generación de Modelo Canvas'; en la complementaria 'Lazarro, V.' es Victor Lazzaro. La Ley 1178 se titula 'de Administración y Control Gubernamentales'. Varias obras básicas carecen de año (s.f.). Corregir autores, títulos y años, y citar ediciones vigentes.</w:t>
      </w:r>
    </w:p>
    <w:p>
      <w:pPr>
        <w:numPr>
          <w:ilvl w:val="0"/>
          <w:numId w:val="930"/>
        </w:numPr>
        <w:spacing w:before="0" w:after="160" w:line="240" w:lineRule="auto"/>
        <w:jc w:val="both"/>
      </w:pPr>
      <w:r>
        <w:rPr>
          <w:rFonts w:ascii="Century Gothic" w:hAnsi="Century Gothic" w:cs="Century Gothic" w:eastAsia="Century Gothic"/>
          <w:b/>
          <w:i w:val="0"/>
          <w:sz w:val="20"/>
        </w:rPr>
        <w:t>Marcas de saber, E1, Tema 1, contenidos 1 y 6; E2, Tema 4, contenido 3.</w:t>
      </w:r>
      <w:r>
        <w:rPr>
          <w:rFonts w:ascii="Century Gothic" w:hAnsi="Century Gothic" w:cs="Century Gothic" w:eastAsia="Century Gothic"/>
          <w:b w:val="0"/>
          <w:i w:val="0"/>
          <w:sz w:val="20"/>
        </w:rPr>
        <w:t xml:space="preserve"> Llevan (T) o (P, T) contenidos históricos o conceptuales sin operar herramienta: 'Antecedentes, reseña histórica ... (P, T)', 'El papel del contador público ... (C, T)' y 'Gestión del cambio ... (C,T)'.</w:t>
      </w:r>
    </w:p>
    <w:p>
      <w:pPr>
        <w:numPr>
          <w:ilvl w:val="0"/>
          <w:numId w:val="930"/>
        </w:numPr>
        <w:spacing w:before="0" w:after="160" w:line="240" w:lineRule="auto"/>
        <w:jc w:val="both"/>
      </w:pPr>
      <w:r>
        <w:rPr>
          <w:rFonts w:ascii="Century Gothic" w:hAnsi="Century Gothic" w:cs="Century Gothic" w:eastAsia="Century Gothic"/>
          <w:b/>
          <w:i w:val="0"/>
          <w:sz w:val="20"/>
        </w:rPr>
        <w:t>Marcas de saber, E2, Tema 3; E6, Tema 10.</w:t>
      </w:r>
      <w:r>
        <w:rPr>
          <w:rFonts w:ascii="Century Gothic" w:hAnsi="Century Gothic" w:cs="Century Gothic" w:eastAsia="Century Gothic"/>
          <w:b w:val="0"/>
          <w:i w:val="0"/>
          <w:sz w:val="20"/>
        </w:rPr>
        <w:t xml:space="preserve"> Se marcan (P) contenidos descriptivos: 'Concepto de sistemas ... el ciclo de vida (P)', 'Metodologías ágiles e iterativas ... (P)' y 'Los sistemas de información de administración financiera en América Latina ... (P)'.</w:t>
      </w:r>
    </w:p>
    <w:p>
      <w:pPr>
        <w:numPr>
          <w:ilvl w:val="0"/>
          <w:numId w:val="930"/>
        </w:numPr>
        <w:spacing w:before="0" w:after="160" w:line="240" w:lineRule="auto"/>
        <w:jc w:val="both"/>
      </w:pPr>
      <w:r>
        <w:rPr>
          <w:rFonts w:ascii="Century Gothic" w:hAnsi="Century Gothic" w:cs="Century Gothic" w:eastAsia="Century Gothic"/>
          <w:b/>
          <w:i w:val="0"/>
          <w:sz w:val="20"/>
        </w:rPr>
        <w:t>Marcas de saber, Toda la asignatura.</w:t>
      </w:r>
      <w:r>
        <w:rPr>
          <w:rFonts w:ascii="Century Gothic" w:hAnsi="Century Gothic" w:cs="Century Gothic" w:eastAsia="Century Gothic"/>
          <w:b w:val="0"/>
          <w:i w:val="0"/>
          <w:sz w:val="20"/>
        </w:rPr>
        <w:t xml:space="preserve"> Solo un contenido lleva (A) (transparencia fiscal), aunque la unidad de competencia exige ética profesional y la rúbrica del Producto 20 evalúa conflictos de interés.</w:t>
      </w:r>
    </w:p>
    <w:p>
      <w:pPr>
        <w:numPr>
          <w:ilvl w:val="0"/>
          <w:numId w:val="930"/>
        </w:numPr>
        <w:spacing w:before="0" w:after="160" w:line="240" w:lineRule="auto"/>
        <w:jc w:val="both"/>
      </w:pPr>
      <w:r>
        <w:rPr>
          <w:rFonts w:ascii="Century Gothic" w:hAnsi="Century Gothic" w:cs="Century Gothic" w:eastAsia="Century Gothic"/>
          <w:b/>
          <w:i w:val="0"/>
          <w:sz w:val="20"/>
        </w:rPr>
        <w:t>Circunstanciales, E5, conocimientos circunstanciales.</w:t>
      </w:r>
      <w:r>
        <w:rPr>
          <w:rFonts w:ascii="Century Gothic" w:hAnsi="Century Gothic" w:cs="Century Gothic" w:eastAsia="Century Gothic"/>
          <w:b w:val="0"/>
          <w:i w:val="0"/>
          <w:sz w:val="20"/>
        </w:rPr>
        <w:t xml:space="preserve"> La simbología de diagramación (ASME, ISO 5807) y la flujogramación se trabajan en CPA-102 Tecnologías de Información (diagrama de flujo), CPA-407 y CPA-408 (flujogramas con riesgos y controles).</w:t>
      </w:r>
    </w:p>
    <w:p>
      <w:pPr>
        <w:numPr>
          <w:ilvl w:val="0"/>
          <w:numId w:val="930"/>
        </w:numPr>
        <w:spacing w:before="0" w:after="160" w:line="240" w:lineRule="auto"/>
        <w:jc w:val="both"/>
      </w:pPr>
      <w:r>
        <w:rPr>
          <w:rFonts w:ascii="Century Gothic" w:hAnsi="Century Gothic" w:cs="Century Gothic" w:eastAsia="Century Gothic"/>
          <w:b/>
          <w:i w:val="0"/>
          <w:sz w:val="20"/>
        </w:rPr>
        <w:t>Incoherencia interna, Carga horaria y créditos.</w:t>
      </w:r>
      <w:r>
        <w:rPr>
          <w:rFonts w:ascii="Century Gothic" w:hAnsi="Century Gothic" w:cs="Century Gothic" w:eastAsia="Century Gothic"/>
          <w:b w:val="0"/>
          <w:i w:val="0"/>
          <w:sz w:val="20"/>
        </w:rPr>
        <w:t xml:space="preserve"> Las horas no están en blanco (160, 20, 15, 25, 20; TOTAL 240) y en créditos figura 12; el total contradice las 160 h/año de la malla y los 8 créditos de una asignatura de 4 h/semana.</w:t>
      </w:r>
    </w:p>
    <w:p>
      <w:pPr>
        <w:numPr>
          <w:ilvl w:val="0"/>
          <w:numId w:val="930"/>
        </w:numPr>
        <w:spacing w:before="0" w:after="160" w:line="240" w:lineRule="auto"/>
        <w:jc w:val="both"/>
      </w:pPr>
      <w:r>
        <w:rPr>
          <w:rFonts w:ascii="Century Gothic" w:hAnsi="Century Gothic" w:cs="Century Gothic" w:eastAsia="Century Gothic"/>
          <w:b/>
          <w:i w:val="0"/>
          <w:sz w:val="20"/>
        </w:rPr>
        <w:t>Incoherencia interna, E7 y Temas 11 y 12.</w:t>
      </w:r>
      <w:r>
        <w:rPr>
          <w:rFonts w:ascii="Century Gothic" w:hAnsi="Century Gothic" w:cs="Century Gothic" w:eastAsia="Century Gothic"/>
          <w:b w:val="0"/>
          <w:i w:val="0"/>
          <w:sz w:val="20"/>
        </w:rPr>
        <w:t xml:space="preserve"> La parametrización de un ERP, Power Query, Power BI, tableros y analítica descriptiva repiten CPA-305 Sistemas Contables ERP y Análisis de Datos, que es prerrequisito de la asignatura.</w:t>
      </w:r>
    </w:p>
    <w:p>
      <w:pPr>
        <w:numPr>
          <w:ilvl w:val="0"/>
          <w:numId w:val="930"/>
        </w:numPr>
        <w:spacing w:before="0" w:after="160" w:line="240" w:lineRule="auto"/>
        <w:jc w:val="both"/>
      </w:pPr>
      <w:r>
        <w:rPr>
          <w:rFonts w:ascii="Century Gothic" w:hAnsi="Century Gothic" w:cs="Century Gothic" w:eastAsia="Century Gothic"/>
          <w:b/>
          <w:i w:val="0"/>
          <w:sz w:val="20"/>
        </w:rPr>
        <w:t>Incoherencia interna, E5, Tema 8.</w:t>
      </w:r>
      <w:r>
        <w:rPr>
          <w:rFonts w:ascii="Century Gothic" w:hAnsi="Century Gothic" w:cs="Century Gothic" w:eastAsia="Century Gothic"/>
          <w:b w:val="0"/>
          <w:i w:val="0"/>
          <w:sz w:val="20"/>
        </w:rPr>
        <w:t xml:space="preserve"> COSO 2013, ciclos transaccionales, matriz de riesgos y controles y prevención del fraude se superponen con CPA-408 Auditoría Interna, Control Interno y Gestión de Riesgos, del mismo año.</w:t>
      </w:r>
    </w:p>
    <w:p>
      <w:pPr>
        <w:numPr>
          <w:ilvl w:val="0"/>
          <w:numId w:val="930"/>
        </w:numPr>
        <w:spacing w:before="0" w:after="160" w:line="240" w:lineRule="auto"/>
        <w:jc w:val="both"/>
      </w:pPr>
      <w:r>
        <w:rPr>
          <w:rFonts w:ascii="Century Gothic" w:hAnsi="Century Gothic" w:cs="Century Gothic" w:eastAsia="Century Gothic"/>
          <w:b/>
          <w:i w:val="0"/>
          <w:sz w:val="20"/>
        </w:rPr>
        <w:t>Incoherencia interna, E6, Tema 10.</w:t>
      </w:r>
      <w:r>
        <w:rPr>
          <w:rFonts w:ascii="Century Gothic" w:hAnsi="Century Gothic" w:cs="Century Gothic" w:eastAsia="Century Gothic"/>
          <w:b w:val="0"/>
          <w:i w:val="0"/>
          <w:sz w:val="20"/>
        </w:rPr>
        <w:t xml:space="preserve"> El Sistema de Contabilidad Integrada, la Ley 1178 y el SIGEP repiten contenidos de CPA-304 Contabilidad y Presupuestos Gubernamental.</w:t>
      </w:r>
    </w:p>
    <w:p>
      <w:pPr>
        <w:numPr>
          <w:ilvl w:val="0"/>
          <w:numId w:val="930"/>
        </w:numPr>
        <w:spacing w:before="0" w:after="160" w:line="240" w:lineRule="auto"/>
        <w:jc w:val="both"/>
      </w:pPr>
      <w:r>
        <w:rPr>
          <w:rFonts w:ascii="Century Gothic" w:hAnsi="Century Gothic" w:cs="Century Gothic" w:eastAsia="Century Gothic"/>
          <w:b/>
          <w:i w:val="0"/>
          <w:sz w:val="20"/>
        </w:rPr>
        <w:t>Incoherencia interna, E2, Tema 3 frente a E1, Tema 1.</w:t>
      </w:r>
      <w:r>
        <w:rPr>
          <w:rFonts w:ascii="Century Gothic" w:hAnsi="Century Gothic" w:cs="Century Gothic" w:eastAsia="Century Gothic"/>
          <w:b w:val="0"/>
          <w:i w:val="0"/>
          <w:sz w:val="20"/>
        </w:rPr>
        <w:t xml:space="preserve"> 'Concepto de sistemas y de sistemas de información, con su importancia, características, componentes, clasificación...' repite los contenidos 2 a 4 del Tema 1.</w:t>
      </w:r>
    </w:p>
    <w:p>
      <w:pPr>
        <w:numPr>
          <w:ilvl w:val="0"/>
          <w:numId w:val="930"/>
        </w:numPr>
        <w:spacing w:before="0" w:after="160" w:line="240" w:lineRule="auto"/>
        <w:jc w:val="both"/>
      </w:pPr>
      <w:r>
        <w:rPr>
          <w:rFonts w:ascii="Century Gothic" w:hAnsi="Century Gothic" w:cs="Century Gothic" w:eastAsia="Century Gothic"/>
          <w:b/>
          <w:i w:val="0"/>
          <w:sz w:val="20"/>
        </w:rPr>
        <w:t>Incoherencia interna, E6 (nivel de los verbos).</w:t>
      </w:r>
      <w:r>
        <w:rPr>
          <w:rFonts w:ascii="Century Gothic" w:hAnsi="Century Gothic" w:cs="Century Gothic" w:eastAsia="Century Gothic"/>
          <w:b w:val="0"/>
          <w:i w:val="0"/>
          <w:sz w:val="20"/>
        </w:rPr>
        <w:t xml:space="preserve"> El elemento y su criterio 1 usan 'Explica' en cuarto año, en una asignatura cuyo nivel esperado es diseñar y evaluar.</w:t>
      </w:r>
    </w:p>
    <w:p>
      <w:pPr>
        <w:numPr>
          <w:ilvl w:val="0"/>
          <w:numId w:val="930"/>
        </w:numPr>
        <w:spacing w:before="0" w:after="160" w:line="240" w:lineRule="auto"/>
        <w:jc w:val="both"/>
      </w:pPr>
      <w:r>
        <w:rPr>
          <w:rFonts w:ascii="Century Gothic" w:hAnsi="Century Gothic" w:cs="Century Gothic" w:eastAsia="Century Gothic"/>
          <w:b/>
          <w:i w:val="0"/>
          <w:sz w:val="20"/>
        </w:rPr>
        <w:t>Incoherencia interna, Texto del itinerario en dump/CPA-404.txt.</w:t>
      </w:r>
      <w:r>
        <w:rPr>
          <w:rFonts w:ascii="Century Gothic" w:hAnsi="Century Gothic" w:cs="Century Gothic" w:eastAsia="Century Gothic"/>
          <w:b w:val="0"/>
          <w:i w:val="0"/>
          <w:sz w:val="20"/>
        </w:rPr>
        <w:t xml:space="preserve"> La extracción de texto del documento perdió los números de elementos, temas y productos y fragmentos de palabras ('modeloCanvas', 'escripción', 'Integradae la Ley'); esta revisión se hizo sobre el texto del PDF (txt/CPA-404.txt), que conserva el contenido íntegro.</w:t>
      </w:r>
    </w:p>
    <w:p>
      <w:pPr>
        <w:numPr>
          <w:ilvl w:val="0"/>
          <w:numId w:val="930"/>
        </w:numPr>
        <w:spacing w:before="0" w:after="160" w:line="240" w:lineRule="auto"/>
        <w:jc w:val="both"/>
      </w:pPr>
      <w:r>
        <w:rPr>
          <w:rFonts w:ascii="Century Gothic" w:hAnsi="Century Gothic" w:cs="Century Gothic" w:eastAsia="Century Gothic"/>
          <w:b/>
          <w:i w:val="0"/>
          <w:sz w:val="20"/>
        </w:rPr>
        <w:t>Formato del archivo.</w:t>
      </w:r>
      <w:r>
        <w:rPr>
          <w:rFonts w:ascii="Century Gothic" w:hAnsi="Century Gothic" w:cs="Century Gothic" w:eastAsia="Century Gothic"/>
          <w:b w:val="0"/>
          <w:i w:val="0"/>
          <w:sz w:val="20"/>
        </w:rPr>
        <w:t xml:space="preserve"> Se entregó con 586 inserciones y 406 eliminaciones sin aceptar, de tres autores, y 2 comentarios. Deben resolverse antes de la versión final.</w:t>
      </w:r>
    </w:p>
    <w:p>
      <w:pPr>
        <w:numPr>
          <w:ilvl w:val="0"/>
          <w:numId w:val="930"/>
        </w:numPr>
        <w:spacing w:before="0" w:after="200" w:line="240" w:lineRule="auto"/>
        <w:jc w:val="both"/>
      </w:pPr>
      <w:r>
        <w:rPr>
          <w:rFonts w:ascii="Century Gothic" w:hAnsi="Century Gothic" w:cs="Century Gothic" w:eastAsia="Century Gothic"/>
          <w:b/>
          <w:i w:val="0"/>
          <w:sz w:val="20"/>
        </w:rPr>
        <w:t>Correcciones no aplicadas.</w:t>
      </w:r>
      <w:r>
        <w:rPr>
          <w:rFonts w:ascii="Century Gothic" w:hAnsi="Century Gothic" w:cs="Century Gothic" w:eastAsia="Century Gothic"/>
          <w:b w:val="0"/>
          <w:i w:val="0"/>
          <w:sz w:val="20"/>
        </w:rPr>
        <w:t xml:space="preserve"> Cinco correcciones caen sobre texto con cambios pendientes y no pudieron aplicarse con control de cambios; el área debe hacerlas al resolverlos: «con la gestión y finanzas pública boliviana» por «con la gestión y las finanzas públicas bolivianas»; «(SIE)y» por «(SIE) y»; «resistencia de los usuarios (C,T).» por «resistencia de los usuarios. (C, T)»; «el ciclo de vida (P)» por «y el ciclo de vida. (P)»; «(Ley N° 1178) sus» por «(Ley N° 1178): sus».</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general no trata cambios de nombre (coincide con la malla). Registra 26 productos con el Elemento 7 incompleto (faltan los Productos 27 y 28 y sus rúbricas, y las de P25 y P26 tienen un solo criterio), lo que esta revisión confirma; no menciona la superposición del Elemento 7 con CPA-305.</w:t>
      </w:r>
    </w:p>
    <w:p>
      <w:pPr>
        <w:spacing w:before="0" w:after="200" w:line="240" w:lineRule="auto"/>
        <w:jc w:val="both"/>
      </w:pPr>
      <w:r>
        <w:rPr>
          <w:rFonts w:ascii="Century Gothic" w:hAnsi="Century Gothic" w:cs="Century Gothic" w:eastAsia="Century Gothic"/>
          <w:b w:val="0"/>
          <w:i w:val="0"/>
          <w:sz w:val="20"/>
        </w:rPr>
        <w:t>Se aplicaron 1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7.29</w:t>
        <w:tab/>
      </w:r>
      <w:r>
        <w:rPr>
          <w:rFonts w:ascii="Century Gothic" w:hAnsi="Century Gothic" w:cs="Century Gothic" w:eastAsia="Century Gothic"/>
          <w:b/>
          <w:i w:val="0"/>
          <w:sz w:val="22"/>
        </w:rPr>
        <w:t>CPA-405 Finanzas Corporativas</w:t>
      </w:r>
    </w:p>
    <w:p>
      <w:pPr>
        <w:spacing w:before="0" w:after="200" w:line="240" w:lineRule="auto"/>
        <w:jc w:val="both"/>
      </w:pPr>
      <w:r>
        <w:rPr>
          <w:rFonts w:ascii="Century Gothic" w:hAnsi="Century Gothic" w:cs="Century Gothic" w:eastAsia="Century Gothic"/>
          <w:b w:val="0"/>
          <w:i w:val="0"/>
          <w:sz w:val="20"/>
        </w:rPr>
        <w:t xml:space="preserve">Archivo: CPA-406 Finanzas Corporativas ULTIMA VERSION 0910 corregido.docx. Cumple 17 de 23 controles, 4 de forma parcial y no cumple 2.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Itinerario completo, con rúbricas propias y exigentes y buena progresión desde el diagnóstico hasta la valoración de empresas. Sus principales debilidades son el marcado casi exclusivo en (C) de contenidos de cálculo, (A) sin sustento y la repetición de contenidos de MAT-102, ECO-301, CPA-302 y CPA-303; conviene también reequilibrar el peso del Elemento 6.</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Datos generales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sigla «CPA-406» frente a CPA-405</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20, 20, 20, 20,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 de 9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31"/>
        </w:numPr>
        <w:spacing w:before="0" w:after="160" w:line="240" w:lineRule="auto"/>
        <w:jc w:val="both"/>
      </w:pPr>
      <w:r>
        <w:rPr>
          <w:rFonts w:ascii="Century Gothic" w:hAnsi="Century Gothic" w:cs="Century Gothic" w:eastAsia="Century Gothic"/>
          <w:b/>
          <w:i w:val="0"/>
          <w:sz w:val="20"/>
        </w:rPr>
        <w:t>Coherencia, E1, criterio 2, evidencia 2.1 / rúbrica del Producto 3.</w:t>
      </w:r>
      <w:r>
        <w:rPr>
          <w:rFonts w:ascii="Century Gothic" w:hAnsi="Century Gothic" w:cs="Century Gothic" w:eastAsia="Century Gothic"/>
          <w:b w:val="0"/>
          <w:i w:val="0"/>
          <w:sz w:val="20"/>
        </w:rPr>
        <w:t xml:space="preserve"> La rúbrica evalúa 'Grados de apalancamiento' (operativo, financiero, total y punto de indiferencia), que no figuran en el criterio, en la evidencia 2.1 ni en el nombre del producto; el Tema 3 de apalancamiento queda así evaluado de forma implícita. Incluir el apalancamiento en el criterio 2 y en la evidencia 2.1, o trasladar ese criterio de rúbrica al Producto 19 de estructura de capital.</w:t>
      </w:r>
    </w:p>
    <w:p>
      <w:pPr>
        <w:numPr>
          <w:ilvl w:val="0"/>
          <w:numId w:val="931"/>
        </w:numPr>
        <w:spacing w:before="0" w:after="160" w:line="240" w:lineRule="auto"/>
        <w:jc w:val="both"/>
      </w:pPr>
      <w:r>
        <w:rPr>
          <w:rFonts w:ascii="Century Gothic" w:hAnsi="Century Gothic" w:cs="Century Gothic" w:eastAsia="Century Gothic"/>
          <w:b/>
          <w:i w:val="0"/>
          <w:sz w:val="20"/>
        </w:rPr>
        <w:t>Coherencia, E2, criterio 1, evidencia 1.1 / Producto 5.</w:t>
      </w:r>
      <w:r>
        <w:rPr>
          <w:rFonts w:ascii="Century Gothic" w:hAnsi="Century Gothic" w:cs="Century Gothic" w:eastAsia="Century Gothic"/>
          <w:b w:val="0"/>
          <w:i w:val="0"/>
          <w:sz w:val="20"/>
        </w:rPr>
        <w:t xml:space="preserve"> El criterio pide estimar las ventas con series de tiempo y regresiones, pero la evidencia 1.1 'Elabora la situación financiera de la empresa con sus objetivos y estrategias' y su informe de análisis situacional no estiman ventas; solo la evidencia 1.2 responde al criterio. Redactar el criterio 1 en dos partes (análisis situacional y estimación de ventas) o reformular la evidencia 1.1 como 'Analiza la situación interna y externa de la empresa como base del pronóstico'.</w:t>
      </w:r>
    </w:p>
    <w:p>
      <w:pPr>
        <w:numPr>
          <w:ilvl w:val="0"/>
          <w:numId w:val="931"/>
        </w:numPr>
        <w:spacing w:before="0" w:after="160" w:line="240" w:lineRule="auto"/>
        <w:jc w:val="both"/>
      </w:pPr>
      <w:r>
        <w:rPr>
          <w:rFonts w:ascii="Century Gothic" w:hAnsi="Century Gothic" w:cs="Century Gothic" w:eastAsia="Century Gothic"/>
          <w:b/>
          <w:i w:val="0"/>
          <w:sz w:val="20"/>
        </w:rPr>
        <w:t>Coherencia, E3, criterio 1, evidencia 1.2 / Producto 10.</w:t>
      </w:r>
      <w:r>
        <w:rPr>
          <w:rFonts w:ascii="Century Gothic" w:hAnsi="Century Gothic" w:cs="Century Gothic" w:eastAsia="Century Gothic"/>
          <w:b w:val="0"/>
          <w:i w:val="0"/>
          <w:sz w:val="20"/>
        </w:rPr>
        <w:t xml:space="preserve"> La evidencia es analizar una política de crédito con análisis marginal y sustentar una recomendación, pero el producto es la política de crédito redactada; la rúbrica evalúa ambos. Nombrar el producto 'Informe de análisis marginal y propuesta de política de crédito'.</w:t>
      </w:r>
    </w:p>
    <w:p>
      <w:pPr>
        <w:numPr>
          <w:ilvl w:val="0"/>
          <w:numId w:val="931"/>
        </w:numPr>
        <w:spacing w:before="0" w:after="160" w:line="240" w:lineRule="auto"/>
        <w:jc w:val="both"/>
      </w:pPr>
      <w:r>
        <w:rPr>
          <w:rFonts w:ascii="Century Gothic" w:hAnsi="Century Gothic" w:cs="Century Gothic" w:eastAsia="Century Gothic"/>
          <w:b/>
          <w:i w:val="0"/>
          <w:sz w:val="20"/>
        </w:rPr>
        <w:t>Coherencia, E6, criterio 1 / Producto 21.</w:t>
      </w:r>
      <w:r>
        <w:rPr>
          <w:rFonts w:ascii="Century Gothic" w:hAnsi="Century Gothic" w:cs="Century Gothic" w:eastAsia="Century Gothic"/>
          <w:b w:val="0"/>
          <w:i w:val="0"/>
          <w:sz w:val="20"/>
        </w:rPr>
        <w:t xml:space="preserve"> Se llama 'cuadro de mando integral' a un tablero de inteligencia de negocios con datos depurados; el cuadro de mando integral (Kaplan y Norton) es un sistema de gestión estratégica de cuatro perspectivas, no un tablero financiero, y la rúbrica no evalúa esas perspectivas. Nombrar el producto 'Tablero de control financiero' o incorporar las cuatro perspectivas del cuadro de mando integral.</w:t>
      </w:r>
    </w:p>
    <w:p>
      <w:pPr>
        <w:numPr>
          <w:ilvl w:val="0"/>
          <w:numId w:val="931"/>
        </w:numPr>
        <w:spacing w:before="0" w:after="160" w:line="240" w:lineRule="auto"/>
        <w:jc w:val="both"/>
      </w:pPr>
      <w:r>
        <w:rPr>
          <w:rFonts w:ascii="Century Gothic" w:hAnsi="Century Gothic" w:cs="Century Gothic" w:eastAsia="Century Gothic"/>
          <w:b/>
          <w:i w:val="0"/>
          <w:sz w:val="20"/>
        </w:rPr>
        <w:t>Marcas de saber, Toda la asignatura (Temas 2, 3, 10, 11, 14, 15, 16 y 18).</w:t>
      </w:r>
      <w:r>
        <w:rPr>
          <w:rFonts w:ascii="Century Gothic" w:hAnsi="Century Gothic" w:cs="Century Gothic" w:eastAsia="Century Gothic"/>
          <w:b w:val="0"/>
          <w:i w:val="0"/>
          <w:sz w:val="20"/>
        </w:rPr>
        <w:t xml:space="preserve"> La gran mayoría de los contenidos lleva solo (C) aunque son cálculos que los productos exigen: 'Razones financieras', 'Apalancamiento operativo', 'Valuación de bonos', 'Valor presente neto, VAN', 'Costo de capital promedio ponderado', 'Cantidad económica del pedido', 'Aplicaciones prácticas'.</w:t>
      </w:r>
    </w:p>
    <w:p>
      <w:pPr>
        <w:numPr>
          <w:ilvl w:val="0"/>
          <w:numId w:val="931"/>
        </w:numPr>
        <w:spacing w:before="0" w:after="160" w:line="240" w:lineRule="auto"/>
        <w:jc w:val="both"/>
      </w:pPr>
      <w:r>
        <w:rPr>
          <w:rFonts w:ascii="Century Gothic" w:hAnsi="Century Gothic" w:cs="Century Gothic" w:eastAsia="Century Gothic"/>
          <w:b/>
          <w:i w:val="0"/>
          <w:sz w:val="20"/>
        </w:rPr>
        <w:t>Marcas de saber, E4, Tema 11, contenido 12; Tema 12, contenido 15; Tema 14, contenidos 27 y 30; E1, Tema 1, contenido 8.</w:t>
      </w:r>
      <w:r>
        <w:rPr>
          <w:rFonts w:ascii="Century Gothic" w:hAnsi="Century Gothic" w:cs="Century Gothic" w:eastAsia="Century Gothic"/>
          <w:b w:val="0"/>
          <w:i w:val="0"/>
          <w:sz w:val="20"/>
        </w:rPr>
        <w:t xml:space="preserve"> Llevan (C, A) contenidos sin conducta observable: 'Progresiones aritméticas y geométricas', 'Mercado de valores y bolsa de valores', 'Colocación de los valores', bonos verdes y el mercado de valores en Bolivia.</w:t>
      </w:r>
    </w:p>
    <w:p>
      <w:pPr>
        <w:numPr>
          <w:ilvl w:val="0"/>
          <w:numId w:val="931"/>
        </w:numPr>
        <w:spacing w:before="0" w:after="160" w:line="240" w:lineRule="auto"/>
        <w:jc w:val="both"/>
      </w:pPr>
      <w:r>
        <w:rPr>
          <w:rFonts w:ascii="Century Gothic" w:hAnsi="Century Gothic" w:cs="Century Gothic" w:eastAsia="Century Gothic"/>
          <w:b/>
          <w:i w:val="0"/>
          <w:sz w:val="20"/>
        </w:rPr>
        <w:t>Marcas de saber, E6, Tema 19, contenido 3.</w:t>
      </w:r>
      <w:r>
        <w:rPr>
          <w:rFonts w:ascii="Century Gothic" w:hAnsi="Century Gothic" w:cs="Century Gothic" w:eastAsia="Century Gothic"/>
          <w:b w:val="0"/>
          <w:i w:val="0"/>
          <w:sz w:val="20"/>
        </w:rPr>
        <w:t xml:space="preserve"> 'Herramientas tecnológicas de inteligencia de negocios (C, T)' solo enumera herramientas; la operación real está en el contenido 4, marcado solo (P).</w:t>
      </w:r>
    </w:p>
    <w:p>
      <w:pPr>
        <w:numPr>
          <w:ilvl w:val="0"/>
          <w:numId w:val="931"/>
        </w:numPr>
        <w:spacing w:before="0" w:after="160" w:line="240" w:lineRule="auto"/>
        <w:jc w:val="both"/>
      </w:pPr>
      <w:r>
        <w:rPr>
          <w:rFonts w:ascii="Century Gothic" w:hAnsi="Century Gothic" w:cs="Century Gothic" w:eastAsia="Century Gothic"/>
          <w:b/>
          <w:i w:val="0"/>
          <w:sz w:val="20"/>
        </w:rPr>
        <w:t>Circunstanciales, E4, conocimientos circunstanciales.</w:t>
      </w:r>
      <w:r>
        <w:rPr>
          <w:rFonts w:ascii="Century Gothic" w:hAnsi="Century Gothic" w:cs="Century Gothic" w:eastAsia="Century Gothic"/>
          <w:b w:val="0"/>
          <w:i w:val="0"/>
          <w:sz w:val="20"/>
        </w:rPr>
        <w:t xml:space="preserve"> 'Convenciones de cómputo de días y de año comercial en las operaciones financieras' se dicta en MAT-102 Matemáticas Financieras; 'Lectura de las hojas de cotización y de los boletines diarios de la bolsa de valores' repite un conocimiento circunstancial de CPA-303.</w:t>
      </w:r>
    </w:p>
    <w:p>
      <w:pPr>
        <w:numPr>
          <w:ilvl w:val="0"/>
          <w:numId w:val="931"/>
        </w:numPr>
        <w:spacing w:before="0" w:after="160" w:line="240" w:lineRule="auto"/>
        <w:jc w:val="both"/>
      </w:pPr>
      <w:r>
        <w:rPr>
          <w:rFonts w:ascii="Century Gothic" w:hAnsi="Century Gothic" w:cs="Century Gothic" w:eastAsia="Century Gothic"/>
          <w:b/>
          <w:i w:val="0"/>
          <w:sz w:val="20"/>
        </w:rPr>
        <w:t>Circunstanciales, E1, E3 y E4, conocimientos circunstanciales.</w:t>
      </w:r>
      <w:r>
        <w:rPr>
          <w:rFonts w:ascii="Century Gothic" w:hAnsi="Century Gothic" w:cs="Century Gothic" w:eastAsia="Century Gothic"/>
          <w:b w:val="0"/>
          <w:i w:val="0"/>
          <w:sz w:val="20"/>
        </w:rPr>
        <w:t xml:space="preserve"> La misma lista se repite idéntica en cada tema del elemento (tres veces en E1, cuatro en E3 y siete en E4), sin relación específica con cada tema.</w:t>
      </w:r>
    </w:p>
    <w:p>
      <w:pPr>
        <w:numPr>
          <w:ilvl w:val="0"/>
          <w:numId w:val="931"/>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no están en blanco (HP 160, TOTAL 240) y el total contradice las 160 h/año de la malla.</w:t>
      </w:r>
    </w:p>
    <w:p>
      <w:pPr>
        <w:numPr>
          <w:ilvl w:val="0"/>
          <w:numId w:val="931"/>
        </w:numPr>
        <w:spacing w:before="0" w:after="160" w:line="240" w:lineRule="auto"/>
        <w:jc w:val="both"/>
      </w:pPr>
      <w:r>
        <w:rPr>
          <w:rFonts w:ascii="Century Gothic" w:hAnsi="Century Gothic" w:cs="Century Gothic" w:eastAsia="Century Gothic"/>
          <w:b/>
          <w:i w:val="0"/>
          <w:sz w:val="20"/>
        </w:rPr>
        <w:t>Incoherencia interna, E4, Temas 10 y 11.</w:t>
      </w:r>
      <w:r>
        <w:rPr>
          <w:rFonts w:ascii="Century Gothic" w:hAnsi="Century Gothic" w:cs="Century Gothic" w:eastAsia="Century Gothic"/>
          <w:b w:val="0"/>
          <w:i w:val="0"/>
          <w:sz w:val="20"/>
        </w:rPr>
        <w:t xml:space="preserve"> Valor futuro y actual, anualidades vencidas y generales, series combinadas y progresiones aritméticas y geométricas repiten MAT-102 Matemáticas Financieras (Tema 3 Rentas o anualidades).</w:t>
      </w:r>
    </w:p>
    <w:p>
      <w:pPr>
        <w:numPr>
          <w:ilvl w:val="0"/>
          <w:numId w:val="931"/>
        </w:numPr>
        <w:spacing w:before="0" w:after="160" w:line="240" w:lineRule="auto"/>
        <w:jc w:val="both"/>
      </w:pPr>
      <w:r>
        <w:rPr>
          <w:rFonts w:ascii="Century Gothic" w:hAnsi="Century Gothic" w:cs="Century Gothic" w:eastAsia="Century Gothic"/>
          <w:b/>
          <w:i w:val="0"/>
          <w:sz w:val="20"/>
        </w:rPr>
        <w:t>Incoherencia interna, E4, criterio 2 y Temas 15 y 16.</w:t>
      </w:r>
      <w:r>
        <w:rPr>
          <w:rFonts w:ascii="Century Gothic" w:hAnsi="Century Gothic" w:cs="Century Gothic" w:eastAsia="Century Gothic"/>
          <w:b w:val="0"/>
          <w:i w:val="0"/>
          <w:sz w:val="20"/>
        </w:rPr>
        <w:t xml:space="preserve"> La evaluación de proyectos con VAN, TIR, periodo de recuperación y sensibilidad repite ECO-301 Preparación y Evaluación de Proyectos (tercer año); conviene centrarse en el presupuesto de capital y el costo de capital corporativo.</w:t>
      </w:r>
    </w:p>
    <w:p>
      <w:pPr>
        <w:numPr>
          <w:ilvl w:val="0"/>
          <w:numId w:val="931"/>
        </w:numPr>
        <w:spacing w:before="0" w:after="160" w:line="240" w:lineRule="auto"/>
        <w:jc w:val="both"/>
      </w:pPr>
      <w:r>
        <w:rPr>
          <w:rFonts w:ascii="Century Gothic" w:hAnsi="Century Gothic" w:cs="Century Gothic" w:eastAsia="Century Gothic"/>
          <w:b/>
          <w:i w:val="0"/>
          <w:sz w:val="20"/>
        </w:rPr>
        <w:t>Incoherencia interna, E2, criterio 2 y Tema 5.</w:t>
      </w:r>
      <w:r>
        <w:rPr>
          <w:rFonts w:ascii="Century Gothic" w:hAnsi="Century Gothic" w:cs="Century Gothic" w:eastAsia="Century Gothic"/>
          <w:b w:val="0"/>
          <w:i w:val="0"/>
          <w:sz w:val="20"/>
        </w:rPr>
        <w:t xml:space="preserve"> El presupuesto maestro se dicta en CPA-302 Contabilidad de Costos y Gestión (Elemento 4), prerrequisito de la asignatura; las series de tiempo y regresiones, en MAT-301 Estadística.</w:t>
      </w:r>
    </w:p>
    <w:p>
      <w:pPr>
        <w:numPr>
          <w:ilvl w:val="0"/>
          <w:numId w:val="931"/>
        </w:numPr>
        <w:spacing w:before="0" w:after="160" w:line="240" w:lineRule="auto"/>
        <w:jc w:val="both"/>
      </w:pPr>
      <w:r>
        <w:rPr>
          <w:rFonts w:ascii="Century Gothic" w:hAnsi="Century Gothic" w:cs="Century Gothic" w:eastAsia="Century Gothic"/>
          <w:b/>
          <w:i w:val="0"/>
          <w:sz w:val="20"/>
        </w:rPr>
        <w:t>Incoherencia interna, E1, Tema 1 y E4, Temas 12 y 14.</w:t>
      </w:r>
      <w:r>
        <w:rPr>
          <w:rFonts w:ascii="Century Gothic" w:hAnsi="Century Gothic" w:cs="Century Gothic" w:eastAsia="Century Gothic"/>
          <w:b w:val="0"/>
          <w:i w:val="0"/>
          <w:sz w:val="20"/>
        </w:rPr>
        <w:t xml:space="preserve"> El mercado de valores boliviano, sus participantes y los bonos verdes, sociales y sostenibles se repiten con el Elemento 4 de CPA-303 Contabilidad de Bancos y Entidades Financieras.</w:t>
      </w:r>
    </w:p>
    <w:p>
      <w:pPr>
        <w:numPr>
          <w:ilvl w:val="0"/>
          <w:numId w:val="931"/>
        </w:numPr>
        <w:spacing w:before="0" w:after="160" w:line="240" w:lineRule="auto"/>
        <w:jc w:val="both"/>
      </w:pPr>
      <w:r>
        <w:rPr>
          <w:rFonts w:ascii="Century Gothic" w:hAnsi="Century Gothic" w:cs="Century Gothic" w:eastAsia="Century Gothic"/>
          <w:b/>
          <w:i w:val="0"/>
          <w:sz w:val="20"/>
        </w:rPr>
        <w:t>Incoherencia interna, E1, Tema 1, contenidos 9 a 12.</w:t>
      </w:r>
      <w:r>
        <w:rPr>
          <w:rFonts w:ascii="Century Gothic" w:hAnsi="Century Gothic" w:cs="Century Gothic" w:eastAsia="Century Gothic"/>
          <w:b w:val="0"/>
          <w:i w:val="0"/>
          <w:sz w:val="20"/>
        </w:rPr>
        <w:t xml:space="preserve"> 'Aspectos legales', 'Estructuración de la emisión', 'Registro e inscripción' y 'La empresa en Bolivia' son enunciados sin objeto claro y la emisión de valores no corresponde a los fundamentos del Tema 1 (se trata en el Tema 14).</w:t>
      </w:r>
    </w:p>
    <w:p>
      <w:pPr>
        <w:numPr>
          <w:ilvl w:val="0"/>
          <w:numId w:val="931"/>
        </w:numPr>
        <w:spacing w:before="0" w:after="200" w:line="240" w:lineRule="auto"/>
        <w:jc w:val="both"/>
      </w:pPr>
      <w:r>
        <w:rPr>
          <w:rFonts w:ascii="Century Gothic" w:hAnsi="Century Gothic" w:cs="Century Gothic" w:eastAsia="Century Gothic"/>
          <w:b/>
          <w:i w:val="0"/>
          <w:sz w:val="20"/>
        </w:rPr>
        <w:t>Incoherencia interna, Distribución de la calificación.</w:t>
      </w:r>
      <w:r>
        <w:rPr>
          <w:rFonts w:ascii="Century Gothic" w:hAnsi="Century Gothic" w:cs="Century Gothic" w:eastAsia="Century Gothic"/>
          <w:b w:val="0"/>
          <w:i w:val="0"/>
          <w:sz w:val="20"/>
        </w:rPr>
        <w:t xml:space="preserve"> El Elemento 4 concentra 41 % de la nota y el Elemento 6, solo 6 % (Productos 23 y 24 con 1 % cada uno), lo que deja las finanzas internacionales casi sin peso pese a figurar en la unidad de competencia.</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general no explica cambios de nombre (el nombre coincide con la malla) ni comenta la sigla CPA-406 que figura en el itinerario. Lo presenta como 'modelo de estructura' que cumple la cadena 1-2-4-4 y solo pide precisar los productos que inician con 'Cálculo…' o 'Pronóstico…' (Productos 6, 9 y 11), lo que esta revisión comparte.</w:t>
      </w:r>
    </w:p>
    <w:p>
      <w:pPr>
        <w:spacing w:before="0" w:after="200" w:line="240" w:lineRule="auto"/>
        <w:jc w:val="both"/>
      </w:pPr>
      <w:r>
        <w:rPr>
          <w:rFonts w:ascii="Century Gothic" w:hAnsi="Century Gothic" w:cs="Century Gothic" w:eastAsia="Century Gothic"/>
          <w:b w:val="0"/>
          <w:i w:val="0"/>
          <w:sz w:val="20"/>
        </w:rPr>
        <w:t>Se aplicaron 8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7.30</w:t>
        <w:tab/>
      </w:r>
      <w:r>
        <w:rPr>
          <w:rFonts w:ascii="Century Gothic" w:hAnsi="Century Gothic" w:cs="Century Gothic" w:eastAsia="Century Gothic"/>
          <w:b/>
          <w:i w:val="0"/>
          <w:sz w:val="22"/>
        </w:rPr>
        <w:t>CPA-406 Ética e Independencia Profesional</w:t>
      </w:r>
    </w:p>
    <w:p>
      <w:pPr>
        <w:spacing w:before="0" w:after="200" w:line="240" w:lineRule="auto"/>
        <w:jc w:val="both"/>
      </w:pPr>
      <w:r>
        <w:rPr>
          <w:rFonts w:ascii="Century Gothic" w:hAnsi="Century Gothic" w:cs="Century Gothic" w:eastAsia="Century Gothic"/>
          <w:b w:val="0"/>
          <w:i w:val="0"/>
          <w:sz w:val="20"/>
        </w:rPr>
        <w:t xml:space="preserve">Archivo: CPA-406 Etica e Independencia Profesional. Final 2.docx. Cumple 17 de 23 controles, 4 de forma parcial y no cumple 2.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La cadena está bien construida y la normativa del IESBA está actualizada (planificación fiscal, tecnología, sostenibilidad y experto externo). Debe corregir las horas, el contenido 21 fusionado y la desconexión entre la evidencia 1.1 y el Producto 1. Además, la marca (A) se usa en contenidos solo descriptivos.</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(80, 10, 10, 10, 10, 120)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Créditos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créditos llenados: 4</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64 contenidos sin marca C, P, A o T</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10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32"/>
        </w:numPr>
        <w:spacing w:before="0" w:after="160" w:line="240" w:lineRule="auto"/>
        <w:jc w:val="both"/>
      </w:pPr>
      <w:r>
        <w:rPr>
          <w:rFonts w:ascii="Century Gothic" w:hAnsi="Century Gothic" w:cs="Century Gothic" w:eastAsia="Century Gothic"/>
          <w:b/>
          <w:i w:val="0"/>
          <w:sz w:val="20"/>
        </w:rPr>
        <w:t>Coherencia, E1, criterio 1, evidencia 1.1 / Producto 1.</w:t>
      </w:r>
      <w:r>
        <w:rPr>
          <w:rFonts w:ascii="Century Gothic" w:hAnsi="Century Gothic" w:cs="Century Gothic" w:eastAsia="Century Gothic"/>
          <w:b w:val="0"/>
          <w:i w:val="0"/>
          <w:sz w:val="20"/>
        </w:rPr>
        <w:t xml:space="preserve"> La evidencia 1.1 es el análisis de la decisión de un socio con las corrientes aristotélica, kantiana y utilitarista, pero el Producto 1 es un esquema de la relación entre ética, moral y axiología; su rúbrica evalúa además la vocación y la participación en un debate que la evidencia no prevé. Cambiar el Producto 1 por el análisis escrito del caso con las tres corrientes y ajustar la rúbrica a ese análisis, o reescribir la evidencia 1.1 para que produzca el esquema.</w:t>
      </w:r>
    </w:p>
    <w:p>
      <w:pPr>
        <w:numPr>
          <w:ilvl w:val="0"/>
          <w:numId w:val="932"/>
        </w:numPr>
        <w:spacing w:before="0" w:after="160" w:line="240" w:lineRule="auto"/>
        <w:jc w:val="both"/>
      </w:pPr>
      <w:r>
        <w:rPr>
          <w:rFonts w:ascii="Century Gothic" w:hAnsi="Century Gothic" w:cs="Century Gothic" w:eastAsia="Century Gothic"/>
          <w:b/>
          <w:i w:val="0"/>
          <w:sz w:val="20"/>
        </w:rPr>
        <w:t>Coherencia, E5, criterio 2, evidencia 2.1 / rúbrica del Producto 19.</w:t>
      </w:r>
      <w:r>
        <w:rPr>
          <w:rFonts w:ascii="Century Gothic" w:hAnsi="Century Gothic" w:cs="Century Gothic" w:eastAsia="Century Gothic"/>
          <w:b w:val="0"/>
          <w:i w:val="0"/>
          <w:sz w:val="20"/>
        </w:rPr>
        <w:t xml:space="preserve"> La evidencia 2.1 trata de amenazas por relaciones de negocios con un cliente de aseguramiento, pero la rúbrica del Producto 19 evalúa la información de sostenibilidad y la objetividad del experto externo, que la evidencia no aborda. Incluir la sostenibilidad o el experto externo en la evidencia 2.1, o sustituir ese criterio de la rúbrica por uno propio de las relaciones de negocios.</w:t>
      </w:r>
    </w:p>
    <w:p>
      <w:pPr>
        <w:numPr>
          <w:ilvl w:val="0"/>
          <w:numId w:val="932"/>
        </w:numPr>
        <w:spacing w:before="0" w:after="160" w:line="240" w:lineRule="auto"/>
        <w:jc w:val="both"/>
      </w:pPr>
      <w:r>
        <w:rPr>
          <w:rFonts w:ascii="Century Gothic" w:hAnsi="Century Gothic" w:cs="Century Gothic" w:eastAsia="Century Gothic"/>
          <w:b/>
          <w:i w:val="0"/>
          <w:sz w:val="20"/>
        </w:rPr>
        <w:t>Coherencia, E2, criterio 2, evidencia 2.2 / Producto 8.</w:t>
      </w:r>
      <w:r>
        <w:rPr>
          <w:rFonts w:ascii="Century Gothic" w:hAnsi="Century Gothic" w:cs="Century Gothic" w:eastAsia="Century Gothic"/>
          <w:b w:val="0"/>
          <w:i w:val="0"/>
          <w:sz w:val="20"/>
        </w:rPr>
        <w:t xml:space="preserve"> La evidencia es una argumentación oral ante el curso y el producto es un informe escrito; la rúbrica evalúa la claridad de la sustentación, no el informe. Precisar en la evidencia que se elabora y sustenta un informe, o cambiar el criterio de sustentación por uno sobre el contenido del informe.</w:t>
      </w:r>
    </w:p>
    <w:p>
      <w:pPr>
        <w:numPr>
          <w:ilvl w:val="0"/>
          <w:numId w:val="932"/>
        </w:numPr>
        <w:spacing w:before="0" w:after="160" w:line="240" w:lineRule="auto"/>
        <w:jc w:val="both"/>
      </w:pPr>
      <w:r>
        <w:rPr>
          <w:rFonts w:ascii="Century Gothic" w:hAnsi="Century Gothic" w:cs="Century Gothic" w:eastAsia="Century Gothic"/>
          <w:b/>
          <w:i w:val="0"/>
          <w:sz w:val="20"/>
        </w:rPr>
        <w:t>Contenido técnico, E3, contenido 2 (partes del Código).</w:t>
      </w:r>
      <w:r>
        <w:rPr>
          <w:rFonts w:ascii="Century Gothic" w:hAnsi="Century Gothic" w:cs="Century Gothic" w:eastAsia="Century Gothic"/>
          <w:b w:val="0"/>
          <w:i w:val="0"/>
          <w:sz w:val="20"/>
        </w:rPr>
        <w:t xml:space="preserve"> Se enumeran las Partes 1 a 4-B, pero las normas de ética para el aseguramiento de sostenibilidad del IESBA (2025), citadas en el contenido 4 y en la bibliografía, se incorporaron al Código como una parte adicional sobre sostenibilidad. Añadir al contenido 2 la parte del Código relativa al aseguramiento de sostenibilidad y a su independencia.</w:t>
      </w:r>
    </w:p>
    <w:p>
      <w:pPr>
        <w:numPr>
          <w:ilvl w:val="0"/>
          <w:numId w:val="932"/>
        </w:numPr>
        <w:spacing w:before="0" w:after="160" w:line="240" w:lineRule="auto"/>
        <w:jc w:val="both"/>
      </w:pPr>
      <w:r>
        <w:rPr>
          <w:rFonts w:ascii="Century Gothic" w:hAnsi="Century Gothic" w:cs="Century Gothic" w:eastAsia="Century Gothic"/>
          <w:b/>
          <w:i w:val="0"/>
          <w:sz w:val="20"/>
        </w:rPr>
        <w:t>Contenido técnico, Bibliografía básica, IAASB (2025).</w:t>
      </w:r>
      <w:r>
        <w:rPr>
          <w:rFonts w:ascii="Century Gothic" w:hAnsi="Century Gothic" w:cs="Century Gothic" w:eastAsia="Century Gothic"/>
          <w:b w:val="0"/>
          <w:i w:val="0"/>
          <w:sz w:val="20"/>
        </w:rPr>
        <w:t xml:space="preserve"> Se cita el 'Handbook of International Quality Control...'; desde la edición 2022 el título es 'Handbook of International Quality Management, Auditing, Review, Other Assurance, and Related Services Pronouncements'. Actualizar el título a 'Quality Management'.</w:t>
      </w:r>
    </w:p>
    <w:p>
      <w:pPr>
        <w:numPr>
          <w:ilvl w:val="0"/>
          <w:numId w:val="932"/>
        </w:numPr>
        <w:spacing w:before="0" w:after="160" w:line="240" w:lineRule="auto"/>
        <w:jc w:val="both"/>
      </w:pPr>
      <w:r>
        <w:rPr>
          <w:rFonts w:ascii="Century Gothic" w:hAnsi="Century Gothic" w:cs="Century Gothic" w:eastAsia="Century Gothic"/>
          <w:b/>
          <w:i w:val="0"/>
          <w:sz w:val="20"/>
        </w:rPr>
        <w:t>Marcas de saber, E1, contenido 9; E2, contenido 17.</w:t>
      </w:r>
      <w:r>
        <w:rPr>
          <w:rFonts w:ascii="Century Gothic" w:hAnsi="Century Gothic" w:cs="Century Gothic" w:eastAsia="Century Gothic"/>
          <w:b w:val="0"/>
          <w:i w:val="0"/>
          <w:sz w:val="20"/>
        </w:rPr>
        <w:t xml:space="preserve"> Llevan (T) pero tratan del uso responsable de herramientas y de la conducta ética con datos, sin exigir operar una herramienta concreta.</w:t>
      </w:r>
    </w:p>
    <w:p>
      <w:pPr>
        <w:numPr>
          <w:ilvl w:val="0"/>
          <w:numId w:val="932"/>
        </w:numPr>
        <w:spacing w:before="0" w:after="160" w:line="240" w:lineRule="auto"/>
        <w:jc w:val="both"/>
      </w:pPr>
      <w:r>
        <w:rPr>
          <w:rFonts w:ascii="Century Gothic" w:hAnsi="Century Gothic" w:cs="Century Gothic" w:eastAsia="Century Gothic"/>
          <w:b/>
          <w:i w:val="0"/>
          <w:sz w:val="20"/>
        </w:rPr>
        <w:t>Marcas de saber, E5, contenidos 4, 6 y 10.</w:t>
      </w:r>
      <w:r>
        <w:rPr>
          <w:rFonts w:ascii="Century Gothic" w:hAnsi="Century Gothic" w:cs="Century Gothic" w:eastAsia="Century Gothic"/>
          <w:b w:val="0"/>
          <w:i w:val="0"/>
          <w:sz w:val="20"/>
        </w:rPr>
        <w:t xml:space="preserve"> Llevan (C, A) pero solo describen requisitos normativos (rotación y enfriamiento, servicios de sostenibilidad, independencia en sostenibilidad) sin una conducta observable; además carecen de (P) aunque se aplican en los Productos 17 a 19.</w:t>
      </w:r>
    </w:p>
    <w:p>
      <w:pPr>
        <w:numPr>
          <w:ilvl w:val="0"/>
          <w:numId w:val="932"/>
        </w:numPr>
        <w:spacing w:before="0" w:after="160" w:line="240" w:lineRule="auto"/>
        <w:jc w:val="both"/>
      </w:pPr>
      <w:r>
        <w:rPr>
          <w:rFonts w:ascii="Century Gothic" w:hAnsi="Century Gothic" w:cs="Century Gothic" w:eastAsia="Century Gothic"/>
          <w:b/>
          <w:i w:val="0"/>
          <w:sz w:val="20"/>
        </w:rPr>
        <w:t>Circunstanciales, E1, conocimientos circunstanciales.</w:t>
      </w:r>
      <w:r>
        <w:rPr>
          <w:rFonts w:ascii="Century Gothic" w:hAnsi="Century Gothic" w:cs="Century Gothic" w:eastAsia="Century Gothic"/>
          <w:b w:val="0"/>
          <w:i w:val="0"/>
          <w:sz w:val="20"/>
        </w:rPr>
        <w:t xml:space="preserve"> 'Corrientes de la filosofía moral: ética aristotélica, deontología kantiana y utilitarismo' repite el contenido 5 del mismo elemento; no es un conocimiento circunstancial.</w:t>
      </w:r>
    </w:p>
    <w:p>
      <w:pPr>
        <w:numPr>
          <w:ilvl w:val="0"/>
          <w:numId w:val="932"/>
        </w:numPr>
        <w:spacing w:before="0" w:after="160" w:line="240" w:lineRule="auto"/>
        <w:jc w:val="both"/>
      </w:pPr>
      <w:r>
        <w:rPr>
          <w:rFonts w:ascii="Century Gothic" w:hAnsi="Century Gothic" w:cs="Century Gothic" w:eastAsia="Century Gothic"/>
          <w:b/>
          <w:i w:val="0"/>
          <w:sz w:val="20"/>
        </w:rPr>
        <w:t>Circunstanciales, E2, conocimientos circunstanciales y contenido 11.</w:t>
      </w:r>
      <w:r>
        <w:rPr>
          <w:rFonts w:ascii="Century Gothic" w:hAnsi="Century Gothic" w:cs="Century Gothic" w:eastAsia="Century Gothic"/>
          <w:b w:val="0"/>
          <w:i w:val="0"/>
          <w:sz w:val="20"/>
        </w:rPr>
        <w:t xml:space="preserve"> 'Tipologías de corrupción y de fraude' y la prevención de la legitimación de ganancias ilícitas se dictan en CPA-508 Auditoría Forense, Peritaje y Prevención de Delitos Económicos.</w:t>
      </w:r>
    </w:p>
    <w:p>
      <w:pPr>
        <w:numPr>
          <w:ilvl w:val="0"/>
          <w:numId w:val="932"/>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no están en blanco y el TOTAL (120 h) contradice las 80 h/año de la malla para una asignatura de 2 h/semana; HP por sí solo ya suma 80 h.</w:t>
      </w:r>
    </w:p>
    <w:p>
      <w:pPr>
        <w:numPr>
          <w:ilvl w:val="0"/>
          <w:numId w:val="932"/>
        </w:numPr>
        <w:spacing w:before="0" w:after="160" w:line="240" w:lineRule="auto"/>
        <w:jc w:val="both"/>
      </w:pPr>
      <w:r>
        <w:rPr>
          <w:rFonts w:ascii="Century Gothic" w:hAnsi="Century Gothic" w:cs="Century Gothic" w:eastAsia="Century Gothic"/>
          <w:b/>
          <w:i w:val="0"/>
          <w:sz w:val="20"/>
        </w:rPr>
        <w:t>Incoherencia interna, E2, contenido 21.</w:t>
      </w:r>
      <w:r>
        <w:rPr>
          <w:rFonts w:ascii="Century Gothic" w:hAnsi="Century Gothic" w:cs="Century Gothic" w:eastAsia="Century Gothic"/>
          <w:b w:val="0"/>
          <w:i w:val="0"/>
          <w:sz w:val="20"/>
        </w:rPr>
        <w:t xml:space="preserve"> El contenido 21 está fusionado con otro ('(C, P)El papel de la ética...'), que además repite el contenido 18 del mismo elemento.</w:t>
      </w:r>
    </w:p>
    <w:p>
      <w:pPr>
        <w:numPr>
          <w:ilvl w:val="0"/>
          <w:numId w:val="932"/>
        </w:numPr>
        <w:spacing w:before="0" w:after="200" w:line="240" w:lineRule="auto"/>
        <w:jc w:val="both"/>
      </w:pPr>
      <w:r>
        <w:rPr>
          <w:rFonts w:ascii="Century Gothic" w:hAnsi="Century Gothic" w:cs="Century Gothic" w:eastAsia="Century Gothic"/>
          <w:b/>
          <w:i w:val="0"/>
          <w:sz w:val="20"/>
        </w:rPr>
        <w:t>Incoherencia interna, E2 y E4.</w:t>
      </w:r>
      <w:r>
        <w:rPr>
          <w:rFonts w:ascii="Century Gothic" w:hAnsi="Century Gothic" w:cs="Century Gothic" w:eastAsia="Century Gothic"/>
          <w:b w:val="0"/>
          <w:i w:val="0"/>
          <w:sz w:val="20"/>
        </w:rPr>
        <w:t xml:space="preserve"> La presión del cliente o del empleador para presentar información engañosa se trata en E2 (contenido 21, criterio 2) y otra vez en E4 (contenido 5, Producto 14).</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no explica cambios de nombre ni otras decisiones: solo dice que se llegó 'a un consenso en cuanto a la denominación de la asignatura, su carga horaria y su itinerario formativo'. Ubica la asignatura en 'Quinto Año', aunque la malla y el itinerario la sitúan en cuarto año. Escribe 'Etica' sin tilde. El docente de los paralelos C y D no participó.</w:t>
      </w:r>
    </w:p>
    <w:p>
      <w:pPr>
        <w:spacing w:before="0" w:after="200" w:line="240" w:lineRule="auto"/>
        <w:jc w:val="both"/>
      </w:pPr>
      <w:r>
        <w:rPr>
          <w:rFonts w:ascii="Century Gothic" w:hAnsi="Century Gothic" w:cs="Century Gothic" w:eastAsia="Century Gothic"/>
          <w:b w:val="0"/>
          <w:i w:val="0"/>
          <w:sz w:val="20"/>
        </w:rPr>
        <w:t>Se aplicaron 5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7.31</w:t>
        <w:tab/>
      </w:r>
      <w:r>
        <w:rPr>
          <w:rFonts w:ascii="Century Gothic" w:hAnsi="Century Gothic" w:cs="Century Gothic" w:eastAsia="Century Gothic"/>
          <w:b/>
          <w:i w:val="0"/>
          <w:sz w:val="22"/>
        </w:rPr>
        <w:t>CPA-407 Auditoría Financiera</w:t>
      </w:r>
    </w:p>
    <w:p>
      <w:pPr>
        <w:spacing w:before="0" w:after="200" w:line="240" w:lineRule="auto"/>
        <w:jc w:val="both"/>
      </w:pPr>
      <w:r>
        <w:rPr>
          <w:rFonts w:ascii="Century Gothic" w:hAnsi="Century Gothic" w:cs="Century Gothic" w:eastAsia="Century Gothic"/>
          <w:b w:val="0"/>
          <w:i w:val="0"/>
          <w:sz w:val="20"/>
        </w:rPr>
        <w:t xml:space="preserve">Archivo: CPA-407 Auditoria Financiera.docx. Cumple 16 de 23 controles, 3 de forma parcial y no cumple 4. Estado: </w:t>
      </w:r>
      <w:r>
        <w:rPr>
          <w:rFonts w:ascii="Century Gothic" w:hAnsi="Century Gothic" w:cs="Century Gothic" w:eastAsia="Century Gothic"/>
          <w:b/>
          <w:i w:val="0"/>
          <w:sz w:val="20"/>
        </w:rPr>
        <w:t>requiere reformulación parcial</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El contenido técnico de auditoría es amplio y está actualizado (NIGC, NIA para entidades menos complejas, NIA 240 y 570 revisadas). La cadena tiene fallas serias: las rúbricas de E1 y E2 no corresponden a sus productos, el criterio 2 de E3 no corresponde a sus evidencias y E4 tiene dos enunciados. También falta la columna 'En clase', las horas no coinciden con la malla y varias marcas (A) y (T) no se sostienen.</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incluye el desglose de los nombres de las siglas; horas llenadas (160, 40, 10, 40, 10, 260)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164 contenidos sin marca C, P, A o T; 3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Actividades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falta la columna «En clase»; 4 columnas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de 15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«a través»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33"/>
        </w:numPr>
        <w:spacing w:before="0" w:after="160" w:line="240" w:lineRule="auto"/>
        <w:jc w:val="both"/>
      </w:pPr>
      <w:r>
        <w:rPr>
          <w:rFonts w:ascii="Century Gothic" w:hAnsi="Century Gothic" w:cs="Century Gothic" w:eastAsia="Century Gothic"/>
          <w:b/>
          <w:i w:val="0"/>
          <w:sz w:val="20"/>
        </w:rPr>
        <w:t>Coherencia, E1 y E2, Productos 1 a 8 / sus rúbricas.</w:t>
      </w:r>
      <w:r>
        <w:rPr>
          <w:rFonts w:ascii="Century Gothic" w:hAnsi="Century Gothic" w:cs="Century Gothic" w:eastAsia="Century Gothic"/>
          <w:b w:val="0"/>
          <w:i w:val="0"/>
          <w:sz w:val="20"/>
        </w:rPr>
        <w:t xml:space="preserve"> Las rúbricas no corresponden a los productos de la cadena. Por ejemplo, el Producto 3 (informe sobre un portafolio de empresas) se evalúa como 'Esquema de los marcos de referencia vigentes' con exposición en equipo, y el Producto 4 (fichas normativas por sector) como 'Resumen de responsabilidades sobre el marco aplicable'. Rehacer las rúbricas de los Productos 1 a 8 con el nombre y los criterios propios de cada producto.</w:t>
      </w:r>
    </w:p>
    <w:p>
      <w:pPr>
        <w:numPr>
          <w:ilvl w:val="0"/>
          <w:numId w:val="933"/>
        </w:numPr>
        <w:spacing w:before="0" w:after="160" w:line="240" w:lineRule="auto"/>
        <w:jc w:val="both"/>
      </w:pPr>
      <w:r>
        <w:rPr>
          <w:rFonts w:ascii="Century Gothic" w:hAnsi="Century Gothic" w:cs="Century Gothic" w:eastAsia="Century Gothic"/>
          <w:b/>
          <w:i w:val="0"/>
          <w:sz w:val="20"/>
        </w:rPr>
        <w:t>Coherencia, E2, criterio 2 / Productos 7 y 8.</w:t>
      </w:r>
      <w:r>
        <w:rPr>
          <w:rFonts w:ascii="Century Gothic" w:hAnsi="Century Gothic" w:cs="Century Gothic" w:eastAsia="Century Gothic"/>
          <w:b w:val="0"/>
          <w:i w:val="0"/>
          <w:sz w:val="20"/>
        </w:rPr>
        <w:t xml:space="preserve"> La rúbrica del Producto 7 (papel de trabajo de independencia) evalúa hechos y responsabilidad profesional, civil y penal, que corresponden al Producto 8. La rúbrica del Producto 8 evalúa la aceptación de clientes, que corresponde a la evidencia 2.2. Intercambiar o reescribir los criterios para que cada rúbrica responda a su producto.</w:t>
      </w:r>
    </w:p>
    <w:p>
      <w:pPr>
        <w:numPr>
          <w:ilvl w:val="0"/>
          <w:numId w:val="933"/>
        </w:numPr>
        <w:spacing w:before="0" w:after="160" w:line="240" w:lineRule="auto"/>
        <w:jc w:val="both"/>
      </w:pPr>
      <w:r>
        <w:rPr>
          <w:rFonts w:ascii="Century Gothic" w:hAnsi="Century Gothic" w:cs="Century Gothic" w:eastAsia="Century Gothic"/>
          <w:b/>
          <w:i w:val="0"/>
          <w:sz w:val="20"/>
        </w:rPr>
        <w:t>Coherencia, E3, criterio 2, evidencias 2.1 y 2.2 / Productos 11 y 12.</w:t>
      </w:r>
      <w:r>
        <w:rPr>
          <w:rFonts w:ascii="Century Gothic" w:hAnsi="Century Gothic" w:cs="Century Gothic" w:eastAsia="Century Gothic"/>
          <w:b w:val="0"/>
          <w:i w:val="0"/>
          <w:sz w:val="20"/>
        </w:rPr>
        <w:t xml:space="preserve"> El criterio trata de la opinión y del contenido del informe, pero sus evidencias asocian aseveraciones con riesgos y comparan el enfoque para entidades menos complejas. Además, la opinión y el informe ya se evalúan en E6. Reescribir el criterio 2 de E3 sobre aseveraciones y entidades menos complejas.</w:t>
      </w:r>
    </w:p>
    <w:p>
      <w:pPr>
        <w:numPr>
          <w:ilvl w:val="0"/>
          <w:numId w:val="933"/>
        </w:numPr>
        <w:spacing w:before="0" w:after="160" w:line="240" w:lineRule="auto"/>
        <w:jc w:val="both"/>
      </w:pPr>
      <w:r>
        <w:rPr>
          <w:rFonts w:ascii="Century Gothic" w:hAnsi="Century Gothic" w:cs="Century Gothic" w:eastAsia="Century Gothic"/>
          <w:b/>
          <w:i w:val="0"/>
          <w:sz w:val="20"/>
        </w:rPr>
        <w:t>Coherencia, E4, criterio 2, evidencia 2.2 / Producto 16.</w:t>
      </w:r>
      <w:r>
        <w:rPr>
          <w:rFonts w:ascii="Century Gothic" w:hAnsi="Century Gothic" w:cs="Century Gothic" w:eastAsia="Century Gothic"/>
          <w:b w:val="0"/>
          <w:i w:val="0"/>
          <w:sz w:val="20"/>
        </w:rPr>
        <w:t xml:space="preserve"> El Producto 16 está redactado como acción ('Establece los enfoques...') y la rúbrica lo llama 'Memorando de planificación'. Además, la rúbrica del Producto 15 evalúa procedimientos analíticos, que no figuran en la evidencia 2.1. Nombrar el Producto 16 'Memorando de planificación con la estrategia global y el enfoque de auditoría' y alinear la rúbrica del Producto 15 con la matriz de valoración del riesgo.</w:t>
      </w:r>
    </w:p>
    <w:p>
      <w:pPr>
        <w:numPr>
          <w:ilvl w:val="0"/>
          <w:numId w:val="933"/>
        </w:numPr>
        <w:spacing w:before="0" w:after="160" w:line="240" w:lineRule="auto"/>
        <w:jc w:val="both"/>
      </w:pPr>
      <w:r>
        <w:rPr>
          <w:rFonts w:ascii="Century Gothic" w:hAnsi="Century Gothic" w:cs="Century Gothic" w:eastAsia="Century Gothic"/>
          <w:b/>
          <w:i w:val="0"/>
          <w:sz w:val="20"/>
        </w:rPr>
        <w:t>Coherencia, E4, enunciado del elemento.</w:t>
      </w:r>
      <w:r>
        <w:rPr>
          <w:rFonts w:ascii="Century Gothic" w:hAnsi="Century Gothic" w:cs="Century Gothic" w:eastAsia="Century Gothic"/>
          <w:b w:val="0"/>
          <w:i w:val="0"/>
          <w:sz w:val="20"/>
        </w:rPr>
        <w:t xml:space="preserve"> El elemento tiene dos redacciones alternativas separadas por '/': 'Valora los riesgos...' y 'Planifica la Auditoría...'. Dejar una sola redacción.</w:t>
      </w:r>
    </w:p>
    <w:p>
      <w:pPr>
        <w:numPr>
          <w:ilvl w:val="0"/>
          <w:numId w:val="933"/>
        </w:numPr>
        <w:spacing w:before="0" w:after="160" w:line="240" w:lineRule="auto"/>
        <w:jc w:val="both"/>
      </w:pPr>
      <w:r>
        <w:rPr>
          <w:rFonts w:ascii="Century Gothic" w:hAnsi="Century Gothic" w:cs="Century Gothic" w:eastAsia="Century Gothic"/>
          <w:b/>
          <w:i w:val="0"/>
          <w:sz w:val="20"/>
        </w:rPr>
        <w:t>Contenido técnico, Unidad de competencia.</w:t>
      </w:r>
      <w:r>
        <w:rPr>
          <w:rFonts w:ascii="Century Gothic" w:hAnsi="Century Gothic" w:cs="Century Gothic" w:eastAsia="Century Gothic"/>
          <w:b w:val="0"/>
          <w:i w:val="0"/>
          <w:sz w:val="20"/>
        </w:rPr>
        <w:t xml:space="preserve"> Se escribe 'Normas de Auditoría Generalmente Aceptadas en Bolivia (NCGA)'; NCGA es la sigla de las normas de contabilidad, no de las de auditoría. Usar NAGA o escribir el nombre sin sigla.</w:t>
      </w:r>
    </w:p>
    <w:p>
      <w:pPr>
        <w:numPr>
          <w:ilvl w:val="0"/>
          <w:numId w:val="933"/>
        </w:numPr>
        <w:spacing w:before="0" w:after="160" w:line="240" w:lineRule="auto"/>
        <w:jc w:val="both"/>
      </w:pPr>
      <w:r>
        <w:rPr>
          <w:rFonts w:ascii="Century Gothic" w:hAnsi="Century Gothic" w:cs="Century Gothic" w:eastAsia="Century Gothic"/>
          <w:b/>
          <w:i w:val="0"/>
          <w:sz w:val="20"/>
        </w:rPr>
        <w:t>Contenido técnico, Bibliografía básica, IAASB (2025) y (2026).</w:t>
      </w:r>
      <w:r>
        <w:rPr>
          <w:rFonts w:ascii="Century Gothic" w:hAnsi="Century Gothic" w:cs="Century Gothic" w:eastAsia="Century Gothic"/>
          <w:b w:val="0"/>
          <w:i w:val="0"/>
          <w:sz w:val="20"/>
        </w:rPr>
        <w:t xml:space="preserve"> Se cita 'Manual de Pronunciamientos Internacionales de Control de Calidad' y 'Handbook of International Quality Control'; desde 2022 el título usa 'Gestión de la Calidad' / 'Quality Management'. Actualizar los títulos.</w:t>
      </w:r>
    </w:p>
    <w:p>
      <w:pPr>
        <w:numPr>
          <w:ilvl w:val="0"/>
          <w:numId w:val="933"/>
        </w:numPr>
        <w:spacing w:before="0" w:after="160" w:line="240" w:lineRule="auto"/>
        <w:jc w:val="both"/>
      </w:pPr>
      <w:r>
        <w:rPr>
          <w:rFonts w:ascii="Century Gothic" w:hAnsi="Century Gothic" w:cs="Century Gothic" w:eastAsia="Century Gothic"/>
          <w:b/>
          <w:i w:val="0"/>
          <w:sz w:val="20"/>
        </w:rPr>
        <w:t>Contenido técnico, Bibliografía básica, IESBA (2025).</w:t>
      </w:r>
      <w:r>
        <w:rPr>
          <w:rFonts w:ascii="Century Gothic" w:hAnsi="Century Gothic" w:cs="Century Gothic" w:eastAsia="Century Gothic"/>
          <w:b w:val="0"/>
          <w:i w:val="0"/>
          <w:sz w:val="20"/>
        </w:rPr>
        <w:t xml:space="preserve"> 'Código de Ética para Contadores Profesionales' es el título anterior; el vigente es 'Código Internacional de Ética para Profesionales de la Contabilidad (incluidas las Normas Internacionales de Independencia)'. Corregir el título.</w:t>
      </w:r>
    </w:p>
    <w:p>
      <w:pPr>
        <w:numPr>
          <w:ilvl w:val="0"/>
          <w:numId w:val="933"/>
        </w:numPr>
        <w:spacing w:before="0" w:after="160" w:line="240" w:lineRule="auto"/>
        <w:jc w:val="both"/>
      </w:pPr>
      <w:r>
        <w:rPr>
          <w:rFonts w:ascii="Century Gothic" w:hAnsi="Century Gothic" w:cs="Century Gothic" w:eastAsia="Century Gothic"/>
          <w:b/>
          <w:i w:val="0"/>
          <w:sz w:val="20"/>
        </w:rPr>
        <w:t>Contenido técnico, Bibliografía complementaria.</w:t>
      </w:r>
      <w:r>
        <w:rPr>
          <w:rFonts w:ascii="Century Gothic" w:hAnsi="Century Gothic" w:cs="Century Gothic" w:eastAsia="Century Gothic"/>
          <w:b w:val="0"/>
          <w:i w:val="0"/>
          <w:sz w:val="20"/>
        </w:rPr>
        <w:t xml:space="preserve"> Arens (1996), Slosse (1995), Mantilla (2004) y Whittington (2005) son anteriores a las NIA clarificadas y a la NIA 315 revisada. Sustituir por ediciones recientes.</w:t>
      </w:r>
    </w:p>
    <w:p>
      <w:pPr>
        <w:numPr>
          <w:ilvl w:val="0"/>
          <w:numId w:val="933"/>
        </w:numPr>
        <w:spacing w:before="0" w:after="160" w:line="240" w:lineRule="auto"/>
        <w:jc w:val="both"/>
      </w:pPr>
      <w:r>
        <w:rPr>
          <w:rFonts w:ascii="Century Gothic" w:hAnsi="Century Gothic" w:cs="Century Gothic" w:eastAsia="Century Gothic"/>
          <w:b/>
          <w:i w:val="0"/>
          <w:sz w:val="20"/>
        </w:rPr>
        <w:t>Marcas de saber, E2, contenido 'Desarrollo de la profesión de la contaduría pública. (P)'.</w:t>
      </w:r>
      <w:r>
        <w:rPr>
          <w:rFonts w:ascii="Century Gothic" w:hAnsi="Century Gothic" w:cs="Century Gothic" w:eastAsia="Century Gothic"/>
          <w:b w:val="0"/>
          <w:i w:val="0"/>
          <w:sz w:val="20"/>
        </w:rPr>
        <w:t xml:space="preserve"> Es un contenido histórico y descriptivo; corresponde (C).</w:t>
      </w:r>
    </w:p>
    <w:p>
      <w:pPr>
        <w:numPr>
          <w:ilvl w:val="0"/>
          <w:numId w:val="933"/>
        </w:numPr>
        <w:spacing w:before="0" w:after="160" w:line="240" w:lineRule="auto"/>
        <w:jc w:val="both"/>
      </w:pPr>
      <w:r>
        <w:rPr>
          <w:rFonts w:ascii="Century Gothic" w:hAnsi="Century Gothic" w:cs="Century Gothic" w:eastAsia="Century Gothic"/>
          <w:b/>
          <w:i w:val="0"/>
          <w:sz w:val="20"/>
        </w:rPr>
        <w:t>Marcas de saber, E2, contenidos sobre requisitos éticos, Código de Ética y responsabilidad ante clientes y terceros.</w:t>
      </w:r>
      <w:r>
        <w:rPr>
          <w:rFonts w:ascii="Century Gothic" w:hAnsi="Century Gothic" w:cs="Century Gothic" w:eastAsia="Century Gothic"/>
          <w:b w:val="0"/>
          <w:i w:val="0"/>
          <w:sz w:val="20"/>
        </w:rPr>
        <w:t xml:space="preserve"> Llevan (C, A) pero solo describen normas o responsabilidades, sin una conducta observable. E2 y E3 son casi enteramente (C) pese a que sus criterios exigen evaluar y aplicar.</w:t>
      </w:r>
    </w:p>
    <w:p>
      <w:pPr>
        <w:numPr>
          <w:ilvl w:val="0"/>
          <w:numId w:val="933"/>
        </w:numPr>
        <w:spacing w:before="0" w:after="160" w:line="240" w:lineRule="auto"/>
        <w:jc w:val="both"/>
      </w:pPr>
      <w:r>
        <w:rPr>
          <w:rFonts w:ascii="Century Gothic" w:hAnsi="Century Gothic" w:cs="Century Gothic" w:eastAsia="Century Gothic"/>
          <w:b/>
          <w:i w:val="0"/>
          <w:sz w:val="20"/>
        </w:rPr>
        <w:t>Marcas de saber, E5, 'Herramientas tecnológicas y uso del muestreo', 'Documentos electrónicos' y 'Ventajas de la automatización'.</w:t>
      </w:r>
      <w:r>
        <w:rPr>
          <w:rFonts w:ascii="Century Gothic" w:hAnsi="Century Gothic" w:cs="Century Gothic" w:eastAsia="Century Gothic"/>
          <w:b w:val="0"/>
          <w:i w:val="0"/>
          <w:sz w:val="20"/>
        </w:rPr>
        <w:t xml:space="preserve"> Llevan (T) pero solo mencionan la tecnología sin exigir operarla.</w:t>
      </w:r>
    </w:p>
    <w:p>
      <w:pPr>
        <w:numPr>
          <w:ilvl w:val="0"/>
          <w:numId w:val="933"/>
        </w:numPr>
        <w:spacing w:before="0" w:after="160" w:line="240" w:lineRule="auto"/>
        <w:jc w:val="both"/>
      </w:pPr>
      <w:r>
        <w:rPr>
          <w:rFonts w:ascii="Century Gothic" w:hAnsi="Century Gothic" w:cs="Century Gothic" w:eastAsia="Century Gothic"/>
          <w:b/>
          <w:i w:val="0"/>
          <w:sz w:val="20"/>
        </w:rPr>
        <w:t>Circunstanciales, E4 y E5, conocimientos circunstanciales.</w:t>
      </w:r>
      <w:r>
        <w:rPr>
          <w:rFonts w:ascii="Century Gothic" w:hAnsi="Century Gothic" w:cs="Century Gothic" w:eastAsia="Century Gothic"/>
          <w:b w:val="0"/>
          <w:i w:val="0"/>
          <w:sz w:val="20"/>
        </w:rPr>
        <w:t xml:space="preserve"> La responsabilidad respecto al fraude (NIA 240), las confirmaciones externas y la NIA 530 son contenidos centrales de esta asignatura y ya figuran en sus contenidos; no son circunstanciales.</w:t>
      </w:r>
    </w:p>
    <w:p>
      <w:pPr>
        <w:numPr>
          <w:ilvl w:val="0"/>
          <w:numId w:val="933"/>
        </w:numPr>
        <w:spacing w:before="0" w:after="160" w:line="240" w:lineRule="auto"/>
        <w:jc w:val="both"/>
      </w:pPr>
      <w:r>
        <w:rPr>
          <w:rFonts w:ascii="Century Gothic" w:hAnsi="Century Gothic" w:cs="Century Gothic" w:eastAsia="Century Gothic"/>
          <w:b/>
          <w:i w:val="0"/>
          <w:sz w:val="20"/>
        </w:rPr>
        <w:t>Circunstanciales, E4, 'Uso de herramientas digitales y de inteligencia artificial en las firmas de auditoría'.</w:t>
      </w:r>
      <w:r>
        <w:rPr>
          <w:rFonts w:ascii="Century Gothic" w:hAnsi="Century Gothic" w:cs="Century Gothic" w:eastAsia="Century Gothic"/>
          <w:b w:val="0"/>
          <w:i w:val="0"/>
          <w:sz w:val="20"/>
        </w:rPr>
        <w:t xml:space="preserve"> Se dicta en CPA-505 Auditoría Digital, Ciberseguridad y Tecnologías Emergentes.</w:t>
      </w:r>
    </w:p>
    <w:p>
      <w:pPr>
        <w:numPr>
          <w:ilvl w:val="0"/>
          <w:numId w:val="933"/>
        </w:numPr>
        <w:spacing w:before="0" w:after="160" w:line="240" w:lineRule="auto"/>
        <w:jc w:val="both"/>
      </w:pPr>
      <w:r>
        <w:rPr>
          <w:rFonts w:ascii="Century Gothic" w:hAnsi="Century Gothic" w:cs="Century Gothic" w:eastAsia="Century Gothic"/>
          <w:b/>
          <w:i w:val="0"/>
          <w:sz w:val="20"/>
        </w:rPr>
        <w:t>Circunstanciales, E2, 'Responsabilidad del auditor independiente frente a sus clientes y a terceros'.</w:t>
      </w:r>
      <w:r>
        <w:rPr>
          <w:rFonts w:ascii="Century Gothic" w:hAnsi="Century Gothic" w:cs="Century Gothic" w:eastAsia="Century Gothic"/>
          <w:b w:val="0"/>
          <w:i w:val="0"/>
          <w:sz w:val="20"/>
        </w:rPr>
        <w:t xml:space="preserve"> Repite el contenido 'Responsabilidad ante sus clientes y terceros' del mismo elemento.</w:t>
      </w:r>
    </w:p>
    <w:p>
      <w:pPr>
        <w:numPr>
          <w:ilvl w:val="0"/>
          <w:numId w:val="933"/>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Desglosa los nombres de las siglas y llena las horas: HP 160 y TOTAL 260, cuando la malla fija 160 h/año.</w:t>
      </w:r>
    </w:p>
    <w:p>
      <w:pPr>
        <w:numPr>
          <w:ilvl w:val="0"/>
          <w:numId w:val="933"/>
        </w:numPr>
        <w:spacing w:before="0" w:after="160" w:line="240" w:lineRule="auto"/>
        <w:jc w:val="both"/>
      </w:pPr>
      <w:r>
        <w:rPr>
          <w:rFonts w:ascii="Century Gothic" w:hAnsi="Century Gothic" w:cs="Century Gothic" w:eastAsia="Century Gothic"/>
          <w:b/>
          <w:i w:val="0"/>
          <w:sz w:val="20"/>
        </w:rPr>
        <w:t>Incoherencia interna, Actividades.</w:t>
      </w:r>
      <w:r>
        <w:rPr>
          <w:rFonts w:ascii="Century Gothic" w:hAnsi="Century Gothic" w:cs="Century Gothic" w:eastAsia="Century Gothic"/>
          <w:b w:val="0"/>
          <w:i w:val="0"/>
          <w:sz w:val="20"/>
        </w:rPr>
        <w:t xml:space="preserve"> Solo hay cuatro columnas; falta la de actividades 'En clase'.</w:t>
      </w:r>
    </w:p>
    <w:p>
      <w:pPr>
        <w:numPr>
          <w:ilvl w:val="0"/>
          <w:numId w:val="933"/>
        </w:numPr>
        <w:spacing w:before="0" w:after="160" w:line="240" w:lineRule="auto"/>
        <w:jc w:val="both"/>
      </w:pPr>
      <w:r>
        <w:rPr>
          <w:rFonts w:ascii="Century Gothic" w:hAnsi="Century Gothic" w:cs="Century Gothic" w:eastAsia="Century Gothic"/>
          <w:b/>
          <w:i w:val="0"/>
          <w:sz w:val="20"/>
        </w:rPr>
        <w:t>Incoherencia interna, Estrategias de evaluación y criterios de calificación.</w:t>
      </w:r>
      <w:r>
        <w:rPr>
          <w:rFonts w:ascii="Century Gothic" w:hAnsi="Century Gothic" w:cs="Century Gothic" w:eastAsia="Century Gothic"/>
          <w:b w:val="0"/>
          <w:i w:val="0"/>
          <w:sz w:val="20"/>
        </w:rPr>
        <w:t xml:space="preserve"> La evaluación sumativa menciona controles de lectura y asistencia, exámenes parciales y examen final, lo que no concuerda con la calificación por productos y rúbricas.</w:t>
      </w:r>
    </w:p>
    <w:p>
      <w:pPr>
        <w:numPr>
          <w:ilvl w:val="0"/>
          <w:numId w:val="933"/>
        </w:numPr>
        <w:spacing w:before="0" w:after="160" w:line="240" w:lineRule="auto"/>
        <w:jc w:val="both"/>
      </w:pPr>
      <w:r>
        <w:rPr>
          <w:rFonts w:ascii="Century Gothic" w:hAnsi="Century Gothic" w:cs="Century Gothic" w:eastAsia="Century Gothic"/>
          <w:b/>
          <w:i w:val="0"/>
          <w:sz w:val="20"/>
        </w:rPr>
        <w:t>Incoherencia interna, E2 (criterio 2, Producto 7).</w:t>
      </w:r>
      <w:r>
        <w:rPr>
          <w:rFonts w:ascii="Century Gothic" w:hAnsi="Century Gothic" w:cs="Century Gothic" w:eastAsia="Century Gothic"/>
          <w:b w:val="0"/>
          <w:i w:val="0"/>
          <w:sz w:val="20"/>
        </w:rPr>
        <w:t xml:space="preserve"> La evaluación de amenazas a la independencia y salvaguardas según el Código del IESBA repite lo que dicta CPA-406 Ética e Independencia Profesional en el mismo año. El control interno (componentes, diseño e implementación) de E4 se superpone con CPA-408.</w:t>
      </w:r>
    </w:p>
    <w:p>
      <w:pPr>
        <w:numPr>
          <w:ilvl w:val="0"/>
          <w:numId w:val="933"/>
        </w:numPr>
        <w:spacing w:before="0" w:after="200" w:line="240" w:lineRule="auto"/>
        <w:jc w:val="both"/>
      </w:pPr>
      <w:r>
        <w:rPr>
          <w:rFonts w:ascii="Century Gothic" w:hAnsi="Century Gothic" w:cs="Century Gothic" w:eastAsia="Century Gothic"/>
          <w:b/>
          <w:i w:val="0"/>
          <w:sz w:val="20"/>
        </w:rPr>
        <w:t>Incoherencia interna, Evidencias de conocimiento.</w:t>
      </w:r>
      <w:r>
        <w:rPr>
          <w:rFonts w:ascii="Century Gothic" w:hAnsi="Century Gothic" w:cs="Century Gothic" w:eastAsia="Century Gothic"/>
          <w:b w:val="0"/>
          <w:i w:val="0"/>
          <w:sz w:val="20"/>
        </w:rPr>
        <w:t xml:space="preserve"> Los contenidos no están numerados, a diferencia del formato de la guía.</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no explica cambios de nombre ni otras decisiones: solo menciona un consenso general sobre denominación, carga horaria e itinerario. Ubica la asignatura en 'Quinto Año', aunque la malla y el itinerario la sitúan en cuarto año. Escribe 'Auditoria' sin tilde. Participaron los cinco docentes.</w:t>
      </w:r>
    </w:p>
    <w:p>
      <w:pPr>
        <w:spacing w:before="0" w:after="200" w:line="240" w:lineRule="auto"/>
        <w:jc w:val="both"/>
      </w:pPr>
      <w:r>
        <w:rPr>
          <w:rFonts w:ascii="Century Gothic" w:hAnsi="Century Gothic" w:cs="Century Gothic" w:eastAsia="Century Gothic"/>
          <w:b w:val="0"/>
          <w:i w:val="0"/>
          <w:sz w:val="20"/>
        </w:rPr>
        <w:t>Se aplicaron 12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7.32</w:t>
        <w:tab/>
      </w:r>
      <w:r>
        <w:rPr>
          <w:rFonts w:ascii="Century Gothic" w:hAnsi="Century Gothic" w:cs="Century Gothic" w:eastAsia="Century Gothic"/>
          <w:b/>
          <w:i w:val="0"/>
          <w:sz w:val="22"/>
        </w:rPr>
        <w:t>CPA-408 Auditoría Interna, Control Interno y Gestión de Riesgos</w:t>
      </w:r>
    </w:p>
    <w:p>
      <w:pPr>
        <w:spacing w:before="0" w:after="200" w:line="240" w:lineRule="auto"/>
        <w:jc w:val="both"/>
      </w:pPr>
      <w:r>
        <w:rPr>
          <w:rFonts w:ascii="Century Gothic" w:hAnsi="Century Gothic" w:cs="Century Gothic" w:eastAsia="Century Gothic"/>
          <w:b w:val="0"/>
          <w:i w:val="0"/>
          <w:sz w:val="20"/>
        </w:rPr>
        <w:t xml:space="preserve">Archivo: CPA-408 Auditoria Interna.docx. Cumple 14 de 23 controles, 4 de forma parcial y no cumple 5.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Es un itinerario completo y con normativa actualizada: Normas Globales de Auditoría Interna 2024, COSO 2013, COSO ERM 2017, ISO 31000:2018, Tres Líneas 2020 y APS. Tiene buenos recursos tecnológicos y extensión universitaria. Debe ajustar el nombre a la malla o justificarlo, completar las rúbricas a tres criterios y depurar los circunstanciales, que en buena parte se dictan en otras asignaturas. Para cuarto año abusa de verbos como 'comprende', 'conoce' y 'describe', incluso en la unidad de competencia y en E4 a E6.</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Datos generales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nombre «Auditoría Interna, Control Interno, Gestión de Riesgos y Gobierno Corporativo» frente a «Auditoría Interna, Control Interno y Gestión de Riesgos» en la malla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16, 16, 32, 16,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Rúbricas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 rúbricas sin exactamente tres criterios; 24 rúbricas con niveles distintos de 1–50, 51–80 y 81–100 (p. ej., «Criterio Insuficiente (0–50) Suficiente (51–80) Destacado (81–100)»)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(2 inversiones); 4 de 20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(10), «a través» (2)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algunos textos en otra fuente (Inter-Regular)</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34"/>
        </w:numPr>
        <w:spacing w:before="0" w:after="160" w:line="240" w:lineRule="auto"/>
        <w:jc w:val="both"/>
      </w:pPr>
      <w:r>
        <w:rPr>
          <w:rFonts w:ascii="Century Gothic" w:hAnsi="Century Gothic" w:cs="Century Gothic" w:eastAsia="Century Gothic"/>
          <w:b/>
          <w:i w:val="0"/>
          <w:sz w:val="20"/>
        </w:rPr>
        <w:t>Coherencia, E6, criterio 1, evidencia 1.1 / rúbrica del Producto 21.</w:t>
      </w:r>
      <w:r>
        <w:rPr>
          <w:rFonts w:ascii="Century Gothic" w:hAnsi="Century Gothic" w:cs="Century Gothic" w:eastAsia="Century Gothic"/>
          <w:b w:val="0"/>
          <w:i w:val="0"/>
          <w:sz w:val="20"/>
        </w:rPr>
        <w:t xml:space="preserve"> La evidencia pide objetivo, objeto, alcance, metodología y programa, pero la rúbrica evalúa 'Riesgo y materialidad', ausentes de la evidencia y poco propios de la auditoría interna. Sustituir el criterio por uno sobre objetivo, alcance y metodología del memorándum.</w:t>
      </w:r>
    </w:p>
    <w:p>
      <w:pPr>
        <w:numPr>
          <w:ilvl w:val="0"/>
          <w:numId w:val="934"/>
        </w:numPr>
        <w:spacing w:before="0" w:after="160" w:line="240" w:lineRule="auto"/>
        <w:jc w:val="both"/>
      </w:pPr>
      <w:r>
        <w:rPr>
          <w:rFonts w:ascii="Century Gothic" w:hAnsi="Century Gothic" w:cs="Century Gothic" w:eastAsia="Century Gothic"/>
          <w:b/>
          <w:i w:val="0"/>
          <w:sz w:val="20"/>
        </w:rPr>
        <w:t>Coherencia, E3, criterio 2, evidencia 2.2 / Producto 12.</w:t>
      </w:r>
      <w:r>
        <w:rPr>
          <w:rFonts w:ascii="Century Gothic" w:hAnsi="Century Gothic" w:cs="Century Gothic" w:eastAsia="Century Gothic"/>
          <w:b w:val="0"/>
          <w:i w:val="0"/>
          <w:sz w:val="20"/>
        </w:rPr>
        <w:t xml:space="preserve"> La evidencia exige aplicar IA, Big Data, Machine Learning, RPA y Blockchain, pero la rúbrica del Producto 12 no tiene ningún criterio que evalúe ese uso. Añadir un criterio sobre la herramienta empleada y la verificación de sus resultados, o limitar la evidencia a lo que se evalúa.</w:t>
      </w:r>
    </w:p>
    <w:p>
      <w:pPr>
        <w:numPr>
          <w:ilvl w:val="0"/>
          <w:numId w:val="934"/>
        </w:numPr>
        <w:spacing w:before="0" w:after="160" w:line="240" w:lineRule="auto"/>
        <w:jc w:val="both"/>
      </w:pPr>
      <w:r>
        <w:rPr>
          <w:rFonts w:ascii="Century Gothic" w:hAnsi="Century Gothic" w:cs="Century Gothic" w:eastAsia="Century Gothic"/>
          <w:b/>
          <w:i w:val="0"/>
          <w:sz w:val="20"/>
        </w:rPr>
        <w:t>Coherencia, E4, criterio 1, evidencia 1.2 / Producto 14.</w:t>
      </w:r>
      <w:r>
        <w:rPr>
          <w:rFonts w:ascii="Century Gothic" w:hAnsi="Century Gothic" w:cs="Century Gothic" w:eastAsia="Century Gothic"/>
          <w:b w:val="0"/>
          <w:i w:val="0"/>
          <w:sz w:val="20"/>
        </w:rPr>
        <w:t xml:space="preserve"> La evidencia trata solo de las funciones de aseguramiento, pero el producto y la rúbrica incluyen también el asesoramiento. Incluir el asesoramiento en la evidencia 1.2.</w:t>
      </w:r>
    </w:p>
    <w:p>
      <w:pPr>
        <w:numPr>
          <w:ilvl w:val="0"/>
          <w:numId w:val="934"/>
        </w:numPr>
        <w:spacing w:before="0" w:after="160" w:line="240" w:lineRule="auto"/>
        <w:jc w:val="both"/>
      </w:pPr>
      <w:r>
        <w:rPr>
          <w:rFonts w:ascii="Century Gothic" w:hAnsi="Century Gothic" w:cs="Century Gothic" w:eastAsia="Century Gothic"/>
          <w:b/>
          <w:i w:val="0"/>
          <w:sz w:val="20"/>
        </w:rPr>
        <w:t>Coherencia, Rúbricas de los Productos 1 a 24.</w:t>
      </w:r>
      <w:r>
        <w:rPr>
          <w:rFonts w:ascii="Century Gothic" w:hAnsi="Century Gothic" w:cs="Century Gothic" w:eastAsia="Century Gothic"/>
          <w:b w:val="0"/>
          <w:i w:val="0"/>
          <w:sz w:val="20"/>
        </w:rPr>
        <w:t xml:space="preserve"> La mayoría de las rúbricas tiene dos criterios, aunque los criterios de calificación dicen 'tres criterios'; solo los Productos 4, 8 y 17 tienen tres. Completar un tercer criterio en cada rúbrica (por ejemplo, actitudinal o de presentación).</w:t>
      </w:r>
    </w:p>
    <w:p>
      <w:pPr>
        <w:numPr>
          <w:ilvl w:val="0"/>
          <w:numId w:val="934"/>
        </w:numPr>
        <w:spacing w:before="0" w:after="160" w:line="240" w:lineRule="auto"/>
        <w:jc w:val="both"/>
      </w:pPr>
      <w:r>
        <w:rPr>
          <w:rFonts w:ascii="Century Gothic" w:hAnsi="Century Gothic" w:cs="Century Gothic" w:eastAsia="Century Gothic"/>
          <w:b/>
          <w:i w:val="0"/>
          <w:sz w:val="20"/>
        </w:rPr>
        <w:t>Contenido técnico, Recursos para el aprendizaje.</w:t>
      </w:r>
      <w:r>
        <w:rPr>
          <w:rFonts w:ascii="Century Gothic" w:hAnsi="Century Gothic" w:cs="Century Gothic" w:eastAsia="Century Gothic"/>
          <w:b w:val="0"/>
          <w:i w:val="0"/>
          <w:sz w:val="20"/>
        </w:rPr>
        <w:t xml:space="preserve"> 'Código Internacional de Ética para Contadores Profesionales' es el título anterior; el vigente es 'Código Internacional de Ética para Profesionales de la Contabilidad'. Actualizar el título.</w:t>
      </w:r>
    </w:p>
    <w:p>
      <w:pPr>
        <w:numPr>
          <w:ilvl w:val="0"/>
          <w:numId w:val="934"/>
        </w:numPr>
        <w:spacing w:before="0" w:after="160" w:line="240" w:lineRule="auto"/>
        <w:jc w:val="both"/>
      </w:pPr>
      <w:r>
        <w:rPr>
          <w:rFonts w:ascii="Century Gothic" w:hAnsi="Century Gothic" w:cs="Century Gothic" w:eastAsia="Century Gothic"/>
          <w:b/>
          <w:i w:val="0"/>
          <w:sz w:val="20"/>
        </w:rPr>
        <w:t>Marcas de saber, E1 a E3, contenidos con (C, A).</w:t>
      </w:r>
      <w:r>
        <w:rPr>
          <w:rFonts w:ascii="Century Gothic" w:hAnsi="Century Gothic" w:cs="Century Gothic" w:eastAsia="Century Gothic"/>
          <w:b w:val="0"/>
          <w:i w:val="0"/>
          <w:sz w:val="20"/>
        </w:rPr>
        <w:t xml:space="preserve"> Llevan (A) contenidos solo descriptivos como 'Gestión institucional, desempeño y generación de valor', 'Principios y buenas prácticas de Gobierno Corporativo', 'Dirección estratégica, supervisión y rendición de cuentas' y 'Cultura de riesgos', sin conducta observable.</w:t>
      </w:r>
    </w:p>
    <w:p>
      <w:pPr>
        <w:numPr>
          <w:ilvl w:val="0"/>
          <w:numId w:val="934"/>
        </w:numPr>
        <w:spacing w:before="0" w:after="160" w:line="240" w:lineRule="auto"/>
        <w:jc w:val="both"/>
      </w:pPr>
      <w:r>
        <w:rPr>
          <w:rFonts w:ascii="Century Gothic" w:hAnsi="Century Gothic" w:cs="Century Gothic" w:eastAsia="Century Gothic"/>
          <w:b/>
          <w:i w:val="0"/>
          <w:sz w:val="20"/>
        </w:rPr>
        <w:t>Marcas de saber, E3, 'Tecnologías emergentes aplicadas a la gestión de riesgos...' (C, T); E5, 'Elaboración, aprobación y seguimiento del POA' (P, T).</w:t>
      </w:r>
      <w:r>
        <w:rPr>
          <w:rFonts w:ascii="Century Gothic" w:hAnsi="Century Gothic" w:cs="Century Gothic" w:eastAsia="Century Gothic"/>
          <w:b w:val="0"/>
          <w:i w:val="0"/>
          <w:sz w:val="20"/>
        </w:rPr>
        <w:t xml:space="preserve"> El primero solo menciona las tecnologías; el segundo no indica qué herramienta se opera.</w:t>
      </w:r>
    </w:p>
    <w:p>
      <w:pPr>
        <w:numPr>
          <w:ilvl w:val="0"/>
          <w:numId w:val="934"/>
        </w:numPr>
        <w:spacing w:before="0" w:after="160" w:line="240" w:lineRule="auto"/>
        <w:jc w:val="both"/>
      </w:pPr>
      <w:r>
        <w:rPr>
          <w:rFonts w:ascii="Century Gothic" w:hAnsi="Century Gothic" w:cs="Century Gothic" w:eastAsia="Century Gothic"/>
          <w:b/>
          <w:i w:val="0"/>
          <w:sz w:val="20"/>
        </w:rPr>
        <w:t>Circunstanciales, E1, 'Teorías y escuelas del pensamiento organizacional'; E2, 'Teorías del control organizacional...'; E3, 'Teorías ... del comportamiento organizacional'.</w:t>
      </w:r>
      <w:r>
        <w:rPr>
          <w:rFonts w:ascii="Century Gothic" w:hAnsi="Century Gothic" w:cs="Century Gothic" w:eastAsia="Century Gothic"/>
          <w:b w:val="0"/>
          <w:i w:val="0"/>
          <w:sz w:val="20"/>
        </w:rPr>
        <w:t xml:space="preserve"> Se dictan en ADM-101 Administración General y ADM-301 Desarrollo Organizacional y Comportamiento Organizacional.</w:t>
      </w:r>
    </w:p>
    <w:p>
      <w:pPr>
        <w:numPr>
          <w:ilvl w:val="0"/>
          <w:numId w:val="934"/>
        </w:numPr>
        <w:spacing w:before="0" w:after="160" w:line="240" w:lineRule="auto"/>
        <w:jc w:val="both"/>
      </w:pPr>
      <w:r>
        <w:rPr>
          <w:rFonts w:ascii="Century Gothic" w:hAnsi="Century Gothic" w:cs="Century Gothic" w:eastAsia="Century Gothic"/>
          <w:b/>
          <w:i w:val="0"/>
          <w:sz w:val="20"/>
        </w:rPr>
        <w:t>Circunstanciales, E2, 'Metodologías de muestreo aplicadas a las pruebas de cumplimiento'.</w:t>
      </w:r>
      <w:r>
        <w:rPr>
          <w:rFonts w:ascii="Century Gothic" w:hAnsi="Century Gothic" w:cs="Century Gothic" w:eastAsia="Century Gothic"/>
          <w:b w:val="0"/>
          <w:i w:val="0"/>
          <w:sz w:val="20"/>
        </w:rPr>
        <w:t xml:space="preserve"> El muestreo se dicta en MAT-301 Estadística y en CPA-407 Auditoría Financiera.</w:t>
      </w:r>
    </w:p>
    <w:p>
      <w:pPr>
        <w:numPr>
          <w:ilvl w:val="0"/>
          <w:numId w:val="934"/>
        </w:numPr>
        <w:spacing w:before="0" w:after="160" w:line="240" w:lineRule="auto"/>
        <w:jc w:val="both"/>
      </w:pPr>
      <w:r>
        <w:rPr>
          <w:rFonts w:ascii="Century Gothic" w:hAnsi="Century Gothic" w:cs="Century Gothic" w:eastAsia="Century Gothic"/>
          <w:b/>
          <w:i w:val="0"/>
          <w:sz w:val="20"/>
        </w:rPr>
        <w:t>Circunstanciales, E3, 'Nociones de ciberseguridad...' y 'Metodologías y herramientas tecnológicas... IA, Big Data, ML, RPA y Blockchain'.</w:t>
      </w:r>
      <w:r>
        <w:rPr>
          <w:rFonts w:ascii="Century Gothic" w:hAnsi="Century Gothic" w:cs="Century Gothic" w:eastAsia="Century Gothic"/>
          <w:b w:val="0"/>
          <w:i w:val="0"/>
          <w:sz w:val="20"/>
        </w:rPr>
        <w:t xml:space="preserve"> Se dictan en CPA-505 Auditoría Digital, Ciberseguridad y Tecnologías Emergentes; el segundo repite además un contenido del mismo elemento.</w:t>
      </w:r>
    </w:p>
    <w:p>
      <w:pPr>
        <w:numPr>
          <w:ilvl w:val="0"/>
          <w:numId w:val="934"/>
        </w:numPr>
        <w:spacing w:before="0" w:after="160" w:line="240" w:lineRule="auto"/>
        <w:jc w:val="both"/>
      </w:pPr>
      <w:r>
        <w:rPr>
          <w:rFonts w:ascii="Century Gothic" w:hAnsi="Century Gothic" w:cs="Century Gothic" w:eastAsia="Century Gothic"/>
          <w:b/>
          <w:i w:val="0"/>
          <w:sz w:val="20"/>
        </w:rPr>
        <w:t>Circunstanciales, E2 y E3, marcos COSO, COCO, COSO-ERM e ISO 31000.</w:t>
      </w:r>
      <w:r>
        <w:rPr>
          <w:rFonts w:ascii="Century Gothic" w:hAnsi="Century Gothic" w:cs="Century Gothic" w:eastAsia="Century Gothic"/>
          <w:b w:val="0"/>
          <w:i w:val="0"/>
          <w:sz w:val="20"/>
        </w:rPr>
        <w:t xml:space="preserve"> Repiten como circunstanciales los contenidos centrales de sus propios elementos.</w:t>
      </w:r>
    </w:p>
    <w:p>
      <w:pPr>
        <w:numPr>
          <w:ilvl w:val="0"/>
          <w:numId w:val="934"/>
        </w:numPr>
        <w:spacing w:before="0" w:after="160" w:line="240" w:lineRule="auto"/>
        <w:jc w:val="both"/>
      </w:pPr>
      <w:r>
        <w:rPr>
          <w:rFonts w:ascii="Century Gothic" w:hAnsi="Century Gothic" w:cs="Century Gothic" w:eastAsia="Century Gothic"/>
          <w:b/>
          <w:i w:val="0"/>
          <w:sz w:val="20"/>
        </w:rPr>
        <w:t>Circunstanciales, E4, 'Ley N° 1178 y el Régimen de Responsabilidad por la Función Pública'; E6, 'Nociones sobre auditoría: técnicas, procedimientos, referenciación, marcas y papeles de trabajo'.</w:t>
      </w:r>
      <w:r>
        <w:rPr>
          <w:rFonts w:ascii="Century Gothic" w:hAnsi="Century Gothic" w:cs="Century Gothic" w:eastAsia="Century Gothic"/>
          <w:b w:val="0"/>
          <w:i w:val="0"/>
          <w:sz w:val="20"/>
        </w:rPr>
        <w:t xml:space="preserve"> Se dictan en CPA-304 y CPA-504 Auditoría Gubernamental, y en CPA-407 Auditoría Financiera, respectivamente.</w:t>
      </w:r>
    </w:p>
    <w:p>
      <w:pPr>
        <w:numPr>
          <w:ilvl w:val="0"/>
          <w:numId w:val="934"/>
        </w:numPr>
        <w:spacing w:before="0" w:after="160" w:line="240" w:lineRule="auto"/>
        <w:jc w:val="both"/>
      </w:pPr>
      <w:r>
        <w:rPr>
          <w:rFonts w:ascii="Century Gothic" w:hAnsi="Century Gothic" w:cs="Century Gothic" w:eastAsia="Century Gothic"/>
          <w:b/>
          <w:i w:val="0"/>
          <w:sz w:val="20"/>
        </w:rPr>
        <w:t>Incoherencia interna, Datos generales.</w:t>
      </w:r>
      <w:r>
        <w:rPr>
          <w:rFonts w:ascii="Century Gothic" w:hAnsi="Century Gothic" w:cs="Century Gothic" w:eastAsia="Century Gothic"/>
          <w:b w:val="0"/>
          <w:i w:val="0"/>
          <w:sz w:val="20"/>
        </w:rPr>
        <w:t xml:space="preserve"> El nombre añade 'y Gobierno Corporativo' respecto de la malla ('Auditoría Interna, Control Interno y Gestión de Riesgos'), y el informe de la subcomisión usa el nombre de la malla.</w:t>
      </w:r>
    </w:p>
    <w:p>
      <w:pPr>
        <w:numPr>
          <w:ilvl w:val="0"/>
          <w:numId w:val="934"/>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160 y TOTAL 240, frente a las 160 h/año de la malla.</w:t>
      </w:r>
    </w:p>
    <w:p>
      <w:pPr>
        <w:numPr>
          <w:ilvl w:val="0"/>
          <w:numId w:val="934"/>
        </w:numPr>
        <w:spacing w:before="0" w:after="160" w:line="240" w:lineRule="auto"/>
        <w:jc w:val="both"/>
      </w:pPr>
      <w:r>
        <w:rPr>
          <w:rFonts w:ascii="Century Gothic" w:hAnsi="Century Gothic" w:cs="Century Gothic" w:eastAsia="Century Gothic"/>
          <w:b/>
          <w:i w:val="0"/>
          <w:sz w:val="20"/>
        </w:rPr>
        <w:t>Incoherencia interna, Rúbricas y criterios de calificación.</w:t>
      </w:r>
      <w:r>
        <w:rPr>
          <w:rFonts w:ascii="Century Gothic" w:hAnsi="Century Gothic" w:cs="Century Gothic" w:eastAsia="Century Gothic"/>
          <w:b w:val="0"/>
          <w:i w:val="0"/>
          <w:sz w:val="20"/>
        </w:rPr>
        <w:t xml:space="preserve"> Las rúbricas usan 'Insuficiente (0–50)', mientras que los criterios de calificación y la guía dicen 1 a 50. Los criterios de calificación dicen además que los 'tres criterios' corresponden a cuatro saberes (conocimiento, procedimiento, actitud y tecnología).</w:t>
      </w:r>
    </w:p>
    <w:p>
      <w:pPr>
        <w:numPr>
          <w:ilvl w:val="0"/>
          <w:numId w:val="934"/>
        </w:numPr>
        <w:spacing w:before="0" w:after="200" w:line="240" w:lineRule="auto"/>
        <w:jc w:val="both"/>
      </w:pPr>
      <w:r>
        <w:rPr>
          <w:rFonts w:ascii="Century Gothic" w:hAnsi="Century Gothic" w:cs="Century Gothic" w:eastAsia="Century Gothic"/>
          <w:b/>
          <w:i w:val="0"/>
          <w:sz w:val="20"/>
        </w:rPr>
        <w:t>Incoherencia interna, E1 y E2 frente a CPA-501.</w:t>
      </w:r>
      <w:r>
        <w:rPr>
          <w:rFonts w:ascii="Century Gothic" w:hAnsi="Century Gothic" w:cs="Century Gothic" w:eastAsia="Century Gothic"/>
          <w:b w:val="0"/>
          <w:i w:val="0"/>
          <w:sz w:val="20"/>
        </w:rPr>
        <w:t xml:space="preserve"> FODA, PESTEL, Porter, el Modelo de las Tres Líneas, gobierno corporativo, COSO e ISO 31000 se repiten casi igual en CPA-501 Auditoría Operativa.</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titula la asignatura 'Auditoría Interna, Control Interno y Gestión de Riesgos', como la malla, y no explica que el itinerario añada 'y Gobierno Corporativo'. Solo menciona un consenso general sobre 'la denominación de la asignatura, su carga horaria y su itinerario formativo'. Ubica la asignatura en cuarto año, en lo que coincide con la malla, y participaron los cuatro docentes.</w:t>
      </w:r>
    </w:p>
    <w:p>
      <w:pPr>
        <w:spacing w:before="0" w:after="200" w:line="240" w:lineRule="auto"/>
        <w:jc w:val="both"/>
      </w:pPr>
      <w:r>
        <w:rPr>
          <w:rFonts w:ascii="Century Gothic" w:hAnsi="Century Gothic" w:cs="Century Gothic" w:eastAsia="Century Gothic"/>
          <w:b w:val="0"/>
          <w:i w:val="0"/>
          <w:sz w:val="20"/>
        </w:rPr>
        <w:t>Se aplicaron 13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7.33</w:t>
        <w:tab/>
      </w:r>
      <w:r>
        <w:rPr>
          <w:rFonts w:ascii="Century Gothic" w:hAnsi="Century Gothic" w:cs="Century Gothic" w:eastAsia="Century Gothic"/>
          <w:b/>
          <w:i w:val="0"/>
          <w:sz w:val="22"/>
        </w:rPr>
        <w:t>MAT-401 Matemáticas Actuariales y Técnicas Financieras</w:t>
      </w:r>
    </w:p>
    <w:p>
      <w:pPr>
        <w:spacing w:before="0" w:after="200" w:line="240" w:lineRule="auto"/>
        <w:jc w:val="both"/>
      </w:pPr>
      <w:r>
        <w:rPr>
          <w:rFonts w:ascii="Century Gothic" w:hAnsi="Century Gothic" w:cs="Century Gothic" w:eastAsia="Century Gothic"/>
          <w:b w:val="0"/>
          <w:i w:val="0"/>
          <w:sz w:val="20"/>
        </w:rPr>
        <w:t xml:space="preserve">Archivo: MAT-401 Matematicas Actuariales y Tecnicas Financieras.docx. Cumple 17 de 23 controles, 4 de forma parcial y no cumple 2.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Los elementos 1 a 4 están bien construidos y son técnicamente correctos: funciones biométricas, rentas contingentes, primas y reservas, el SIP según la Ley 065, la APS vigente y el seguro paramétrico, con rúbricas específicas. El elemento 5 está desarticulado: sus rúbricas no corresponden a sus productos y evalúa opciones y cadenas de Márkov que no tienen contenidos. Las marcas (A) y (C, T) están mal usadas y algunos circunstanciales repiten DER-102 y CPA-403.</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(80, 10, 10, 10, 10, 120)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 de 12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35"/>
        </w:numPr>
        <w:spacing w:before="0" w:after="160" w:line="240" w:lineRule="auto"/>
        <w:jc w:val="both"/>
      </w:pPr>
      <w:r>
        <w:rPr>
          <w:rFonts w:ascii="Century Gothic" w:hAnsi="Century Gothic" w:cs="Century Gothic" w:eastAsia="Century Gothic"/>
          <w:b/>
          <w:i w:val="0"/>
          <w:sz w:val="20"/>
        </w:rPr>
        <w:t>Coherencia, E5, enunciado / contenidos.</w:t>
      </w:r>
      <w:r>
        <w:rPr>
          <w:rFonts w:ascii="Century Gothic" w:hAnsi="Century Gothic" w:cs="Century Gothic" w:eastAsia="Century Gothic"/>
          <w:b w:val="0"/>
          <w:i w:val="0"/>
          <w:sz w:val="20"/>
        </w:rPr>
        <w:t xml:space="preserve"> El elemento incluye cadenas de Márkov, futuros y opciones, pero los contenidos solo cubren la sensibilidad, los árboles de decisión, Monte Carlo, los forwards y los swaps; Márkov solo aparece como circunstancial. Añadir los contenidos de cadenas de Márkov, futuros y opciones, o retirarlos del elemento.</w:t>
      </w:r>
    </w:p>
    <w:p>
      <w:pPr>
        <w:numPr>
          <w:ilvl w:val="0"/>
          <w:numId w:val="935"/>
        </w:numPr>
        <w:spacing w:before="0" w:after="160" w:line="240" w:lineRule="auto"/>
        <w:jc w:val="both"/>
      </w:pPr>
      <w:r>
        <w:rPr>
          <w:rFonts w:ascii="Century Gothic" w:hAnsi="Century Gothic" w:cs="Century Gothic" w:eastAsia="Century Gothic"/>
          <w:b/>
          <w:i w:val="0"/>
          <w:sz w:val="20"/>
        </w:rPr>
        <w:t>Coherencia, E5, criterio 1 / Producto 18 / rúbrica.</w:t>
      </w:r>
      <w:r>
        <w:rPr>
          <w:rFonts w:ascii="Century Gothic" w:hAnsi="Century Gothic" w:cs="Century Gothic" w:eastAsia="Century Gothic"/>
          <w:b w:val="0"/>
          <w:i w:val="0"/>
          <w:sz w:val="20"/>
        </w:rPr>
        <w:t xml:space="preserve"> El Producto 18 es una simulación de Monte Carlo aplicada a la matemática actuarial, pero su rúbrica evalúa una cadena de Márkov de cobranza (estados, probabilidades de transición, estado estable, cartera incobrable). Redactar la rúbrica sobre la simulación actuarial o cambiar el producto.</w:t>
      </w:r>
    </w:p>
    <w:p>
      <w:pPr>
        <w:numPr>
          <w:ilvl w:val="0"/>
          <w:numId w:val="935"/>
        </w:numPr>
        <w:spacing w:before="0" w:after="160" w:line="240" w:lineRule="auto"/>
        <w:jc w:val="both"/>
      </w:pPr>
      <w:r>
        <w:rPr>
          <w:rFonts w:ascii="Century Gothic" w:hAnsi="Century Gothic" w:cs="Century Gothic" w:eastAsia="Century Gothic"/>
          <w:b/>
          <w:i w:val="0"/>
          <w:sz w:val="20"/>
        </w:rPr>
        <w:t>Coherencia, E5, criterio 2 / Productos 19 y 20.</w:t>
      </w:r>
      <w:r>
        <w:rPr>
          <w:rFonts w:ascii="Century Gothic" w:hAnsi="Century Gothic" w:cs="Century Gothic" w:eastAsia="Century Gothic"/>
          <w:b w:val="0"/>
          <w:i w:val="0"/>
          <w:sz w:val="20"/>
        </w:rPr>
        <w:t xml:space="preserve"> El Producto 19 ('requisitos para generar un derivado') se evalúa con criterios de cobertura de riesgo. El Producto 20 ('beneficios y riesgos en derivados') aparece en la rúbrica como 'Informe de riesgos financieros' y evalúa opciones call y put y diagramas de pagos, que no están en los contenidos. Alinear títulos, productos y rúbricas, e incluir las opciones en los contenidos si se van a evaluar.</w:t>
      </w:r>
    </w:p>
    <w:p>
      <w:pPr>
        <w:numPr>
          <w:ilvl w:val="0"/>
          <w:numId w:val="935"/>
        </w:numPr>
        <w:spacing w:before="0" w:after="160" w:line="240" w:lineRule="auto"/>
        <w:jc w:val="both"/>
      </w:pPr>
      <w:r>
        <w:rPr>
          <w:rFonts w:ascii="Century Gothic" w:hAnsi="Century Gothic" w:cs="Century Gothic" w:eastAsia="Century Gothic"/>
          <w:b/>
          <w:i w:val="0"/>
          <w:sz w:val="20"/>
        </w:rPr>
        <w:t>Coherencia, E5, evidencias 1.1 y 1.2 / Productos 17 y 18.</w:t>
      </w:r>
      <w:r>
        <w:rPr>
          <w:rFonts w:ascii="Century Gothic" w:hAnsi="Century Gothic" w:cs="Century Gothic" w:eastAsia="Century Gothic"/>
          <w:b w:val="0"/>
          <w:i w:val="0"/>
          <w:sz w:val="20"/>
        </w:rPr>
        <w:t xml:space="preserve"> Las dos evidencias y sus productos son planillas de simulación casi idénticas; la 1.1, la 2.1 y la 2.2 no indican modalidad (en aula, en equipo). Diferenciar la 1.1 (por ejemplo, análisis de escenarios) e indicar la modalidad.</w:t>
      </w:r>
    </w:p>
    <w:p>
      <w:pPr>
        <w:numPr>
          <w:ilvl w:val="0"/>
          <w:numId w:val="935"/>
        </w:numPr>
        <w:spacing w:before="0" w:after="160" w:line="240" w:lineRule="auto"/>
        <w:jc w:val="both"/>
      </w:pPr>
      <w:r>
        <w:rPr>
          <w:rFonts w:ascii="Century Gothic" w:hAnsi="Century Gothic" w:cs="Century Gothic" w:eastAsia="Century Gothic"/>
          <w:b/>
          <w:i w:val="0"/>
          <w:sz w:val="20"/>
        </w:rPr>
        <w:t>Coherencia, E1, criterio 2 / evidencia 2.1.</w:t>
      </w:r>
      <w:r>
        <w:rPr>
          <w:rFonts w:ascii="Century Gothic" w:hAnsi="Century Gothic" w:cs="Century Gothic" w:eastAsia="Century Gothic"/>
          <w:b w:val="0"/>
          <w:i w:val="0"/>
          <w:sz w:val="20"/>
        </w:rPr>
        <w:t xml:space="preserve"> El criterio evalúa la mortalidad, la invalidez, la enfermedad y la nupcialidad como riesgos asegurables, pero la evidencia trabaja la mortalidad y la fertilidad; la fertilidad no es un riesgo asegurable y la invalidez y la enfermedad no se evidencian. Ajustar la evidencia a riesgos asegurables (mortalidad e invalidez).</w:t>
      </w:r>
    </w:p>
    <w:p>
      <w:pPr>
        <w:numPr>
          <w:ilvl w:val="0"/>
          <w:numId w:val="935"/>
        </w:numPr>
        <w:spacing w:before="0" w:after="160" w:line="240" w:lineRule="auto"/>
        <w:jc w:val="both"/>
      </w:pPr>
      <w:r>
        <w:rPr>
          <w:rFonts w:ascii="Century Gothic" w:hAnsi="Century Gothic" w:cs="Century Gothic" w:eastAsia="Century Gothic"/>
          <w:b/>
          <w:i w:val="0"/>
          <w:sz w:val="20"/>
        </w:rPr>
        <w:t>Contenido técnico, E4, contenidos y criterio 2.</w:t>
      </w:r>
      <w:r>
        <w:rPr>
          <w:rFonts w:ascii="Century Gothic" w:hAnsi="Century Gothic" w:cs="Century Gothic" w:eastAsia="Century Gothic"/>
          <w:b w:val="0"/>
          <w:i w:val="0"/>
          <w:sz w:val="20"/>
        </w:rPr>
        <w:t xml:space="preserve"> 'Distribución de probabilidad de siniestros: Causalidad, Independencia, Estabilidad, Masa, Homogeneidad' confunde los principios técnicos de asegurabilidad (requisitos de la cartera) con una distribución de probabilidad. La frecuencia y la severidad son lo que se modela con distribuciones.</w:t>
      </w:r>
    </w:p>
    <w:p>
      <w:pPr>
        <w:numPr>
          <w:ilvl w:val="0"/>
          <w:numId w:val="935"/>
        </w:numPr>
        <w:spacing w:before="0" w:after="160" w:line="240" w:lineRule="auto"/>
        <w:jc w:val="both"/>
      </w:pPr>
      <w:r>
        <w:rPr>
          <w:rFonts w:ascii="Century Gothic" w:hAnsi="Century Gothic" w:cs="Century Gothic" w:eastAsia="Century Gothic"/>
          <w:b/>
          <w:i w:val="0"/>
          <w:sz w:val="20"/>
        </w:rPr>
        <w:t>Contenido técnico, Bibliografía básica.</w:t>
      </w:r>
      <w:r>
        <w:rPr>
          <w:rFonts w:ascii="Century Gothic" w:hAnsi="Century Gothic" w:cs="Century Gothic" w:eastAsia="Century Gothic"/>
          <w:b w:val="0"/>
          <w:i w:val="0"/>
          <w:sz w:val="20"/>
        </w:rPr>
        <w:t xml:space="preserve"> 'Decretos reglamentarios.' es una referencia sin identificar y hay una entrada vacía; Blank y Tarquin (Ingeniería económica) y Nacif (Finanzas corporativas) no son bibliografía básica de matemáticas actuariales.</w:t>
      </w:r>
    </w:p>
    <w:p>
      <w:pPr>
        <w:numPr>
          <w:ilvl w:val="0"/>
          <w:numId w:val="935"/>
        </w:numPr>
        <w:spacing w:before="0" w:after="160" w:line="240" w:lineRule="auto"/>
        <w:jc w:val="both"/>
      </w:pPr>
      <w:r>
        <w:rPr>
          <w:rFonts w:ascii="Century Gothic" w:hAnsi="Century Gothic" w:cs="Century Gothic" w:eastAsia="Century Gothic"/>
          <w:b/>
          <w:i w:val="0"/>
          <w:sz w:val="20"/>
        </w:rPr>
        <w:t>Contenido técnico, E3, contenidos.</w:t>
      </w:r>
      <w:r>
        <w:rPr>
          <w:rFonts w:ascii="Century Gothic" w:hAnsi="Century Gothic" w:cs="Century Gothic" w:eastAsia="Century Gothic"/>
          <w:b w:val="0"/>
          <w:i w:val="0"/>
          <w:sz w:val="20"/>
        </w:rPr>
        <w:t xml:space="preserve"> Solo hay una 'Introducción conceptual a NIIF 17 y NIC 19', pero el criterio 2 exige valuar la obligación por beneficios conforme a la NIC 19 (método de la unidad de crédito proyectada), que no figura en los contenidos.</w:t>
      </w:r>
    </w:p>
    <w:p>
      <w:pPr>
        <w:numPr>
          <w:ilvl w:val="0"/>
          <w:numId w:val="935"/>
        </w:numPr>
        <w:spacing w:before="0" w:after="160" w:line="240" w:lineRule="auto"/>
        <w:jc w:val="both"/>
      </w:pPr>
      <w:r>
        <w:rPr>
          <w:rFonts w:ascii="Century Gothic" w:hAnsi="Century Gothic" w:cs="Century Gothic" w:eastAsia="Century Gothic"/>
          <w:b/>
          <w:i w:val="0"/>
          <w:sz w:val="20"/>
        </w:rPr>
        <w:t>Marcas de saber, E2 y E4, contenidos.</w:t>
      </w:r>
      <w:r>
        <w:rPr>
          <w:rFonts w:ascii="Century Gothic" w:hAnsi="Century Gothic" w:cs="Century Gothic" w:eastAsia="Century Gothic"/>
          <w:b w:val="0"/>
          <w:i w:val="0"/>
          <w:sz w:val="20"/>
        </w:rPr>
        <w:t xml:space="preserve"> Llevan (A) sin conducta actitudinal: 'Valores de conmutación. (C, A)', 'Rentas en progresiones aritméticas y geométricas. (C, A)' y 'Distribución de probabilidad de siniestros... (C, A)'.</w:t>
      </w:r>
    </w:p>
    <w:p>
      <w:pPr>
        <w:numPr>
          <w:ilvl w:val="0"/>
          <w:numId w:val="935"/>
        </w:numPr>
        <w:spacing w:before="0" w:after="160" w:line="240" w:lineRule="auto"/>
        <w:jc w:val="both"/>
      </w:pPr>
      <w:r>
        <w:rPr>
          <w:rFonts w:ascii="Century Gothic" w:hAnsi="Century Gothic" w:cs="Century Gothic" w:eastAsia="Century Gothic"/>
          <w:b/>
          <w:i w:val="0"/>
          <w:sz w:val="20"/>
        </w:rPr>
        <w:t>Marcas de saber, E2 y E3, contenidos.</w:t>
      </w:r>
      <w:r>
        <w:rPr>
          <w:rFonts w:ascii="Century Gothic" w:hAnsi="Century Gothic" w:cs="Century Gothic" w:eastAsia="Century Gothic"/>
          <w:b w:val="0"/>
          <w:i w:val="0"/>
          <w:sz w:val="20"/>
        </w:rPr>
        <w:t xml:space="preserve"> 'Aplicaciones de Excel para funciones biométricas. (C, T)', 'Aplicaciones de Excel para rentas contingentes. (C, T)' y 'Aplicaciones de Excel. (C, T)' deben ser (P, T), porque operan la herramienta.</w:t>
      </w:r>
    </w:p>
    <w:p>
      <w:pPr>
        <w:numPr>
          <w:ilvl w:val="0"/>
          <w:numId w:val="935"/>
        </w:numPr>
        <w:spacing w:before="0" w:after="160" w:line="240" w:lineRule="auto"/>
        <w:jc w:val="both"/>
      </w:pPr>
      <w:r>
        <w:rPr>
          <w:rFonts w:ascii="Century Gothic" w:hAnsi="Century Gothic" w:cs="Century Gothic" w:eastAsia="Century Gothic"/>
          <w:b/>
          <w:i w:val="0"/>
          <w:sz w:val="20"/>
        </w:rPr>
        <w:t>Marcas de saber, E1, E3 y E5, contenidos.</w:t>
      </w:r>
      <w:r>
        <w:rPr>
          <w:rFonts w:ascii="Century Gothic" w:hAnsi="Century Gothic" w:cs="Century Gothic" w:eastAsia="Century Gothic"/>
          <w:b w:val="0"/>
          <w:i w:val="0"/>
          <w:sz w:val="20"/>
        </w:rPr>
        <w:t xml:space="preserve"> Casi todos los contenidos son (C), incluso 'Árboles de decisión. (C)' y 'Simulaciones de Monte Carlo. (C)', aunque las evidencias los construyen y ejecutan.</w:t>
      </w:r>
    </w:p>
    <w:p>
      <w:pPr>
        <w:numPr>
          <w:ilvl w:val="0"/>
          <w:numId w:val="935"/>
        </w:numPr>
        <w:spacing w:before="0" w:after="160" w:line="240" w:lineRule="auto"/>
        <w:jc w:val="both"/>
      </w:pPr>
      <w:r>
        <w:rPr>
          <w:rFonts w:ascii="Century Gothic" w:hAnsi="Century Gothic" w:cs="Century Gothic" w:eastAsia="Century Gothic"/>
          <w:b/>
          <w:i w:val="0"/>
          <w:sz w:val="20"/>
        </w:rPr>
        <w:t>Circunstanciales, E3, conocimientos circunstanciales.</w:t>
      </w:r>
      <w:r>
        <w:rPr>
          <w:rFonts w:ascii="Century Gothic" w:hAnsi="Century Gothic" w:cs="Century Gothic" w:eastAsia="Century Gothic"/>
          <w:b w:val="0"/>
          <w:i w:val="0"/>
          <w:sz w:val="20"/>
        </w:rPr>
        <w:t xml:space="preserve"> La 'Previsión para indemnizaciones por tiempo de servicios ... conforme a la Ley General del Trabajo' se dicta en DER-102 (E4, cálculo de la indemnización y finiquito).</w:t>
      </w:r>
    </w:p>
    <w:p>
      <w:pPr>
        <w:numPr>
          <w:ilvl w:val="0"/>
          <w:numId w:val="935"/>
        </w:numPr>
        <w:spacing w:before="0" w:after="160" w:line="240" w:lineRule="auto"/>
        <w:jc w:val="both"/>
      </w:pPr>
      <w:r>
        <w:rPr>
          <w:rFonts w:ascii="Century Gothic" w:hAnsi="Century Gothic" w:cs="Century Gothic" w:eastAsia="Century Gothic"/>
          <w:b/>
          <w:i w:val="0"/>
          <w:sz w:val="20"/>
        </w:rPr>
        <w:t>Circunstanciales, E3, conocimientos circunstanciales.</w:t>
      </w:r>
      <w:r>
        <w:rPr>
          <w:rFonts w:ascii="Century Gothic" w:hAnsi="Century Gothic" w:cs="Century Gothic" w:eastAsia="Century Gothic"/>
          <w:b w:val="0"/>
          <w:i w:val="0"/>
          <w:sz w:val="20"/>
        </w:rPr>
        <w:t xml:space="preserve"> Las 'Reservas técnicas exigidas a las entidades aseguradoras ... reglamento emitido por la APS' se dictan en CPA-403 Contabilidad de Seguros.</w:t>
      </w:r>
    </w:p>
    <w:p>
      <w:pPr>
        <w:numPr>
          <w:ilvl w:val="0"/>
          <w:numId w:val="935"/>
        </w:numPr>
        <w:spacing w:before="0" w:after="160" w:line="240" w:lineRule="auto"/>
        <w:jc w:val="both"/>
      </w:pPr>
      <w:r>
        <w:rPr>
          <w:rFonts w:ascii="Century Gothic" w:hAnsi="Century Gothic" w:cs="Century Gothic" w:eastAsia="Century Gothic"/>
          <w:b/>
          <w:i w:val="0"/>
          <w:sz w:val="20"/>
        </w:rPr>
        <w:t>Circunstanciales, E4, conocimientos circunstanciales.</w:t>
      </w:r>
      <w:r>
        <w:rPr>
          <w:rFonts w:ascii="Century Gothic" w:hAnsi="Century Gothic" w:cs="Century Gothic" w:eastAsia="Century Gothic"/>
          <w:b w:val="0"/>
          <w:i w:val="0"/>
          <w:sz w:val="20"/>
        </w:rPr>
        <w:t xml:space="preserve"> El 'Sistema Integral de Pensiones de Bolivia regulado por la Ley N° 065' se trata en DER-102; aquí basta remitirse a esa asignatura.</w:t>
      </w:r>
    </w:p>
    <w:p>
      <w:pPr>
        <w:numPr>
          <w:ilvl w:val="0"/>
          <w:numId w:val="935"/>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Horas llenas (HP 80 + 40 = TOTAL 120) frente a la guía (en blanco) y a las 80 h/año de la malla.</w:t>
      </w:r>
    </w:p>
    <w:p>
      <w:pPr>
        <w:numPr>
          <w:ilvl w:val="0"/>
          <w:numId w:val="935"/>
        </w:numPr>
        <w:spacing w:before="0" w:after="160" w:line="240" w:lineRule="auto"/>
        <w:jc w:val="both"/>
      </w:pPr>
      <w:r>
        <w:rPr>
          <w:rFonts w:ascii="Century Gothic" w:hAnsi="Century Gothic" w:cs="Century Gothic" w:eastAsia="Century Gothic"/>
          <w:b/>
          <w:i w:val="0"/>
          <w:sz w:val="20"/>
        </w:rPr>
        <w:t>Incoherencia interna, E1 y E5.</w:t>
      </w:r>
      <w:r>
        <w:rPr>
          <w:rFonts w:ascii="Century Gothic" w:hAnsi="Century Gothic" w:cs="Century Gothic" w:eastAsia="Century Gothic"/>
          <w:b w:val="0"/>
          <w:i w:val="0"/>
          <w:sz w:val="20"/>
        </w:rPr>
        <w:t xml:space="preserve"> Los árboles de decisión y el valor esperado se repiten en el E1 (Tema 1) y en el E5 (Tema 8) del mismo itinerario.</w:t>
      </w:r>
    </w:p>
    <w:p>
      <w:pPr>
        <w:numPr>
          <w:ilvl w:val="0"/>
          <w:numId w:val="935"/>
        </w:numPr>
        <w:spacing w:before="0" w:after="160" w:line="240" w:lineRule="auto"/>
        <w:jc w:val="both"/>
      </w:pPr>
      <w:r>
        <w:rPr>
          <w:rFonts w:ascii="Century Gothic" w:hAnsi="Century Gothic" w:cs="Century Gothic" w:eastAsia="Century Gothic"/>
          <w:b/>
          <w:i w:val="0"/>
          <w:sz w:val="20"/>
        </w:rPr>
        <w:t>Incoherencia interna, Unidad de competencia.</w:t>
      </w:r>
      <w:r>
        <w:rPr>
          <w:rFonts w:ascii="Century Gothic" w:hAnsi="Century Gothic" w:cs="Century Gothic" w:eastAsia="Century Gothic"/>
          <w:b w:val="0"/>
          <w:i w:val="0"/>
          <w:sz w:val="20"/>
        </w:rPr>
        <w:t xml:space="preserve"> No incluye la gestión del riesgo con derivados ni las decisiones bajo riesgo del E5.</w:t>
      </w:r>
    </w:p>
    <w:p>
      <w:pPr>
        <w:numPr>
          <w:ilvl w:val="0"/>
          <w:numId w:val="935"/>
        </w:numPr>
        <w:spacing w:before="0" w:after="200" w:line="240" w:lineRule="auto"/>
        <w:jc w:val="both"/>
      </w:pPr>
      <w:r>
        <w:rPr>
          <w:rFonts w:ascii="Century Gothic" w:hAnsi="Century Gothic" w:cs="Century Gothic" w:eastAsia="Century Gothic"/>
          <w:b/>
          <w:i w:val="0"/>
          <w:sz w:val="20"/>
        </w:rPr>
        <w:t>Incoherencia interna, E5, criterio 2.</w:t>
      </w:r>
      <w:r>
        <w:rPr>
          <w:rFonts w:ascii="Century Gothic" w:hAnsi="Century Gothic" w:cs="Century Gothic" w:eastAsia="Century Gothic"/>
          <w:b w:val="0"/>
          <w:i w:val="0"/>
          <w:sz w:val="20"/>
        </w:rPr>
        <w:t xml:space="preserve"> 'Describe y emite juicio' es un verbo de nivel bajo para cuarto año y el criterio no termina en punto.</w:t>
      </w:r>
    </w:p>
    <w:p>
      <w:pPr>
        <w:spacing w:before="0" w:after="200" w:line="240" w:lineRule="auto"/>
        <w:jc w:val="both"/>
      </w:pPr>
      <w:r>
        <w:rPr>
          <w:rFonts w:ascii="Century Gothic" w:hAnsi="Century Gothic" w:cs="Century Gothic" w:eastAsia="Century Gothic"/>
          <w:b w:val="0"/>
          <w:i w:val="0"/>
          <w:sz w:val="20"/>
        </w:rPr>
        <w:t>Se aplicaron 5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7.34</w:t>
        <w:tab/>
      </w:r>
      <w:r>
        <w:rPr>
          <w:rFonts w:ascii="Century Gothic" w:hAnsi="Century Gothic" w:cs="Century Gothic" w:eastAsia="Century Gothic"/>
          <w:b/>
          <w:i w:val="0"/>
          <w:sz w:val="22"/>
        </w:rPr>
        <w:t>CPA-501 Auditoría Operativa</w:t>
      </w:r>
    </w:p>
    <w:p>
      <w:pPr>
        <w:spacing w:before="0" w:after="200" w:line="240" w:lineRule="auto"/>
        <w:jc w:val="both"/>
      </w:pPr>
      <w:r>
        <w:rPr>
          <w:rFonts w:ascii="Century Gothic" w:hAnsi="Century Gothic" w:cs="Century Gothic" w:eastAsia="Century Gothic"/>
          <w:b w:val="0"/>
          <w:i w:val="0"/>
          <w:sz w:val="20"/>
        </w:rPr>
        <w:t xml:space="preserve">Archivo: CPA-501 Auditoria Operativa.docx. Cumple 18 de 23 controles, 4 de forma parcial y no cumple 1.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La cadena de E1 y E4 es coherente y el enfoque de las 4 E con ISSAI 300/3000 y NIEA 3000 es pertinente. Sin embargo, E2 y E3 repiten en buena parte CPA-408, y E2 promete tecnología que no evalúa. Hay normas mal nombradas o superadas (NIEA 5000, IPPF, ISSAI 3100), la bibliografía es antigua y para quinto año abundan verbos como 'describe' y 'explica'.</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40, 10, 10, 40, 260)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16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36"/>
        </w:numPr>
        <w:spacing w:before="0" w:after="160" w:line="240" w:lineRule="auto"/>
        <w:jc w:val="both"/>
      </w:pPr>
      <w:r>
        <w:rPr>
          <w:rFonts w:ascii="Century Gothic" w:hAnsi="Century Gothic" w:cs="Century Gothic" w:eastAsia="Century Gothic"/>
          <w:b/>
          <w:i w:val="0"/>
          <w:sz w:val="20"/>
        </w:rPr>
        <w:t>Coherencia, E2, enunciado / criterios 1 y 2.</w:t>
      </w:r>
      <w:r>
        <w:rPr>
          <w:rFonts w:ascii="Century Gothic" w:hAnsi="Century Gothic" w:cs="Century Gothic" w:eastAsia="Century Gothic"/>
          <w:b w:val="0"/>
          <w:i w:val="0"/>
          <w:sz w:val="20"/>
        </w:rPr>
        <w:t xml:space="preserve"> El elemento exige aplicar analítica de datos, software de auditoría y monitoreo continuo, pero ningún criterio, evidencia ni producto de E2 lo hace; sus criterios se limitan a describir encargos y comparar normas. Incorporar el uso de la tecnología en un criterio y su producto, o retirarlo del enunciado.</w:t>
      </w:r>
    </w:p>
    <w:p>
      <w:pPr>
        <w:numPr>
          <w:ilvl w:val="0"/>
          <w:numId w:val="936"/>
        </w:numPr>
        <w:spacing w:before="0" w:after="160" w:line="240" w:lineRule="auto"/>
        <w:jc w:val="both"/>
      </w:pPr>
      <w:r>
        <w:rPr>
          <w:rFonts w:ascii="Century Gothic" w:hAnsi="Century Gothic" w:cs="Century Gothic" w:eastAsia="Century Gothic"/>
          <w:b/>
          <w:i w:val="0"/>
          <w:sz w:val="20"/>
        </w:rPr>
        <w:t>Coherencia, E3, criterio 1 / Productos 9 y 10.</w:t>
      </w:r>
      <w:r>
        <w:rPr>
          <w:rFonts w:ascii="Century Gothic" w:hAnsi="Century Gothic" w:cs="Century Gothic" w:eastAsia="Century Gothic"/>
          <w:b w:val="0"/>
          <w:i w:val="0"/>
          <w:sz w:val="20"/>
        </w:rPr>
        <w:t xml:space="preserve"> El elemento trata de evaluar el control interno y el riesgo, pero el criterio 1 trata de los pronunciamientos y de la obtención de evidencia, temas que corresponden a la planificación y ejecución de E4. Ajustar el enunciado de E3 para incluir los pronunciamientos y la evidencia, o mover ese criterio a E4.</w:t>
      </w:r>
    </w:p>
    <w:p>
      <w:pPr>
        <w:numPr>
          <w:ilvl w:val="0"/>
          <w:numId w:val="936"/>
        </w:numPr>
        <w:spacing w:before="0" w:after="160" w:line="240" w:lineRule="auto"/>
        <w:jc w:val="both"/>
      </w:pPr>
      <w:r>
        <w:rPr>
          <w:rFonts w:ascii="Century Gothic" w:hAnsi="Century Gothic" w:cs="Century Gothic" w:eastAsia="Century Gothic"/>
          <w:b/>
          <w:i w:val="0"/>
          <w:sz w:val="20"/>
        </w:rPr>
        <w:t>Coherencia, E2, criterio 1, evidencia 1.2 / Producto 6.</w:t>
      </w:r>
      <w:r>
        <w:rPr>
          <w:rFonts w:ascii="Century Gothic" w:hAnsi="Century Gothic" w:cs="Century Gothic" w:eastAsia="Century Gothic"/>
          <w:b w:val="0"/>
          <w:i w:val="0"/>
          <w:sz w:val="20"/>
        </w:rPr>
        <w:t xml:space="preserve"> La evidencia es una explicación oral en aula y el producto es un ensayo escrito. Redactar la evidencia como 'Redacta en aula un ensayo...'.</w:t>
      </w:r>
    </w:p>
    <w:p>
      <w:pPr>
        <w:numPr>
          <w:ilvl w:val="0"/>
          <w:numId w:val="936"/>
        </w:numPr>
        <w:spacing w:before="0" w:after="160" w:line="240" w:lineRule="auto"/>
        <w:jc w:val="both"/>
      </w:pPr>
      <w:r>
        <w:rPr>
          <w:rFonts w:ascii="Century Gothic" w:hAnsi="Century Gothic" w:cs="Century Gothic" w:eastAsia="Century Gothic"/>
          <w:b/>
          <w:i w:val="0"/>
          <w:sz w:val="20"/>
        </w:rPr>
        <w:t>Contenido técnico, E2, enunciado ('MIPPA') y contenido 2 ('IPPF y sus normas sobre atributos y desempeño').</w:t>
      </w:r>
      <w:r>
        <w:rPr>
          <w:rFonts w:ascii="Century Gothic" w:hAnsi="Century Gothic" w:cs="Century Gothic" w:eastAsia="Century Gothic"/>
          <w:b w:val="0"/>
          <w:i w:val="0"/>
          <w:sz w:val="20"/>
        </w:rPr>
        <w:t xml:space="preserve"> Las normas sobre atributos y desempeño del IPPF fueron reemplazadas por las Normas Globales de Auditoría Interna (2024), vigentes desde enero de 2025, que el propio itinerario cita. Tratar las normas de atributos y desempeño solo como antecedente y referir el elemento a las Normas Globales.</w:t>
      </w:r>
    </w:p>
    <w:p>
      <w:pPr>
        <w:numPr>
          <w:ilvl w:val="0"/>
          <w:numId w:val="936"/>
        </w:numPr>
        <w:spacing w:before="0" w:after="160" w:line="240" w:lineRule="auto"/>
        <w:jc w:val="both"/>
      </w:pPr>
      <w:r>
        <w:rPr>
          <w:rFonts w:ascii="Century Gothic" w:hAnsi="Century Gothic" w:cs="Century Gothic" w:eastAsia="Century Gothic"/>
          <w:b/>
          <w:i w:val="0"/>
          <w:sz w:val="20"/>
        </w:rPr>
        <w:t>Contenido técnico, E3, contenido 1.</w:t>
      </w:r>
      <w:r>
        <w:rPr>
          <w:rFonts w:ascii="Century Gothic" w:hAnsi="Century Gothic" w:cs="Century Gothic" w:eastAsia="Century Gothic"/>
          <w:b w:val="0"/>
          <w:i w:val="0"/>
          <w:sz w:val="20"/>
        </w:rPr>
        <w:t xml:space="preserve"> 'NIEA 5000 sobre sostenibilidad' está mal nombrada: es la Norma Internacional sobre Encargos de Aseguramiento de Sostenibilidad (NIEAS 5000 / ISSA 5000). Corregir a 'NIEAS 5000'.</w:t>
      </w:r>
    </w:p>
    <w:p>
      <w:pPr>
        <w:numPr>
          <w:ilvl w:val="0"/>
          <w:numId w:val="936"/>
        </w:numPr>
        <w:spacing w:before="0" w:after="160" w:line="240" w:lineRule="auto"/>
        <w:jc w:val="both"/>
      </w:pPr>
      <w:r>
        <w:rPr>
          <w:rFonts w:ascii="Century Gothic" w:hAnsi="Century Gothic" w:cs="Century Gothic" w:eastAsia="Century Gothic"/>
          <w:b/>
          <w:i w:val="0"/>
          <w:sz w:val="20"/>
        </w:rPr>
        <w:t>Contenido técnico, Bibliografía básica, 'ISSAI 3000–3100 Directrices de Auditoría de Desempeño'.</w:t>
      </w:r>
      <w:r>
        <w:rPr>
          <w:rFonts w:ascii="Century Gothic" w:hAnsi="Century Gothic" w:cs="Century Gothic" w:eastAsia="Century Gothic"/>
          <w:b w:val="0"/>
          <w:i w:val="0"/>
          <w:sz w:val="20"/>
        </w:rPr>
        <w:t xml:space="preserve"> En el marco IFPP de la INTOSAI (2019) las antiguas directrices ISSAI 3100 y 3200 se reemplazaron por las GUID 3910 y 3920. Citar las GUID 3910 y 3920 vigentes.</w:t>
      </w:r>
    </w:p>
    <w:p>
      <w:pPr>
        <w:numPr>
          <w:ilvl w:val="0"/>
          <w:numId w:val="936"/>
        </w:numPr>
        <w:spacing w:before="0" w:after="160" w:line="240" w:lineRule="auto"/>
        <w:jc w:val="both"/>
      </w:pPr>
      <w:r>
        <w:rPr>
          <w:rFonts w:ascii="Century Gothic" w:hAnsi="Century Gothic" w:cs="Century Gothic" w:eastAsia="Century Gothic"/>
          <w:b/>
          <w:i w:val="0"/>
          <w:sz w:val="20"/>
        </w:rPr>
        <w:t>Contenido técnico, Bibliografía básica, IAASB e IESBA.</w:t>
      </w:r>
      <w:r>
        <w:rPr>
          <w:rFonts w:ascii="Century Gothic" w:hAnsi="Century Gothic" w:cs="Century Gothic" w:eastAsia="Century Gothic"/>
          <w:b w:val="0"/>
          <w:i w:val="0"/>
          <w:sz w:val="20"/>
        </w:rPr>
        <w:t xml:space="preserve"> Se usan títulos anteriores: 'Control de Calidad' / 'Quality Control' en lugar de 'Gestión de la Calidad' / 'Quality Management', y 'Código de Ética para Contadores Profesionales' en lugar de 'Código Internacional de Ética para Profesionales de la Contabilidad'. Actualizar los títulos.</w:t>
      </w:r>
    </w:p>
    <w:p>
      <w:pPr>
        <w:numPr>
          <w:ilvl w:val="0"/>
          <w:numId w:val="936"/>
        </w:numPr>
        <w:spacing w:before="0" w:after="160" w:line="240" w:lineRule="auto"/>
        <w:jc w:val="both"/>
      </w:pPr>
      <w:r>
        <w:rPr>
          <w:rFonts w:ascii="Century Gothic" w:hAnsi="Century Gothic" w:cs="Century Gothic" w:eastAsia="Century Gothic"/>
          <w:b/>
          <w:i w:val="0"/>
          <w:sz w:val="20"/>
        </w:rPr>
        <w:t>Contenido técnico, Bibliografía básica, Ley N° 1178.</w:t>
      </w:r>
      <w:r>
        <w:rPr>
          <w:rFonts w:ascii="Century Gothic" w:hAnsi="Century Gothic" w:cs="Century Gothic" w:eastAsia="Century Gothic"/>
          <w:b w:val="0"/>
          <w:i w:val="0"/>
          <w:sz w:val="20"/>
        </w:rPr>
        <w:t xml:space="preserve"> El nombre oficial es 'Ley de Administración y Control Gubernamentales', en plural. Corregir el nombre.</w:t>
      </w:r>
    </w:p>
    <w:p>
      <w:pPr>
        <w:numPr>
          <w:ilvl w:val="0"/>
          <w:numId w:val="936"/>
        </w:numPr>
        <w:spacing w:before="0" w:after="160" w:line="240" w:lineRule="auto"/>
        <w:jc w:val="both"/>
      </w:pPr>
      <w:r>
        <w:rPr>
          <w:rFonts w:ascii="Century Gothic" w:hAnsi="Century Gothic" w:cs="Century Gothic" w:eastAsia="Century Gothic"/>
          <w:b/>
          <w:i w:val="0"/>
          <w:sz w:val="20"/>
        </w:rPr>
        <w:t>Contenido técnico, Bibliografía complementaria.</w:t>
      </w:r>
      <w:r>
        <w:rPr>
          <w:rFonts w:ascii="Century Gothic" w:hAnsi="Century Gothic" w:cs="Century Gothic" w:eastAsia="Century Gothic"/>
          <w:b w:val="0"/>
          <w:i w:val="0"/>
          <w:sz w:val="20"/>
        </w:rPr>
        <w:t xml:space="preserve"> La mayoría de las obras es de 1975 a 2008 y anteriores a las normas vigentes que se enseñan. Incorporar obras recientes sobre auditoría de desempeño.</w:t>
      </w:r>
    </w:p>
    <w:p>
      <w:pPr>
        <w:numPr>
          <w:ilvl w:val="0"/>
          <w:numId w:val="936"/>
        </w:numPr>
        <w:spacing w:before="0" w:after="160" w:line="240" w:lineRule="auto"/>
        <w:jc w:val="both"/>
      </w:pPr>
      <w:r>
        <w:rPr>
          <w:rFonts w:ascii="Century Gothic" w:hAnsi="Century Gothic" w:cs="Century Gothic" w:eastAsia="Century Gothic"/>
          <w:b/>
          <w:i w:val="0"/>
          <w:sz w:val="20"/>
        </w:rPr>
        <w:t>Marcas de saber, E2, contenido 'Utilización eficiente de plataformas y repositorios digitales... para la consulta de estándares' (T).</w:t>
      </w:r>
      <w:r>
        <w:rPr>
          <w:rFonts w:ascii="Century Gothic" w:hAnsi="Century Gothic" w:cs="Century Gothic" w:eastAsia="Century Gothic"/>
          <w:b w:val="0"/>
          <w:i w:val="0"/>
          <w:sz w:val="20"/>
        </w:rPr>
        <w:t xml:space="preserve"> Consultar portales web no equivale a operar una herramienta profesional.</w:t>
      </w:r>
    </w:p>
    <w:p>
      <w:pPr>
        <w:numPr>
          <w:ilvl w:val="0"/>
          <w:numId w:val="936"/>
        </w:numPr>
        <w:spacing w:before="0" w:after="160" w:line="240" w:lineRule="auto"/>
        <w:jc w:val="both"/>
      </w:pPr>
      <w:r>
        <w:rPr>
          <w:rFonts w:ascii="Century Gothic" w:hAnsi="Century Gothic" w:cs="Century Gothic" w:eastAsia="Century Gothic"/>
          <w:b/>
          <w:i w:val="0"/>
          <w:sz w:val="20"/>
        </w:rPr>
        <w:t>Marcas de saber, E3, contenido 'Análisis y revisión de controles generales y de aplicación en tecnologías de la información' (T).</w:t>
      </w:r>
      <w:r>
        <w:rPr>
          <w:rFonts w:ascii="Century Gothic" w:hAnsi="Century Gothic" w:cs="Century Gothic" w:eastAsia="Century Gothic"/>
          <w:b w:val="0"/>
          <w:i w:val="0"/>
          <w:sz w:val="20"/>
        </w:rPr>
        <w:t xml:space="preserve"> Es contenido de auditoría (C, P); no exige operar una herramienta.</w:t>
      </w:r>
    </w:p>
    <w:p>
      <w:pPr>
        <w:numPr>
          <w:ilvl w:val="0"/>
          <w:numId w:val="936"/>
        </w:numPr>
        <w:spacing w:before="0" w:after="160" w:line="240" w:lineRule="auto"/>
        <w:jc w:val="both"/>
      </w:pPr>
      <w:r>
        <w:rPr>
          <w:rFonts w:ascii="Century Gothic" w:hAnsi="Century Gothic" w:cs="Century Gothic" w:eastAsia="Century Gothic"/>
          <w:b/>
          <w:i w:val="0"/>
          <w:sz w:val="20"/>
        </w:rPr>
        <w:t>Circunstanciales, E2, 'Nociones de consultoría de gestión y de los servicios de asesoramiento a la dirección'.</w:t>
      </w:r>
      <w:r>
        <w:rPr>
          <w:rFonts w:ascii="Century Gothic" w:hAnsi="Century Gothic" w:cs="Century Gothic" w:eastAsia="Century Gothic"/>
          <w:b w:val="0"/>
          <w:i w:val="0"/>
          <w:sz w:val="20"/>
        </w:rPr>
        <w:t xml:space="preserve"> Repite literalmente parte del contenido 1 del mismo elemento.</w:t>
      </w:r>
    </w:p>
    <w:p>
      <w:pPr>
        <w:numPr>
          <w:ilvl w:val="0"/>
          <w:numId w:val="936"/>
        </w:numPr>
        <w:spacing w:before="0" w:after="160" w:line="240" w:lineRule="auto"/>
        <w:jc w:val="both"/>
      </w:pPr>
      <w:r>
        <w:rPr>
          <w:rFonts w:ascii="Century Gothic" w:hAnsi="Century Gothic" w:cs="Century Gothic" w:eastAsia="Century Gothic"/>
          <w:b/>
          <w:i w:val="0"/>
          <w:sz w:val="20"/>
        </w:rPr>
        <w:t>Circunstanciales, E3, 'Nociones de sistemas de gestión antisoborno y de cumplimiento normativo'.</w:t>
      </w:r>
      <w:r>
        <w:rPr>
          <w:rFonts w:ascii="Century Gothic" w:hAnsi="Century Gothic" w:cs="Century Gothic" w:eastAsia="Century Gothic"/>
          <w:b w:val="0"/>
          <w:i w:val="0"/>
          <w:sz w:val="20"/>
        </w:rPr>
        <w:t xml:space="preserve"> Se tratan en CPA-406 Ética e Independencia Profesional (ISO 37001) y en CPA-508 Auditoría Forense, Peritaje y Prevención de Delitos Económicos.</w:t>
      </w:r>
    </w:p>
    <w:p>
      <w:pPr>
        <w:numPr>
          <w:ilvl w:val="0"/>
          <w:numId w:val="936"/>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160 y TOTAL 260, frente a las 160 h/año de la malla.</w:t>
      </w:r>
    </w:p>
    <w:p>
      <w:pPr>
        <w:numPr>
          <w:ilvl w:val="0"/>
          <w:numId w:val="936"/>
        </w:numPr>
        <w:spacing w:before="0" w:after="160" w:line="240" w:lineRule="auto"/>
        <w:jc w:val="both"/>
      </w:pPr>
      <w:r>
        <w:rPr>
          <w:rFonts w:ascii="Century Gothic" w:hAnsi="Century Gothic" w:cs="Century Gothic" w:eastAsia="Century Gothic"/>
          <w:b/>
          <w:i w:val="0"/>
          <w:sz w:val="20"/>
        </w:rPr>
        <w:t>Incoherencia interna, E1 a E3 frente a CPA-408 (prerrequisito).</w:t>
      </w:r>
      <w:r>
        <w:rPr>
          <w:rFonts w:ascii="Century Gothic" w:hAnsi="Century Gothic" w:cs="Century Gothic" w:eastAsia="Century Gothic"/>
          <w:b w:val="0"/>
          <w:i w:val="0"/>
          <w:sz w:val="20"/>
        </w:rPr>
        <w:t xml:space="preserve"> Repiten FODA, PESTEL y Porter, el Modelo de las Tres Líneas, las Normas Globales de Auditoría Interna, la independencia y objetividad del auditor interno, COSO 2013 e ISO 31000. Los Productos 7, 8, 11 y 12 replican los Productos 15, 16, 8 y 11 de CPA-408. El Cuadro de Mando Integral ya se dicta en ADM-201.</w:t>
      </w:r>
    </w:p>
    <w:p>
      <w:pPr>
        <w:numPr>
          <w:ilvl w:val="0"/>
          <w:numId w:val="936"/>
        </w:numPr>
        <w:spacing w:before="0" w:after="160" w:line="240" w:lineRule="auto"/>
        <w:jc w:val="both"/>
      </w:pPr>
      <w:r>
        <w:rPr>
          <w:rFonts w:ascii="Century Gothic" w:hAnsi="Century Gothic" w:cs="Century Gothic" w:eastAsia="Century Gothic"/>
          <w:b/>
          <w:i w:val="0"/>
          <w:sz w:val="20"/>
        </w:rPr>
        <w:t>Incoherencia interna, Estrategias de evaluación y criterios de calificación.</w:t>
      </w:r>
      <w:r>
        <w:rPr>
          <w:rFonts w:ascii="Century Gothic" w:hAnsi="Century Gothic" w:cs="Century Gothic" w:eastAsia="Century Gothic"/>
          <w:b w:val="0"/>
          <w:i w:val="0"/>
          <w:sz w:val="20"/>
        </w:rPr>
        <w:t xml:space="preserve"> La evaluación sumativa menciona controles de lectura y asistencia, exámenes parciales y final, lo que no concuerda con la calificación por productos y rúbricas.</w:t>
      </w:r>
    </w:p>
    <w:p>
      <w:pPr>
        <w:numPr>
          <w:ilvl w:val="0"/>
          <w:numId w:val="936"/>
        </w:numPr>
        <w:spacing w:before="0" w:after="160" w:line="240" w:lineRule="auto"/>
        <w:jc w:val="both"/>
      </w:pPr>
      <w:r>
        <w:rPr>
          <w:rFonts w:ascii="Century Gothic" w:hAnsi="Century Gothic" w:cs="Century Gothic" w:eastAsia="Century Gothic"/>
          <w:b/>
          <w:i w:val="0"/>
          <w:sz w:val="20"/>
        </w:rPr>
        <w:t>Incoherencia interna, Evidencias de conocimiento.</w:t>
      </w:r>
      <w:r>
        <w:rPr>
          <w:rFonts w:ascii="Century Gothic" w:hAnsi="Century Gothic" w:cs="Century Gothic" w:eastAsia="Century Gothic"/>
          <w:b w:val="0"/>
          <w:i w:val="0"/>
          <w:sz w:val="20"/>
        </w:rPr>
        <w:t xml:space="preserve"> Los contenidos son bloques extensos que agrupan varios temas bajo una sola marca, sin numeración. Un contenido de E2 está en infinitivo ('Emplear...').</w:t>
      </w:r>
    </w:p>
    <w:p>
      <w:pPr>
        <w:numPr>
          <w:ilvl w:val="0"/>
          <w:numId w:val="936"/>
        </w:numPr>
        <w:spacing w:before="0" w:after="200" w:line="240" w:lineRule="auto"/>
        <w:jc w:val="both"/>
      </w:pPr>
      <w:r>
        <w:rPr>
          <w:rFonts w:ascii="Century Gothic" w:hAnsi="Century Gothic" w:cs="Century Gothic" w:eastAsia="Century Gothic"/>
          <w:b/>
          <w:i w:val="0"/>
          <w:sz w:val="20"/>
        </w:rPr>
        <w:t>Incoherencia interna, Elementos de competencia frente a la auditoría gubernamental.</w:t>
      </w:r>
      <w:r>
        <w:rPr>
          <w:rFonts w:ascii="Century Gothic" w:hAnsi="Century Gothic" w:cs="Century Gothic" w:eastAsia="Century Gothic"/>
          <w:b w:val="0"/>
          <w:i w:val="0"/>
          <w:sz w:val="20"/>
        </w:rPr>
        <w:t xml:space="preserve"> La auditoría operacional gubernamental también se dicta en CPA-504 Auditoría Gubernamental (Elemento 6).</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no explica cambios de nombre ni otras decisiones: solo menciona un consenso general sobre denominación, carga horaria e itinerario. Ubica la asignatura en quinto año, en lo que coincide con la malla. Escribe 'Auditoria' sin tilde. Dos de los cinco docentes no participaron.</w:t>
      </w:r>
    </w:p>
    <w:p>
      <w:pPr>
        <w:spacing w:before="0" w:after="200" w:line="240" w:lineRule="auto"/>
        <w:jc w:val="both"/>
      </w:pPr>
      <w:r>
        <w:rPr>
          <w:rFonts w:ascii="Century Gothic" w:hAnsi="Century Gothic" w:cs="Century Gothic" w:eastAsia="Century Gothic"/>
          <w:b w:val="0"/>
          <w:i w:val="0"/>
          <w:sz w:val="20"/>
        </w:rPr>
        <w:t>Se aplicaron 5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7.35</w:t>
        <w:tab/>
      </w:r>
      <w:r>
        <w:rPr>
          <w:rFonts w:ascii="Century Gothic" w:hAnsi="Century Gothic" w:cs="Century Gothic" w:eastAsia="Century Gothic"/>
          <w:b/>
          <w:i w:val="0"/>
          <w:sz w:val="22"/>
        </w:rPr>
        <w:t>CPA-502 Gabinete de Auditoría Financiera</w:t>
      </w:r>
    </w:p>
    <w:p>
      <w:pPr>
        <w:spacing w:before="0" w:after="200" w:line="240" w:lineRule="auto"/>
        <w:jc w:val="both"/>
      </w:pPr>
      <w:r>
        <w:rPr>
          <w:rFonts w:ascii="Century Gothic" w:hAnsi="Century Gothic" w:cs="Century Gothic" w:eastAsia="Century Gothic"/>
          <w:b w:val="0"/>
          <w:i w:val="0"/>
          <w:sz w:val="20"/>
        </w:rPr>
        <w:t xml:space="preserve">Archivo: CPA-502 Gabinete de Auditoria Financiera - mejorado 3.docx. Cumple 16 de 23 controles, 3 de forma parcial y no cumple 4.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Es el itinerario más sólido del grupo. La cadena es coherente, los productos son verdaderos papeles de trabajo, las NIA se citan con precisión por fase y la tecnología está bien integrada con verificación de resultados. Debe retirar los marcadores de edición, corregir la referencia a la NIA 260 y el término 'debilidades materiales', y reducir el repaso que duplica CPA-407.</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16, 16, 34, 14,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 de 128 contenidos sin marca C, P, A o T</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Rúbricas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 rúbricas para 16 productos; 1 rúbricas sin exactamente tres criterios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C17</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Pesos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pesos suman 92.0 %</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de 13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37"/>
        </w:numPr>
        <w:spacing w:before="0" w:after="160" w:line="240" w:lineRule="auto"/>
        <w:jc w:val="both"/>
      </w:pPr>
      <w:r>
        <w:rPr>
          <w:rFonts w:ascii="Century Gothic" w:hAnsi="Century Gothic" w:cs="Century Gothic" w:eastAsia="Century Gothic"/>
          <w:b/>
          <w:i w:val="0"/>
          <w:sz w:val="20"/>
        </w:rPr>
        <w:t>Coherencia, E1, criterio 2, evidencia 2.1 / Producto 3.</w:t>
      </w:r>
      <w:r>
        <w:rPr>
          <w:rFonts w:ascii="Century Gothic" w:hAnsi="Century Gothic" w:cs="Century Gothic" w:eastAsia="Century Gothic"/>
          <w:b w:val="0"/>
          <w:i w:val="0"/>
          <w:sz w:val="20"/>
        </w:rPr>
        <w:t xml:space="preserve"> El producto es una 'Matriz del riesgo de detección aceptable por rubro y aseveración', pero la rúbrica lo denomina 'Práctico del riesgo de detección aceptable'. Usar en la rúbrica el mismo nombre del producto.</w:t>
      </w:r>
    </w:p>
    <w:p>
      <w:pPr>
        <w:numPr>
          <w:ilvl w:val="0"/>
          <w:numId w:val="937"/>
        </w:numPr>
        <w:spacing w:before="0" w:after="160" w:line="240" w:lineRule="auto"/>
        <w:jc w:val="both"/>
      </w:pPr>
      <w:r>
        <w:rPr>
          <w:rFonts w:ascii="Century Gothic" w:hAnsi="Century Gothic" w:cs="Century Gothic" w:eastAsia="Century Gothic"/>
          <w:b/>
          <w:i w:val="0"/>
          <w:sz w:val="20"/>
        </w:rPr>
        <w:t>Coherencia, E4, contenidos del Tema 32.</w:t>
      </w:r>
      <w:r>
        <w:rPr>
          <w:rFonts w:ascii="Century Gothic" w:hAnsi="Century Gothic" w:cs="Century Gothic" w:eastAsia="Century Gothic"/>
          <w:b w:val="0"/>
          <w:i w:val="0"/>
          <w:sz w:val="20"/>
        </w:rPr>
        <w:t xml:space="preserve"> La comunicación de las deficiencias significativas de control interno, que sustenta el Producto 16, se atribuye a la NIA 260. Citar la NIA 265 para las deficiencias y la NIA 260 para la comunicación con los responsables del gobierno.</w:t>
      </w:r>
    </w:p>
    <w:p>
      <w:pPr>
        <w:numPr>
          <w:ilvl w:val="0"/>
          <w:numId w:val="937"/>
        </w:numPr>
        <w:spacing w:before="0" w:after="160" w:line="240" w:lineRule="auto"/>
        <w:jc w:val="both"/>
      </w:pPr>
      <w:r>
        <w:rPr>
          <w:rFonts w:ascii="Century Gothic" w:hAnsi="Century Gothic" w:cs="Century Gothic" w:eastAsia="Century Gothic"/>
          <w:b/>
          <w:i w:val="0"/>
          <w:sz w:val="20"/>
        </w:rPr>
        <w:t>Contenido técnico, E2, contenidos del Tema 12.</w:t>
      </w:r>
      <w:r>
        <w:rPr>
          <w:rFonts w:ascii="Century Gothic" w:hAnsi="Century Gothic" w:cs="Century Gothic" w:eastAsia="Century Gothic"/>
          <w:b w:val="0"/>
          <w:i w:val="0"/>
          <w:sz w:val="20"/>
        </w:rPr>
        <w:t xml:space="preserve"> 'Debilidades materiales' es un concepto del marco estadounidense (PCAOB/SOX); las NIA (NIA 265) hablan de deficiencias y deficiencias significativas de control interno. Sustituir por 'deficiencias significativas'.</w:t>
      </w:r>
    </w:p>
    <w:p>
      <w:pPr>
        <w:numPr>
          <w:ilvl w:val="0"/>
          <w:numId w:val="937"/>
        </w:numPr>
        <w:spacing w:before="0" w:after="160" w:line="240" w:lineRule="auto"/>
        <w:jc w:val="both"/>
      </w:pPr>
      <w:r>
        <w:rPr>
          <w:rFonts w:ascii="Century Gothic" w:hAnsi="Century Gothic" w:cs="Century Gothic" w:eastAsia="Century Gothic"/>
          <w:b/>
          <w:i w:val="0"/>
          <w:sz w:val="20"/>
        </w:rPr>
        <w:t>Contenido técnico, E4, contenido 'Cuestiones clave de la auditoría'.</w:t>
      </w:r>
      <w:r>
        <w:rPr>
          <w:rFonts w:ascii="Century Gothic" w:hAnsi="Century Gothic" w:cs="Century Gothic" w:eastAsia="Century Gothic"/>
          <w:b w:val="0"/>
          <w:i w:val="0"/>
          <w:sz w:val="20"/>
        </w:rPr>
        <w:t xml:space="preserve"> No se cita la NIA 701 ni se aclara que es obligatoria para entidades cotizadas, aunque el caso es una entidad privada. Citar la NIA 701 e indicar cuándo es aplicable.</w:t>
      </w:r>
    </w:p>
    <w:p>
      <w:pPr>
        <w:numPr>
          <w:ilvl w:val="0"/>
          <w:numId w:val="937"/>
        </w:numPr>
        <w:spacing w:before="0" w:after="160" w:line="240" w:lineRule="auto"/>
        <w:jc w:val="both"/>
      </w:pPr>
      <w:r>
        <w:rPr>
          <w:rFonts w:ascii="Century Gothic" w:hAnsi="Century Gothic" w:cs="Century Gothic" w:eastAsia="Century Gothic"/>
          <w:b/>
          <w:i w:val="0"/>
          <w:sz w:val="20"/>
        </w:rPr>
        <w:t>Contenido técnico, Bibliografía básica, IAASB (2024) y (2025); IESBA (2024).</w:t>
      </w:r>
      <w:r>
        <w:rPr>
          <w:rFonts w:ascii="Century Gothic" w:hAnsi="Century Gothic" w:cs="Century Gothic" w:eastAsia="Century Gothic"/>
          <w:b w:val="0"/>
          <w:i w:val="0"/>
          <w:sz w:val="20"/>
        </w:rPr>
        <w:t xml:space="preserve"> Se cita el manual en español 'Edición 2021' con el título 'Control de Calidad', el Handbook como 'Quality Control' y el Código como 'Código de Ética para Contadores Profesionales'; los títulos vigentes son 'Gestión de la Calidad' / 'Quality Management' y 'Código Internacional de Ética para Profesionales de la Contabilidad'. Actualizar ediciones y títulos.</w:t>
      </w:r>
    </w:p>
    <w:p>
      <w:pPr>
        <w:numPr>
          <w:ilvl w:val="0"/>
          <w:numId w:val="937"/>
        </w:numPr>
        <w:spacing w:before="0" w:after="160" w:line="240" w:lineRule="auto"/>
        <w:jc w:val="both"/>
      </w:pPr>
      <w:r>
        <w:rPr>
          <w:rFonts w:ascii="Century Gothic" w:hAnsi="Century Gothic" w:cs="Century Gothic" w:eastAsia="Century Gothic"/>
          <w:b/>
          <w:i w:val="0"/>
          <w:sz w:val="20"/>
        </w:rPr>
        <w:t>Contenido técnico, Bibliografía complementaria.</w:t>
      </w:r>
      <w:r>
        <w:rPr>
          <w:rFonts w:ascii="Century Gothic" w:hAnsi="Century Gothic" w:cs="Century Gothic" w:eastAsia="Century Gothic"/>
          <w:b w:val="0"/>
          <w:i w:val="0"/>
          <w:sz w:val="20"/>
        </w:rPr>
        <w:t xml:space="preserve"> Arens (1996), Slosse (1995), Mantilla (2004) y Whittington (2005) son anteriores a las NIA vigentes. Sustituir por ediciones recientes.</w:t>
      </w:r>
    </w:p>
    <w:p>
      <w:pPr>
        <w:numPr>
          <w:ilvl w:val="0"/>
          <w:numId w:val="937"/>
        </w:numPr>
        <w:spacing w:before="0" w:after="160" w:line="240" w:lineRule="auto"/>
        <w:jc w:val="both"/>
      </w:pPr>
      <w:r>
        <w:rPr>
          <w:rFonts w:ascii="Century Gothic" w:hAnsi="Century Gothic" w:cs="Century Gothic" w:eastAsia="Century Gothic"/>
          <w:b/>
          <w:i w:val="0"/>
          <w:sz w:val="20"/>
        </w:rPr>
        <w:t>Marcas de saber, E3, contenidos de los Temas 23 a 29.</w:t>
      </w:r>
      <w:r>
        <w:rPr>
          <w:rFonts w:ascii="Century Gothic" w:hAnsi="Century Gothic" w:cs="Century Gothic" w:eastAsia="Century Gothic"/>
          <w:b w:val="0"/>
          <w:i w:val="0"/>
          <w:sz w:val="20"/>
        </w:rPr>
        <w:t xml:space="preserve"> Todos los ciclos llevan (P, A) aunque solo el primero menciona el escepticismo profesional; los demás remiten a '[misma estructura que el 19]', por lo que la marca (A) no tiene sustento propio.</w:t>
      </w:r>
    </w:p>
    <w:p>
      <w:pPr>
        <w:numPr>
          <w:ilvl w:val="0"/>
          <w:numId w:val="937"/>
        </w:numPr>
        <w:spacing w:before="0" w:after="160" w:line="240" w:lineRule="auto"/>
        <w:jc w:val="both"/>
      </w:pPr>
      <w:r>
        <w:rPr>
          <w:rFonts w:ascii="Century Gothic" w:hAnsi="Century Gothic" w:cs="Century Gothic" w:eastAsia="Century Gothic"/>
          <w:b/>
          <w:i w:val="0"/>
          <w:sz w:val="20"/>
        </w:rPr>
        <w:t>Circunstanciales, E1, 'Nociones de la organización interna de una firma de auditoría...'.</w:t>
      </w:r>
      <w:r>
        <w:rPr>
          <w:rFonts w:ascii="Century Gothic" w:hAnsi="Century Gothic" w:cs="Century Gothic" w:eastAsia="Century Gothic"/>
          <w:b w:val="0"/>
          <w:i w:val="0"/>
          <w:sz w:val="20"/>
        </w:rPr>
        <w:t xml:space="preserve"> Ya se dicta en CPA-407 Auditoría Financiera ('Organigrama de una empresa de auditoría externa').</w:t>
      </w:r>
    </w:p>
    <w:p>
      <w:pPr>
        <w:numPr>
          <w:ilvl w:val="0"/>
          <w:numId w:val="937"/>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160 y TOTAL 240, frente a las 160 h/año de la malla.</w:t>
      </w:r>
    </w:p>
    <w:p>
      <w:pPr>
        <w:numPr>
          <w:ilvl w:val="0"/>
          <w:numId w:val="937"/>
        </w:numPr>
        <w:spacing w:before="0" w:after="160" w:line="240" w:lineRule="auto"/>
        <w:jc w:val="both"/>
      </w:pPr>
      <w:r>
        <w:rPr>
          <w:rFonts w:ascii="Century Gothic" w:hAnsi="Century Gothic" w:cs="Century Gothic" w:eastAsia="Century Gothic"/>
          <w:b/>
          <w:i w:val="0"/>
          <w:sz w:val="20"/>
        </w:rPr>
        <w:t>Incoherencia interna, E3, contenidos de los Temas 23 a 29.</w:t>
      </w:r>
      <w:r>
        <w:rPr>
          <w:rFonts w:ascii="Century Gothic" w:hAnsi="Century Gothic" w:cs="Century Gothic" w:eastAsia="Century Gothic"/>
          <w:b w:val="0"/>
          <w:i w:val="0"/>
          <w:sz w:val="20"/>
        </w:rPr>
        <w:t xml:space="preserve"> Se dejaron marcadores de edición ('[misma estructura que el 19]', siete veces) en lugar del contenido de cada ciclo; además, la referencia '19' no corresponde al ciclo de efectivo (Tema 23).</w:t>
      </w:r>
    </w:p>
    <w:p>
      <w:pPr>
        <w:numPr>
          <w:ilvl w:val="0"/>
          <w:numId w:val="937"/>
        </w:numPr>
        <w:spacing w:before="0" w:after="160" w:line="240" w:lineRule="auto"/>
        <w:jc w:val="both"/>
      </w:pPr>
      <w:r>
        <w:rPr>
          <w:rFonts w:ascii="Century Gothic" w:hAnsi="Century Gothic" w:cs="Century Gothic" w:eastAsia="Century Gothic"/>
          <w:b/>
          <w:i w:val="0"/>
          <w:sz w:val="20"/>
        </w:rPr>
        <w:t>Incoherencia interna, Actividades, Taller.</w:t>
      </w:r>
      <w:r>
        <w:rPr>
          <w:rFonts w:ascii="Century Gothic" w:hAnsi="Century Gothic" w:cs="Century Gothic" w:eastAsia="Century Gothic"/>
          <w:b w:val="0"/>
          <w:i w:val="0"/>
          <w:sz w:val="20"/>
        </w:rPr>
        <w:t xml:space="preserve"> Quedó una nota de edición: '(movida desde B-Learning)'.</w:t>
      </w:r>
    </w:p>
    <w:p>
      <w:pPr>
        <w:numPr>
          <w:ilvl w:val="0"/>
          <w:numId w:val="937"/>
        </w:numPr>
        <w:spacing w:before="0" w:after="160" w:line="240" w:lineRule="auto"/>
        <w:jc w:val="both"/>
      </w:pPr>
      <w:r>
        <w:rPr>
          <w:rFonts w:ascii="Century Gothic" w:hAnsi="Century Gothic" w:cs="Century Gothic" w:eastAsia="Century Gothic"/>
          <w:b/>
          <w:i w:val="0"/>
          <w:sz w:val="20"/>
        </w:rPr>
        <w:t>Incoherencia interna, E2, criterio 1.</w:t>
      </w:r>
      <w:r>
        <w:rPr>
          <w:rFonts w:ascii="Century Gothic" w:hAnsi="Century Gothic" w:cs="Century Gothic" w:eastAsia="Century Gothic"/>
          <w:b w:val="0"/>
          <w:i w:val="0"/>
          <w:sz w:val="20"/>
        </w:rPr>
        <w:t xml:space="preserve"> El criterio 1 no lleva su numeración '1.'.</w:t>
      </w:r>
    </w:p>
    <w:p>
      <w:pPr>
        <w:numPr>
          <w:ilvl w:val="0"/>
          <w:numId w:val="937"/>
        </w:numPr>
        <w:spacing w:before="0" w:after="160" w:line="240" w:lineRule="auto"/>
        <w:jc w:val="both"/>
      </w:pPr>
      <w:r>
        <w:rPr>
          <w:rFonts w:ascii="Century Gothic" w:hAnsi="Century Gothic" w:cs="Century Gothic" w:eastAsia="Century Gothic"/>
          <w:b/>
          <w:i w:val="0"/>
          <w:sz w:val="20"/>
        </w:rPr>
        <w:t>Incoherencia interna, E3, conocimientos circunstanciales.</w:t>
      </w:r>
      <w:r>
        <w:rPr>
          <w:rFonts w:ascii="Century Gothic" w:hAnsi="Century Gothic" w:cs="Century Gothic" w:eastAsia="Century Gothic"/>
          <w:b w:val="0"/>
          <w:i w:val="0"/>
          <w:sz w:val="20"/>
        </w:rPr>
        <w:t xml:space="preserve"> Hay un ítem vacío entre las dos viñetas ('/ / •').</w:t>
      </w:r>
    </w:p>
    <w:p>
      <w:pPr>
        <w:numPr>
          <w:ilvl w:val="0"/>
          <w:numId w:val="937"/>
        </w:numPr>
        <w:spacing w:before="0" w:after="160" w:line="240" w:lineRule="auto"/>
        <w:jc w:val="both"/>
      </w:pPr>
      <w:r>
        <w:rPr>
          <w:rFonts w:ascii="Century Gothic" w:hAnsi="Century Gothic" w:cs="Century Gothic" w:eastAsia="Century Gothic"/>
          <w:b/>
          <w:i w:val="0"/>
          <w:sz w:val="20"/>
        </w:rPr>
        <w:t>Incoherencia interna, E1 y E2 frente a CPA-407.</w:t>
      </w:r>
      <w:r>
        <w:rPr>
          <w:rFonts w:ascii="Century Gothic" w:hAnsi="Century Gothic" w:cs="Century Gothic" w:eastAsia="Century Gothic"/>
          <w:b w:val="0"/>
          <w:i w:val="0"/>
          <w:sz w:val="20"/>
        </w:rPr>
        <w:t xml:space="preserve"> Los Temas 1 a 17 (estructura de pronunciamientos, proceso basado en riesgos, entidades menos complejas, aceptación, materialidad, aseveraciones) repiten los Temas 2 a 23 de CPA-407. Los Productos 3 y 4 replican los Productos 9 y 12 de CPA-407.</w:t>
      </w:r>
    </w:p>
    <w:p>
      <w:pPr>
        <w:numPr>
          <w:ilvl w:val="0"/>
          <w:numId w:val="937"/>
        </w:numPr>
        <w:spacing w:before="0" w:after="200" w:line="240" w:lineRule="auto"/>
        <w:jc w:val="both"/>
      </w:pPr>
      <w:r>
        <w:rPr>
          <w:rFonts w:ascii="Century Gothic" w:hAnsi="Century Gothic" w:cs="Century Gothic" w:eastAsia="Century Gothic"/>
          <w:b/>
          <w:i w:val="0"/>
          <w:sz w:val="20"/>
        </w:rPr>
        <w:t>Incoherencia interna, Elementos 1, 2 y 4.</w:t>
      </w:r>
      <w:r>
        <w:rPr>
          <w:rFonts w:ascii="Century Gothic" w:hAnsi="Century Gothic" w:cs="Century Gothic" w:eastAsia="Century Gothic"/>
          <w:b w:val="0"/>
          <w:i w:val="0"/>
          <w:sz w:val="20"/>
        </w:rPr>
        <w:t xml:space="preserve"> La relación entre las NAGA y las NIA se describe de tres formas distintas: '(que incluyen las NIA)', '(que son las mismas NIA)' y '(que son las NIA)'.</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no explica cambios de nombre ni otras decisiones: solo menciona un consenso general sobre denominación, carga horaria e itinerario. Ubica la asignatura en quinto año, en lo que coincide con la malla. Dos de los cinco docentes no participaron.</w:t>
      </w:r>
    </w:p>
    <w:p>
      <w:pPr>
        <w:spacing w:before="0" w:after="200" w:line="240" w:lineRule="auto"/>
        <w:jc w:val="both"/>
      </w:pPr>
      <w:r>
        <w:rPr>
          <w:rFonts w:ascii="Century Gothic" w:hAnsi="Century Gothic" w:cs="Century Gothic" w:eastAsia="Century Gothic"/>
          <w:b w:val="0"/>
          <w:i w:val="0"/>
          <w:sz w:val="20"/>
        </w:rPr>
        <w:t>Se aplicaron 6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7.36</w:t>
        <w:tab/>
      </w:r>
      <w:r>
        <w:rPr>
          <w:rFonts w:ascii="Century Gothic" w:hAnsi="Century Gothic" w:cs="Century Gothic" w:eastAsia="Century Gothic"/>
          <w:b/>
          <w:i w:val="0"/>
          <w:sz w:val="22"/>
        </w:rPr>
        <w:t>CPA-503 Auditoría Tributaria</w:t>
      </w:r>
    </w:p>
    <w:p>
      <w:pPr>
        <w:spacing w:before="0" w:after="200" w:line="240" w:lineRule="auto"/>
        <w:jc w:val="both"/>
      </w:pPr>
      <w:r>
        <w:rPr>
          <w:rFonts w:ascii="Century Gothic" w:hAnsi="Century Gothic" w:cs="Century Gothic" w:eastAsia="Century Gothic"/>
          <w:b w:val="0"/>
          <w:i w:val="0"/>
          <w:sz w:val="20"/>
        </w:rPr>
        <w:t xml:space="preserve">Archivo: CPA-503  Auditoria Tributaria .docx. Cumple 18 de 23 controles, 3 de forma parcial y no cumple 2.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El itinerario es sólido en sus elementos 2 y 3, con productos profesionales (memorándum, papeles de trabajo, Vista de Cargo, dictamen sobre la Información Tributaria Complementaria) y rúbricas propias de cada producto. Hay que revisar el elemento 1, que repite DER-201 y CPA-203, dejar las horas en blanco y corregir el nombre de la NIC 12 y la bibliografía del IAASB.</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16, 16, 32, 16,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(1), «a través»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38"/>
        </w:numPr>
        <w:spacing w:before="0" w:after="160" w:line="240" w:lineRule="auto"/>
        <w:jc w:val="both"/>
      </w:pPr>
      <w:r>
        <w:rPr>
          <w:rFonts w:ascii="Century Gothic" w:hAnsi="Century Gothic" w:cs="Century Gothic" w:eastAsia="Century Gothic"/>
          <w:b/>
          <w:i w:val="0"/>
          <w:sz w:val="20"/>
        </w:rPr>
        <w:t>Coherencia, E1, criterio 1.</w:t>
      </w:r>
      <w:r>
        <w:rPr>
          <w:rFonts w:ascii="Century Gothic" w:hAnsi="Century Gothic" w:cs="Century Gothic" w:eastAsia="Century Gothic"/>
          <w:b w:val="0"/>
          <w:i w:val="0"/>
          <w:sz w:val="20"/>
        </w:rPr>
        <w:t xml:space="preserve"> El criterio 1 repite casi literalmente el enunciado del elemento 1 («Interpreta el marco conceptual y normativo de la auditoría tributaria…»), así que no agrega un resultado observable distinto. Redactar el criterio como resultado verificable, por ejemplo «Determina la deuda tributaria de un caso, fundamentando sus componentes en el Código Tributario Boliviano».</w:t>
      </w:r>
    </w:p>
    <w:p>
      <w:pPr>
        <w:numPr>
          <w:ilvl w:val="0"/>
          <w:numId w:val="938"/>
        </w:numPr>
        <w:spacing w:before="0" w:after="160" w:line="240" w:lineRule="auto"/>
        <w:jc w:val="both"/>
      </w:pPr>
      <w:r>
        <w:rPr>
          <w:rFonts w:ascii="Century Gothic" w:hAnsi="Century Gothic" w:cs="Century Gothic" w:eastAsia="Century Gothic"/>
          <w:b/>
          <w:i w:val="0"/>
          <w:sz w:val="20"/>
        </w:rPr>
        <w:t>Coherencia, E3, contenidos (Tema 7 a Tema 12).</w:t>
      </w:r>
      <w:r>
        <w:rPr>
          <w:rFonts w:ascii="Century Gothic" w:hAnsi="Century Gothic" w:cs="Century Gothic" w:eastAsia="Century Gothic"/>
          <w:b w:val="0"/>
          <w:i w:val="0"/>
          <w:sz w:val="20"/>
        </w:rPr>
        <w:t xml:space="preserve"> Los contenidos sobre propuestas de servicios y honorarios, el estudio de precios de transferencia y la NIC 12 no tienen ningún criterio, evidencia ni producto que los exija; el elemento trata el dictamen y los informes sobre la Información Tributaria Complementaria. Retirarlos o vincularlos a una evidencia; por ejemplo, revisar en el Producto 9 la conciliación entre el resultado contable y el tributario.</w:t>
      </w:r>
    </w:p>
    <w:p>
      <w:pPr>
        <w:numPr>
          <w:ilvl w:val="0"/>
          <w:numId w:val="938"/>
        </w:numPr>
        <w:spacing w:before="0" w:after="160" w:line="240" w:lineRule="auto"/>
        <w:jc w:val="both"/>
      </w:pPr>
      <w:r>
        <w:rPr>
          <w:rFonts w:ascii="Century Gothic" w:hAnsi="Century Gothic" w:cs="Century Gothic" w:eastAsia="Century Gothic"/>
          <w:b/>
          <w:i w:val="0"/>
          <w:sz w:val="20"/>
        </w:rPr>
        <w:t>Coherencia, Producto 11, rúbrica, criterio «Hallazgos y evidencia de respaldo».</w:t>
      </w:r>
      <w:r>
        <w:rPr>
          <w:rFonts w:ascii="Century Gothic" w:hAnsi="Century Gothic" w:cs="Century Gothic" w:eastAsia="Century Gothic"/>
          <w:b w:val="0"/>
          <w:i w:val="0"/>
          <w:sz w:val="20"/>
        </w:rPr>
        <w:t xml:space="preserve"> El nivel Destacado de este criterio evalúa conclusiones y recomendaciones, no los hallazgos ni su respaldo. Que el nivel Destacado valore la suficiencia de la evidencia que respalda cada hallazgo.</w:t>
      </w:r>
    </w:p>
    <w:p>
      <w:pPr>
        <w:numPr>
          <w:ilvl w:val="0"/>
          <w:numId w:val="938"/>
        </w:numPr>
        <w:spacing w:before="0" w:after="160" w:line="240" w:lineRule="auto"/>
        <w:jc w:val="both"/>
      </w:pPr>
      <w:r>
        <w:rPr>
          <w:rFonts w:ascii="Century Gothic" w:hAnsi="Century Gothic" w:cs="Century Gothic" w:eastAsia="Century Gothic"/>
          <w:b/>
          <w:i w:val="0"/>
          <w:sz w:val="20"/>
        </w:rPr>
        <w:t>Coherencia, Unidad de competencia.</w:t>
      </w:r>
      <w:r>
        <w:rPr>
          <w:rFonts w:ascii="Century Gothic" w:hAnsi="Century Gothic" w:cs="Century Gothic" w:eastAsia="Century Gothic"/>
          <w:b w:val="0"/>
          <w:i w:val="0"/>
          <w:sz w:val="20"/>
        </w:rPr>
        <w:t xml:space="preserve"> «determinando de manera objetiva, fundamentada y en cumplimiento de las obligaciones impositivas…» no tiene objeto: no dice qué se determina. Tampoco menciona la independencia ni la ética del auditor tributario. Precisar el objeto («determinando la situación tributaria del contribuyente…») y añadir independencia y ética profesional.</w:t>
      </w:r>
    </w:p>
    <w:p>
      <w:pPr>
        <w:numPr>
          <w:ilvl w:val="0"/>
          <w:numId w:val="938"/>
        </w:numPr>
        <w:spacing w:before="0" w:after="160" w:line="240" w:lineRule="auto"/>
        <w:jc w:val="both"/>
      </w:pPr>
      <w:r>
        <w:rPr>
          <w:rFonts w:ascii="Century Gothic" w:hAnsi="Century Gothic" w:cs="Century Gothic" w:eastAsia="Century Gothic"/>
          <w:b/>
          <w:i w:val="0"/>
          <w:sz w:val="20"/>
        </w:rPr>
        <w:t>Contenido técnico, E3, contenidos, último punto.</w:t>
      </w:r>
      <w:r>
        <w:rPr>
          <w:rFonts w:ascii="Century Gothic" w:hAnsi="Century Gothic" w:cs="Century Gothic" w:eastAsia="Century Gothic"/>
          <w:b w:val="0"/>
          <w:i w:val="0"/>
          <w:sz w:val="20"/>
        </w:rPr>
        <w:t xml:space="preserve"> La NIC 12 aparece como «Impuesto sobre las Utilidades de las Empresas», que es el nombre del impuesto boliviano (IUE). La norma se llama «Impuesto a las Ganancias». Escribir «NIC 12 Impuesto a las Ganancias y su relación con el IUE».</w:t>
      </w:r>
    </w:p>
    <w:p>
      <w:pPr>
        <w:numPr>
          <w:ilvl w:val="0"/>
          <w:numId w:val="938"/>
        </w:numPr>
        <w:spacing w:before="0" w:after="160" w:line="240" w:lineRule="auto"/>
        <w:jc w:val="both"/>
      </w:pPr>
      <w:r>
        <w:rPr>
          <w:rFonts w:ascii="Century Gothic" w:hAnsi="Century Gothic" w:cs="Century Gothic" w:eastAsia="Century Gothic"/>
          <w:b/>
          <w:i w:val="0"/>
          <w:sz w:val="20"/>
        </w:rPr>
        <w:t>Contenido técnico, Bibliografía básica, IAASB.</w:t>
      </w:r>
      <w:r>
        <w:rPr>
          <w:rFonts w:ascii="Century Gothic" w:hAnsi="Century Gothic" w:cs="Century Gothic" w:eastAsia="Century Gothic"/>
          <w:b w:val="0"/>
          <w:i w:val="0"/>
          <w:sz w:val="20"/>
        </w:rPr>
        <w:t xml:space="preserve"> Las dos entradas del IAASB no concuerdan en año y edición: «(2020)… Edición 2018» y «(2023) Handbook of International Quality Control… Edición 2021». Desde la NIGC 1 el título del Handbook dice «Quality Management». Dejar una sola entrada con el Handbook vigente («…Quality Management, Auditing, Review…», edición más reciente) o con la versión en español del CAUB-CTNAC.</w:t>
      </w:r>
    </w:p>
    <w:p>
      <w:pPr>
        <w:numPr>
          <w:ilvl w:val="0"/>
          <w:numId w:val="938"/>
        </w:numPr>
        <w:spacing w:before="0" w:after="160" w:line="240" w:lineRule="auto"/>
        <w:jc w:val="both"/>
      </w:pPr>
      <w:r>
        <w:rPr>
          <w:rFonts w:ascii="Century Gothic" w:hAnsi="Century Gothic" w:cs="Century Gothic" w:eastAsia="Century Gothic"/>
          <w:b/>
          <w:i w:val="0"/>
          <w:sz w:val="20"/>
        </w:rPr>
        <w:t>Marcas de saber, E1, «El auditor tributario: funciones y condiciones y valores. (C, A)».</w:t>
      </w:r>
      <w:r>
        <w:rPr>
          <w:rFonts w:ascii="Century Gothic" w:hAnsi="Century Gothic" w:cs="Century Gothic" w:eastAsia="Century Gothic"/>
          <w:b w:val="0"/>
          <w:i w:val="0"/>
          <w:sz w:val="20"/>
        </w:rPr>
        <w:t xml:space="preserve"> Lleva (A), pero el contenido solo describe funciones y valores, sin una conducta observable; ninguna rúbrica del elemento evalúa algo actitudinal.</w:t>
      </w:r>
    </w:p>
    <w:p>
      <w:pPr>
        <w:numPr>
          <w:ilvl w:val="0"/>
          <w:numId w:val="938"/>
        </w:numPr>
        <w:spacing w:before="0" w:after="160" w:line="240" w:lineRule="auto"/>
        <w:jc w:val="both"/>
      </w:pPr>
      <w:r>
        <w:rPr>
          <w:rFonts w:ascii="Century Gothic" w:hAnsi="Century Gothic" w:cs="Century Gothic" w:eastAsia="Century Gothic"/>
          <w:b/>
          <w:i w:val="0"/>
          <w:sz w:val="20"/>
        </w:rPr>
        <w:t>Marcas de saber, E2, «Programas de auditoría para cada uno de los principales tributos y tipos de fiscalizaciones. (C)».</w:t>
      </w:r>
      <w:r>
        <w:rPr>
          <w:rFonts w:ascii="Century Gothic" w:hAnsi="Century Gothic" w:cs="Century Gothic" w:eastAsia="Century Gothic"/>
          <w:b w:val="0"/>
          <w:i w:val="0"/>
          <w:sz w:val="20"/>
        </w:rPr>
        <w:t xml:space="preserve"> Solo lleva (C), aunque la evidencia 1.2 y el Producto 6 exigen diseñar el programa. Debería ser (C, P).</w:t>
      </w:r>
    </w:p>
    <w:p>
      <w:pPr>
        <w:numPr>
          <w:ilvl w:val="0"/>
          <w:numId w:val="938"/>
        </w:numPr>
        <w:spacing w:before="0" w:after="160" w:line="240" w:lineRule="auto"/>
        <w:jc w:val="both"/>
      </w:pPr>
      <w:r>
        <w:rPr>
          <w:rFonts w:ascii="Century Gothic" w:hAnsi="Century Gothic" w:cs="Century Gothic" w:eastAsia="Century Gothic"/>
          <w:b/>
          <w:i w:val="0"/>
          <w:sz w:val="20"/>
        </w:rPr>
        <w:t>Circunstanciales, E1, conocimientos circunstanciales.</w:t>
      </w:r>
      <w:r>
        <w:rPr>
          <w:rFonts w:ascii="Century Gothic" w:hAnsi="Century Gothic" w:cs="Century Gothic" w:eastAsia="Century Gothic"/>
          <w:b w:val="0"/>
          <w:i w:val="0"/>
          <w:sz w:val="20"/>
        </w:rPr>
        <w:t xml:space="preserve"> «Estructura organizativa y funcional de la Administración Tributaria» se cruza con DER-201 Derecho Tributario y Legislación Aduanera, que dicta «La Administración Tributaria y sus facultades».</w:t>
      </w:r>
    </w:p>
    <w:p>
      <w:pPr>
        <w:numPr>
          <w:ilvl w:val="0"/>
          <w:numId w:val="938"/>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160, HAA 16, HTG 16, HIP 32, HE 16, TOTAL 240). La guía pide dejarlas en blanco, y el total de 240 contradice las 160 h/año de la malla.</w:t>
      </w:r>
    </w:p>
    <w:p>
      <w:pPr>
        <w:numPr>
          <w:ilvl w:val="0"/>
          <w:numId w:val="938"/>
        </w:numPr>
        <w:spacing w:before="0" w:after="160" w:line="240" w:lineRule="auto"/>
        <w:jc w:val="both"/>
      </w:pPr>
      <w:r>
        <w:rPr>
          <w:rFonts w:ascii="Century Gothic" w:hAnsi="Century Gothic" w:cs="Century Gothic" w:eastAsia="Century Gothic"/>
          <w:b/>
          <w:i w:val="0"/>
          <w:sz w:val="20"/>
        </w:rPr>
        <w:t>Incoherencia interna, E1, contenidos.</w:t>
      </w:r>
      <w:r>
        <w:rPr>
          <w:rFonts w:ascii="Century Gothic" w:hAnsi="Century Gothic" w:cs="Century Gothic" w:eastAsia="Century Gothic"/>
          <w:b w:val="0"/>
          <w:i w:val="0"/>
          <w:sz w:val="20"/>
        </w:rPr>
        <w:t xml:space="preserve"> Casi todo el elemento 1 repite temas de segundo año: ilícitos tributarios, recursos de alzada y jerárquico, contencioso tributario, base cierta y presunta, facultades de la Administración y derechos del sujeto pasivo se dictan en DER-201 (elemento 3 y Tema 12), y la deuda tributaria en CPA-203. Reducirlo a un repaso aplicado a la auditoría.</w:t>
      </w:r>
    </w:p>
    <w:p>
      <w:pPr>
        <w:numPr>
          <w:ilvl w:val="0"/>
          <w:numId w:val="938"/>
        </w:numPr>
        <w:spacing w:before="0" w:after="200" w:line="240" w:lineRule="auto"/>
        <w:jc w:val="both"/>
      </w:pPr>
      <w:r>
        <w:rPr>
          <w:rFonts w:ascii="Century Gothic" w:hAnsi="Century Gothic" w:cs="Century Gothic" w:eastAsia="Century Gothic"/>
          <w:b/>
          <w:i w:val="0"/>
          <w:sz w:val="20"/>
        </w:rPr>
        <w:t>Incoherencia interna, Bibliografía básica.</w:t>
      </w:r>
      <w:r>
        <w:rPr>
          <w:rFonts w:ascii="Century Gothic" w:hAnsi="Century Gothic" w:cs="Century Gothic" w:eastAsia="Century Gothic"/>
          <w:b w:val="0"/>
          <w:i w:val="0"/>
          <w:sz w:val="20"/>
        </w:rPr>
        <w:t xml:space="preserve"> Dos entradas del IAASB para el mismo manual: una en español (edición 2018) y otra en inglés (edición 2021).</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titula la asignatura «CPA 503 – Gabinete de Auditoría Tributaria», mientras la malla y el itinerario dicen «Auditoría Tributaria». No justifica ese nombre ni registra cambios: solo dice que hubo «consenso en cuanto a la denominación de la asignatura, su carga horaria y su itinerario formativo». Marca «Sí» en todos los puntos de control, aunque las horas están llenas y no concuerdan con la malla.</w:t>
      </w:r>
    </w:p>
    <w:p>
      <w:pPr>
        <w:spacing w:before="0" w:after="200" w:line="240" w:lineRule="auto"/>
        <w:jc w:val="both"/>
      </w:pPr>
      <w:r>
        <w:rPr>
          <w:rFonts w:ascii="Century Gothic" w:hAnsi="Century Gothic" w:cs="Century Gothic" w:eastAsia="Century Gothic"/>
          <w:b w:val="0"/>
          <w:i w:val="0"/>
          <w:sz w:val="20"/>
        </w:rPr>
        <w:t>Se aplicaron 6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7.37</w:t>
        <w:tab/>
      </w:r>
      <w:r>
        <w:rPr>
          <w:rFonts w:ascii="Century Gothic" w:hAnsi="Century Gothic" w:cs="Century Gothic" w:eastAsia="Century Gothic"/>
          <w:b/>
          <w:i w:val="0"/>
          <w:sz w:val="22"/>
        </w:rPr>
        <w:t>CPA-504 Auditoría Gubernamental</w:t>
      </w:r>
    </w:p>
    <w:p>
      <w:pPr>
        <w:spacing w:before="0" w:after="200" w:line="240" w:lineRule="auto"/>
        <w:jc w:val="both"/>
      </w:pPr>
      <w:r>
        <w:rPr>
          <w:rFonts w:ascii="Century Gothic" w:hAnsi="Century Gothic" w:cs="Century Gothic" w:eastAsia="Century Gothic"/>
          <w:b w:val="0"/>
          <w:i w:val="0"/>
          <w:sz w:val="20"/>
        </w:rPr>
        <w:t xml:space="preserve">Archivo: CPA-504 Auditoria Gubernamental oficial - 1.docx. Cumple 17 de 23 controles, 3 de forma parcial y no cumple 3.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El itinerario es completo y profesional en los elementos 4 a 6 (auditorías financiera, de cumplimiento y operacional), con rúbricas propias de cada producto y una distribución de pesos coherente. Hay que eliminar el mensaje de asistente que quedó en la bibliografía, completar la rúbrica truncada, numerar las evidencias y reducir los elementos 1 a 3, que repiten CPA-304 y CPA-408 y se quedan en verbos de comprensión impropios del quinto año.</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16, 16, 32, 16,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de desempeño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E1: 4 evidencias, sin numeración completa; E2: 4 evidencias, sin numeración completa; E3: 4 evidencias, sin numeración completa; E4: 4 evidencias, sin numeración completa; E5: 4 evidencias, sin numeración completa (numeración 2.1, 2.2)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(1 inversiones); 16 de 35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(11), «a través»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39"/>
        </w:numPr>
        <w:spacing w:before="0" w:after="160" w:line="240" w:lineRule="auto"/>
        <w:jc w:val="both"/>
      </w:pPr>
      <w:r>
        <w:rPr>
          <w:rFonts w:ascii="Century Gothic" w:hAnsi="Century Gothic" w:cs="Century Gothic" w:eastAsia="Century Gothic"/>
          <w:b/>
          <w:i w:val="0"/>
          <w:sz w:val="20"/>
        </w:rPr>
        <w:t>Coherencia, E1, Productos 1 y 2.</w:t>
      </w:r>
      <w:r>
        <w:rPr>
          <w:rFonts w:ascii="Century Gothic" w:hAnsi="Century Gothic" w:cs="Century Gothic" w:eastAsia="Century Gothic"/>
          <w:b w:val="0"/>
          <w:i w:val="0"/>
          <w:sz w:val="20"/>
        </w:rPr>
        <w:t xml:space="preserve"> Los dos productos son casi el mismo esquema de los sistemas de la Ley N° 1178; solo cambia la relación final (con la planificación integral o con el control gubernamental). Además, el criterio 1 pide analizar ambas relaciones a la vez. Unificarlos o convertir el Producto 2 en un análisis aplicado a una entidad real.</w:t>
      </w:r>
    </w:p>
    <w:p>
      <w:pPr>
        <w:numPr>
          <w:ilvl w:val="0"/>
          <w:numId w:val="939"/>
        </w:numPr>
        <w:spacing w:before="0" w:after="160" w:line="240" w:lineRule="auto"/>
        <w:jc w:val="both"/>
      </w:pPr>
      <w:r>
        <w:rPr>
          <w:rFonts w:ascii="Century Gothic" w:hAnsi="Century Gothic" w:cs="Century Gothic" w:eastAsia="Century Gothic"/>
          <w:b/>
          <w:i w:val="0"/>
          <w:sz w:val="20"/>
        </w:rPr>
        <w:t>Coherencia, E3, criterio 1, evidencia 1 / Producto 9.</w:t>
      </w:r>
      <w:r>
        <w:rPr>
          <w:rFonts w:ascii="Century Gothic" w:hAnsi="Century Gothic" w:cs="Century Gothic" w:eastAsia="Century Gothic"/>
          <w:b w:val="0"/>
          <w:i w:val="0"/>
          <w:sz w:val="20"/>
        </w:rPr>
        <w:t xml:space="preserve"> El criterio exige evaluar el diseño, la implementación y la eficacia del control interno, pero la primera evidencia solo describe principios y componentes y su producto es un «Esquema de comprensión». Sustituirla por la evaluación del diseño de los controles de un proceso concreto.</w:t>
      </w:r>
    </w:p>
    <w:p>
      <w:pPr>
        <w:numPr>
          <w:ilvl w:val="0"/>
          <w:numId w:val="939"/>
        </w:numPr>
        <w:spacing w:before="0" w:after="160" w:line="240" w:lineRule="auto"/>
        <w:jc w:val="both"/>
      </w:pPr>
      <w:r>
        <w:rPr>
          <w:rFonts w:ascii="Century Gothic" w:hAnsi="Century Gothic" w:cs="Century Gothic" w:eastAsia="Century Gothic"/>
          <w:b/>
          <w:i w:val="0"/>
          <w:sz w:val="20"/>
        </w:rPr>
        <w:t>Coherencia, E6, Productos 22 a 24.</w:t>
      </w:r>
      <w:r>
        <w:rPr>
          <w:rFonts w:ascii="Century Gothic" w:hAnsi="Century Gothic" w:cs="Century Gothic" w:eastAsia="Century Gothic"/>
          <w:b w:val="0"/>
          <w:i w:val="0"/>
          <w:sz w:val="20"/>
        </w:rPr>
        <w:t xml:space="preserve"> El elemento y los criterios hablan de «auditoría operacional», pero los productos dicen «auditoría operativa» y «auditoría operativa administrativa». Usar un solo término, el de las normas de la Contraloría General del Estado.</w:t>
      </w:r>
    </w:p>
    <w:p>
      <w:pPr>
        <w:numPr>
          <w:ilvl w:val="0"/>
          <w:numId w:val="939"/>
        </w:numPr>
        <w:spacing w:before="0" w:after="160" w:line="240" w:lineRule="auto"/>
        <w:jc w:val="both"/>
      </w:pPr>
      <w:r>
        <w:rPr>
          <w:rFonts w:ascii="Century Gothic" w:hAnsi="Century Gothic" w:cs="Century Gothic" w:eastAsia="Century Gothic"/>
          <w:b/>
          <w:i w:val="0"/>
          <w:sz w:val="20"/>
        </w:rPr>
        <w:t>Coherencia, Producto 17, rúbrica, criterio «Indicios preliminares».</w:t>
      </w:r>
      <w:r>
        <w:rPr>
          <w:rFonts w:ascii="Century Gothic" w:hAnsi="Century Gothic" w:cs="Century Gothic" w:eastAsia="Century Gothic"/>
          <w:b w:val="0"/>
          <w:i w:val="0"/>
          <w:sz w:val="20"/>
        </w:rPr>
        <w:t xml:space="preserve"> El texto del nivel Destacado está truncado: «…sustenta el análisis con fuentes lícit». Completar la frase.</w:t>
      </w:r>
    </w:p>
    <w:p>
      <w:pPr>
        <w:numPr>
          <w:ilvl w:val="0"/>
          <w:numId w:val="939"/>
        </w:numPr>
        <w:spacing w:before="0" w:after="160" w:line="240" w:lineRule="auto"/>
        <w:jc w:val="both"/>
      </w:pPr>
      <w:r>
        <w:rPr>
          <w:rFonts w:ascii="Century Gothic" w:hAnsi="Century Gothic" w:cs="Century Gothic" w:eastAsia="Century Gothic"/>
          <w:b/>
          <w:i w:val="0"/>
          <w:sz w:val="20"/>
        </w:rPr>
        <w:t>Contenido técnico, E1, Tema 2, contenidos.</w:t>
      </w:r>
      <w:r>
        <w:rPr>
          <w:rFonts w:ascii="Century Gothic" w:hAnsi="Century Gothic" w:cs="Century Gothic" w:eastAsia="Century Gothic"/>
          <w:b w:val="0"/>
          <w:i w:val="0"/>
          <w:sz w:val="20"/>
        </w:rPr>
        <w:t xml:space="preserve"> No existen «Normas Internacionales de Auditoría Gubernamental». Las normas internacionales del sector público son las ISSAI de la INTOSAI. Escribir «Normas Internacionales de las Entidades Fiscalizadoras Superiores (ISSAI) de la INTOSAI. (C)».</w:t>
      </w:r>
    </w:p>
    <w:p>
      <w:pPr>
        <w:numPr>
          <w:ilvl w:val="0"/>
          <w:numId w:val="939"/>
        </w:numPr>
        <w:spacing w:before="0" w:after="160" w:line="240" w:lineRule="auto"/>
        <w:jc w:val="both"/>
      </w:pPr>
      <w:r>
        <w:rPr>
          <w:rFonts w:ascii="Century Gothic" w:hAnsi="Century Gothic" w:cs="Century Gothic" w:eastAsia="Century Gothic"/>
          <w:b/>
          <w:i w:val="0"/>
          <w:sz w:val="20"/>
        </w:rPr>
        <w:t>Contenido técnico, Bibliografía básica, última línea.</w:t>
      </w:r>
      <w:r>
        <w:rPr>
          <w:rFonts w:ascii="Century Gothic" w:hAnsi="Century Gothic" w:cs="Century Gothic" w:eastAsia="Century Gothic"/>
          <w:b w:val="0"/>
          <w:i w:val="0"/>
          <w:sz w:val="20"/>
        </w:rPr>
        <w:t xml:space="preserve"> Quedó pegado un mensaje de un asistente: «El artículo 77 de la Ley del Sistema de Control Fiscal… que figuraban sueltos en tu lista… dime la ley exacta y la agrego». La circunstancial del Tema 2 sigue citando la «Ley del Sistema de Control Fiscal», sin entrada bibliográfica que la respalde. Eliminar el mensaje y decidir si la Ley del Sistema de Control Fiscal se cita, con su número y fecha, o se retira de las circunstanciales.</w:t>
      </w:r>
    </w:p>
    <w:p>
      <w:pPr>
        <w:numPr>
          <w:ilvl w:val="0"/>
          <w:numId w:val="939"/>
        </w:numPr>
        <w:spacing w:before="0" w:after="160" w:line="240" w:lineRule="auto"/>
        <w:jc w:val="both"/>
      </w:pPr>
      <w:r>
        <w:rPr>
          <w:rFonts w:ascii="Century Gothic" w:hAnsi="Century Gothic" w:cs="Century Gothic" w:eastAsia="Century Gothic"/>
          <w:b/>
          <w:i w:val="0"/>
          <w:sz w:val="20"/>
        </w:rPr>
        <w:t>Marcas de saber, E3, «Métodos, técnicas, manuales y guías de evaluación del control interno. (C, P, T).» y E4, «Relevamiento de información y conocimiento de la entidad. (C, P, T)».</w:t>
      </w:r>
      <w:r>
        <w:rPr>
          <w:rFonts w:ascii="Century Gothic" w:hAnsi="Century Gothic" w:cs="Century Gothic" w:eastAsia="Century Gothic"/>
          <w:b w:val="0"/>
          <w:i w:val="0"/>
          <w:sz w:val="20"/>
        </w:rPr>
        <w:t xml:space="preserve"> Llevan (T), pero ninguno de los dos contenidos exige operar una herramienta; además, el primero tiene un punto después de la marca.</w:t>
      </w:r>
    </w:p>
    <w:p>
      <w:pPr>
        <w:numPr>
          <w:ilvl w:val="0"/>
          <w:numId w:val="939"/>
        </w:numPr>
        <w:spacing w:before="0" w:after="160" w:line="240" w:lineRule="auto"/>
        <w:jc w:val="both"/>
      </w:pPr>
      <w:r>
        <w:rPr>
          <w:rFonts w:ascii="Century Gothic" w:hAnsi="Century Gothic" w:cs="Century Gothic" w:eastAsia="Century Gothic"/>
          <w:b/>
          <w:i w:val="0"/>
          <w:sz w:val="20"/>
        </w:rPr>
        <w:t>Marcas de saber, E4, «Papeles de trabajo: elaboración, documentación, referenciación y archivo. (C, P, A)» y E5, «Organización de los medios de prueba. (P, A)».</w:t>
      </w:r>
      <w:r>
        <w:rPr>
          <w:rFonts w:ascii="Century Gothic" w:hAnsi="Century Gothic" w:cs="Century Gothic" w:eastAsia="Century Gothic"/>
          <w:b w:val="0"/>
          <w:i w:val="0"/>
          <w:sz w:val="20"/>
        </w:rPr>
        <w:t xml:space="preserve"> Llevan (A) sin una conducta esperada explícita, como la confidencialidad o el escepticismo profesional.</w:t>
      </w:r>
    </w:p>
    <w:p>
      <w:pPr>
        <w:numPr>
          <w:ilvl w:val="0"/>
          <w:numId w:val="939"/>
        </w:numPr>
        <w:spacing w:before="0" w:after="160" w:line="240" w:lineRule="auto"/>
        <w:jc w:val="both"/>
      </w:pPr>
      <w:r>
        <w:rPr>
          <w:rFonts w:ascii="Century Gothic" w:hAnsi="Century Gothic" w:cs="Century Gothic" w:eastAsia="Century Gothic"/>
          <w:b/>
          <w:i w:val="0"/>
          <w:sz w:val="20"/>
        </w:rPr>
        <w:t>Marcas de saber, E1 a E3.</w:t>
      </w:r>
      <w:r>
        <w:rPr>
          <w:rFonts w:ascii="Century Gothic" w:hAnsi="Century Gothic" w:cs="Century Gothic" w:eastAsia="Century Gothic"/>
          <w:b w:val="0"/>
          <w:i w:val="0"/>
          <w:sz w:val="20"/>
        </w:rPr>
        <w:t xml:space="preserve"> Los temas 1 a 3 están casi todos en (C) o en un (C, P) nominal; lo procedimental y lo actitudinal aparecen recién desde el elemento 4.</w:t>
      </w:r>
    </w:p>
    <w:p>
      <w:pPr>
        <w:numPr>
          <w:ilvl w:val="0"/>
          <w:numId w:val="939"/>
        </w:numPr>
        <w:spacing w:before="0" w:after="160" w:line="240" w:lineRule="auto"/>
        <w:jc w:val="both"/>
      </w:pPr>
      <w:r>
        <w:rPr>
          <w:rFonts w:ascii="Century Gothic" w:hAnsi="Century Gothic" w:cs="Century Gothic" w:eastAsia="Century Gothic"/>
          <w:b/>
          <w:i w:val="0"/>
          <w:sz w:val="20"/>
        </w:rPr>
        <w:t>Circunstanciales, E1, Tema 1.</w:t>
      </w:r>
      <w:r>
        <w:rPr>
          <w:rFonts w:ascii="Century Gothic" w:hAnsi="Century Gothic" w:cs="Century Gothic" w:eastAsia="Century Gothic"/>
          <w:b w:val="0"/>
          <w:i w:val="0"/>
          <w:sz w:val="20"/>
        </w:rPr>
        <w:t xml:space="preserve"> La Ley N° 1178, la Ley N° 777 y el Modelo de Gestión Pública se dictan en CPA-304 Contabilidad y Presupuestos Gubernamental (elemento 2: «sistemas de administración y control gubernamental y el régimen de responsabilidad por la función pública»).</w:t>
      </w:r>
    </w:p>
    <w:p>
      <w:pPr>
        <w:numPr>
          <w:ilvl w:val="0"/>
          <w:numId w:val="939"/>
        </w:numPr>
        <w:spacing w:before="0" w:after="160" w:line="240" w:lineRule="auto"/>
        <w:jc w:val="both"/>
      </w:pPr>
      <w:r>
        <w:rPr>
          <w:rFonts w:ascii="Century Gothic" w:hAnsi="Century Gothic" w:cs="Century Gothic" w:eastAsia="Century Gothic"/>
          <w:b/>
          <w:i w:val="0"/>
          <w:sz w:val="20"/>
        </w:rPr>
        <w:t>Circunstanciales, E3, Tema 4.</w:t>
      </w:r>
      <w:r>
        <w:rPr>
          <w:rFonts w:ascii="Century Gothic" w:hAnsi="Century Gothic" w:cs="Century Gothic" w:eastAsia="Century Gothic"/>
          <w:b w:val="0"/>
          <w:i w:val="0"/>
          <w:sz w:val="20"/>
        </w:rPr>
        <w:t xml:space="preserve"> «Modelo COSO y su relación con el control gubernamental» se dicta en CPA-408 Auditoría Interna, Control Interno y Gestión de Riesgos, que incluye COSO y los principios de control interno gubernamental en Bolivia.</w:t>
      </w:r>
    </w:p>
    <w:p>
      <w:pPr>
        <w:numPr>
          <w:ilvl w:val="0"/>
          <w:numId w:val="939"/>
        </w:numPr>
        <w:spacing w:before="0" w:after="160" w:line="240" w:lineRule="auto"/>
        <w:jc w:val="both"/>
      </w:pPr>
      <w:r>
        <w:rPr>
          <w:rFonts w:ascii="Century Gothic" w:hAnsi="Century Gothic" w:cs="Century Gothic" w:eastAsia="Century Gothic"/>
          <w:b/>
          <w:i w:val="0"/>
          <w:sz w:val="20"/>
        </w:rPr>
        <w:t>Circunstanciales, E1, Tema 2, y E4 a E6.</w:t>
      </w:r>
      <w:r>
        <w:rPr>
          <w:rFonts w:ascii="Century Gothic" w:hAnsi="Century Gothic" w:cs="Century Gothic" w:eastAsia="Century Gothic"/>
          <w:b w:val="0"/>
          <w:i w:val="0"/>
          <w:sz w:val="20"/>
        </w:rPr>
        <w:t xml:space="preserve"> Las Normas de Auditoría Gubernamental, las Normas de Auditoría Financiera, de Cumplimiento y Operacional y la Ley N° 1178 figuran como circunstanciales, pero son el contenido central de la asignatura. Las NIA de la misma columna se dictan en CPA-407 Auditoría Financiera.</w:t>
      </w:r>
    </w:p>
    <w:p>
      <w:pPr>
        <w:numPr>
          <w:ilvl w:val="0"/>
          <w:numId w:val="939"/>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160, TOTAL 240), aunque la guía pide dejarlas en blanco; el total contradice las 160 h/año de la malla.</w:t>
      </w:r>
    </w:p>
    <w:p>
      <w:pPr>
        <w:numPr>
          <w:ilvl w:val="0"/>
          <w:numId w:val="939"/>
        </w:numPr>
        <w:spacing w:before="0" w:after="160" w:line="240" w:lineRule="auto"/>
        <w:jc w:val="both"/>
      </w:pPr>
      <w:r>
        <w:rPr>
          <w:rFonts w:ascii="Century Gothic" w:hAnsi="Century Gothic" w:cs="Century Gothic" w:eastAsia="Century Gothic"/>
          <w:b/>
          <w:i w:val="0"/>
          <w:sz w:val="20"/>
        </w:rPr>
        <w:t>Incoherencia interna, E1 a E5, evidencias de desempeño.</w:t>
      </w:r>
      <w:r>
        <w:rPr>
          <w:rFonts w:ascii="Century Gothic" w:hAnsi="Century Gothic" w:cs="Century Gothic" w:eastAsia="Century Gothic"/>
          <w:b w:val="0"/>
          <w:i w:val="0"/>
          <w:sz w:val="20"/>
        </w:rPr>
        <w:t xml:space="preserve"> Las evidencias de los elementos 1 a 4 y la 1.x del elemento 5 no llevan la numeración 1.1, 1.2, 2.1, 2.2 que exige la guía; en el elemento 6 sí está.</w:t>
      </w:r>
    </w:p>
    <w:p>
      <w:pPr>
        <w:numPr>
          <w:ilvl w:val="0"/>
          <w:numId w:val="939"/>
        </w:numPr>
        <w:spacing w:before="0" w:after="160" w:line="240" w:lineRule="auto"/>
        <w:jc w:val="both"/>
      </w:pPr>
      <w:r>
        <w:rPr>
          <w:rFonts w:ascii="Century Gothic" w:hAnsi="Century Gothic" w:cs="Century Gothic" w:eastAsia="Century Gothic"/>
          <w:b/>
          <w:i w:val="0"/>
          <w:sz w:val="20"/>
        </w:rPr>
        <w:t>Incoherencia interna, Producto 21.</w:t>
      </w:r>
      <w:r>
        <w:rPr>
          <w:rFonts w:ascii="Century Gothic" w:hAnsi="Century Gothic" w:cs="Century Gothic" w:eastAsia="Century Gothic"/>
          <w:b w:val="0"/>
          <w:i w:val="0"/>
          <w:sz w:val="20"/>
        </w:rPr>
        <w:t xml:space="preserve"> El enunciado del producto termina en «/ .» y su rúbrica tiene una fila vacía antes del encabezado.</w:t>
      </w:r>
    </w:p>
    <w:p>
      <w:pPr>
        <w:numPr>
          <w:ilvl w:val="0"/>
          <w:numId w:val="939"/>
        </w:numPr>
        <w:spacing w:before="0" w:after="160" w:line="240" w:lineRule="auto"/>
        <w:jc w:val="both"/>
      </w:pPr>
      <w:r>
        <w:rPr>
          <w:rFonts w:ascii="Century Gothic" w:hAnsi="Century Gothic" w:cs="Century Gothic" w:eastAsia="Century Gothic"/>
          <w:b/>
          <w:i w:val="0"/>
          <w:sz w:val="20"/>
        </w:rPr>
        <w:t>Incoherencia interna, E1 a E3 frente a CPA-304 y CPA-408.</w:t>
      </w:r>
      <w:r>
        <w:rPr>
          <w:rFonts w:ascii="Century Gothic" w:hAnsi="Century Gothic" w:cs="Century Gothic" w:eastAsia="Century Gothic"/>
          <w:b w:val="0"/>
          <w:i w:val="0"/>
          <w:sz w:val="20"/>
        </w:rPr>
        <w:t xml:space="preserve"> El 39 % de la nota (elementos 1 a 3) se dedica a temas que ya dictan CPA-304 (sistemas de la Ley N° 1178 y responsabilidad por la función pública) y CPA-408 (control interno).</w:t>
      </w:r>
    </w:p>
    <w:p>
      <w:pPr>
        <w:numPr>
          <w:ilvl w:val="0"/>
          <w:numId w:val="939"/>
        </w:numPr>
        <w:spacing w:before="0" w:after="200" w:line="240" w:lineRule="auto"/>
        <w:jc w:val="both"/>
      </w:pPr>
      <w:r>
        <w:rPr>
          <w:rFonts w:ascii="Century Gothic" w:hAnsi="Century Gothic" w:cs="Century Gothic" w:eastAsia="Century Gothic"/>
          <w:b/>
          <w:i w:val="0"/>
          <w:sz w:val="20"/>
        </w:rPr>
        <w:t>Incoherencia interna, E6 frente a CPA-501.</w:t>
      </w:r>
      <w:r>
        <w:rPr>
          <w:rFonts w:ascii="Century Gothic" w:hAnsi="Century Gothic" w:cs="Century Gothic" w:eastAsia="Century Gothic"/>
          <w:b w:val="0"/>
          <w:i w:val="0"/>
          <w:sz w:val="20"/>
        </w:rPr>
        <w:t xml:space="preserve"> La auditoría operacional del elemento 6 se cruza con CPA-501 Auditoría Operativa. Conviene precisar qué aporta aquí el enfoque gubernamental.</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titula la asignatura «CPA 504 – Gabinete de Auditoría Gubernamental», mientras la malla y el itinerario dicen «Auditoría Gubernamental». No justifica ese nombre ni registra modificaciones; solo usa la fórmula común de «consenso en cuanto a la denominación». Marca «Sí» en todos los puntos de control, aunque las horas están llenas.</w:t>
      </w:r>
    </w:p>
    <w:p>
      <w:pPr>
        <w:spacing w:before="0" w:after="200" w:line="240" w:lineRule="auto"/>
        <w:jc w:val="both"/>
      </w:pPr>
      <w:r>
        <w:rPr>
          <w:rFonts w:ascii="Century Gothic" w:hAnsi="Century Gothic" w:cs="Century Gothic" w:eastAsia="Century Gothic"/>
          <w:b w:val="0"/>
          <w:i w:val="0"/>
          <w:sz w:val="20"/>
        </w:rPr>
        <w:t>Se aplicaron 24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7.38</w:t>
        <w:tab/>
      </w:r>
      <w:r>
        <w:rPr>
          <w:rFonts w:ascii="Century Gothic" w:hAnsi="Century Gothic" w:cs="Century Gothic" w:eastAsia="Century Gothic"/>
          <w:b/>
          <w:i w:val="0"/>
          <w:sz w:val="22"/>
        </w:rPr>
        <w:t>CPA-505 Auditoría Digital, Ciberseguridad y Tecnologías Emergentes</w:t>
      </w:r>
    </w:p>
    <w:p>
      <w:pPr>
        <w:spacing w:before="0" w:after="200" w:line="240" w:lineRule="auto"/>
        <w:jc w:val="both"/>
      </w:pPr>
      <w:r>
        <w:rPr>
          <w:rFonts w:ascii="Century Gothic" w:hAnsi="Century Gothic" w:cs="Century Gothic" w:eastAsia="Century Gothic"/>
          <w:b w:val="0"/>
          <w:i w:val="0"/>
          <w:sz w:val="20"/>
        </w:rPr>
        <w:t xml:space="preserve">Archivo: CPA-505 Auditoría digital, ciberseguridad y tecnologías emergentes.docx. Cumple 18 de 23 controles, 2 de forma parcial y no cumple 3.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Es un itinerario actualizado y ambicioso (NIA 315 revisada, NIEA 3402, ISO 27001:2022, NIST CSF 2.0, ISO/IEC 42001, minería de procesos), bien orientado al aseguramiento digital. Lo debilitan el E1, que repite contenidos de primer y cuarto año con verbos de bajo nivel ('Revisa conocimientos'), varias evidencias que no corresponden a su criterio (E1 C2, E3 2.2, E5 2.2) y bibliografía con designaciones o ediciones incorrectas.</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(160, 20, 20, 20, 20, 240)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Créditos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créditos llenados: 12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(1 inversiones); 4 de 21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40"/>
        </w:numPr>
        <w:spacing w:before="0" w:after="160" w:line="240" w:lineRule="auto"/>
        <w:jc w:val="both"/>
      </w:pPr>
      <w:r>
        <w:rPr>
          <w:rFonts w:ascii="Century Gothic" w:hAnsi="Century Gothic" w:cs="Century Gothic" w:eastAsia="Century Gothic"/>
          <w:b/>
          <w:i w:val="0"/>
          <w:sz w:val="20"/>
        </w:rPr>
        <w:t>Coherencia, E1, criterio 2 / evidencias 2.1 y 2.2.</w:t>
      </w:r>
      <w:r>
        <w:rPr>
          <w:rFonts w:ascii="Century Gothic" w:hAnsi="Century Gothic" w:cs="Century Gothic" w:eastAsia="Century Gothic"/>
          <w:b w:val="0"/>
          <w:i w:val="0"/>
          <w:sz w:val="20"/>
        </w:rPr>
        <w:t xml:space="preserve"> El criterio pide revisar los objetivos de control de las bases de datos, pero las evidencias y productos son modelar la base de datos y hacer consultas SQL: diseño, no evaluación de controles. Reformular el criterio ('Modela y consulta la base de datos de un sistema contable, verificando la integridad de los datos extraídos') o cambiar las evidencias hacia la evaluación de los controles de la base de datos.</w:t>
      </w:r>
    </w:p>
    <w:p>
      <w:pPr>
        <w:numPr>
          <w:ilvl w:val="0"/>
          <w:numId w:val="940"/>
        </w:numPr>
        <w:spacing w:before="0" w:after="160" w:line="240" w:lineRule="auto"/>
        <w:jc w:val="both"/>
      </w:pPr>
      <w:r>
        <w:rPr>
          <w:rFonts w:ascii="Century Gothic" w:hAnsi="Century Gothic" w:cs="Century Gothic" w:eastAsia="Century Gothic"/>
          <w:b/>
          <w:i w:val="0"/>
          <w:sz w:val="20"/>
        </w:rPr>
        <w:t>Coherencia, E1, criterio 1, evidencia 1.1 / Producto 1.</w:t>
      </w:r>
      <w:r>
        <w:rPr>
          <w:rFonts w:ascii="Century Gothic" w:hAnsi="Century Gothic" w:cs="Century Gothic" w:eastAsia="Century Gothic"/>
          <w:b w:val="0"/>
          <w:i w:val="0"/>
          <w:sz w:val="20"/>
        </w:rPr>
        <w:t xml:space="preserve"> 'Revisa conceptos de…' no es observable y no tiene modalidad. El Producto 1 junta dos productos ('Análisis…' y 'Verificación de la Infraestructura de TI'), y su rúbrica repite la del P2 ('Utilidad contable', 'Presentación: El cuadro es desordenado'), aunque no es un cuadro. Reformular como una evidencia observable con un solo producto (por ejemplo, 'Informe de verificación de la infraestructura de TI de una entidad') y una rúbrica propia.</w:t>
      </w:r>
    </w:p>
    <w:p>
      <w:pPr>
        <w:numPr>
          <w:ilvl w:val="0"/>
          <w:numId w:val="940"/>
        </w:numPr>
        <w:spacing w:before="0" w:after="160" w:line="240" w:lineRule="auto"/>
        <w:jc w:val="both"/>
      </w:pPr>
      <w:r>
        <w:rPr>
          <w:rFonts w:ascii="Century Gothic" w:hAnsi="Century Gothic" w:cs="Century Gothic" w:eastAsia="Century Gothic"/>
          <w:b/>
          <w:i w:val="0"/>
          <w:sz w:val="20"/>
        </w:rPr>
        <w:t>Coherencia, E3, criterio 2, evidencia 2.2 / Producto 12.</w:t>
      </w:r>
      <w:r>
        <w:rPr>
          <w:rFonts w:ascii="Century Gothic" w:hAnsi="Century Gothic" w:cs="Century Gothic" w:eastAsia="Century Gothic"/>
          <w:b w:val="0"/>
          <w:i w:val="0"/>
          <w:sz w:val="20"/>
        </w:rPr>
        <w:t xml:space="preserve"> Evaluar el respaldo, la continuidad y la respuesta ante incidentes de ciberseguridad no corresponde al criterio 2 (nivel de riesgo de control y pruebas de control de aplicaciones). Encaja mejor en el E5. Sustituir por una evidencia de documentación del nivel evaluado del riesgo de control y del ajuste de las pruebas sustantivas, o reformular el criterio.</w:t>
      </w:r>
    </w:p>
    <w:p>
      <w:pPr>
        <w:numPr>
          <w:ilvl w:val="0"/>
          <w:numId w:val="940"/>
        </w:numPr>
        <w:spacing w:before="0" w:after="160" w:line="240" w:lineRule="auto"/>
        <w:jc w:val="both"/>
      </w:pPr>
      <w:r>
        <w:rPr>
          <w:rFonts w:ascii="Century Gothic" w:hAnsi="Century Gothic" w:cs="Century Gothic" w:eastAsia="Century Gothic"/>
          <w:b/>
          <w:i w:val="0"/>
          <w:sz w:val="20"/>
        </w:rPr>
        <w:t>Coherencia, E5, criterio 2, evidencia 2.2 / Producto 20.</w:t>
      </w:r>
      <w:r>
        <w:rPr>
          <w:rFonts w:ascii="Century Gothic" w:hAnsi="Century Gothic" w:cs="Century Gothic" w:eastAsia="Century Gothic"/>
          <w:b w:val="0"/>
          <w:i w:val="0"/>
          <w:sz w:val="20"/>
        </w:rPr>
        <w:t xml:space="preserve"> La evidencia trata solo de los riesgos de sesgo y explicabilidad de un algoritmo de IA. El producto es un informe de deficiencias de ciberseguridad y de tecnologías emergentes, y su rúbrica evalúa además la cadena de bloques. Ajustar la evidencia a 'Comunica a la dirección las deficiencias de ciberseguridad, IA y cadena de bloques…' o limitar el producto y la rúbrica a la IA.</w:t>
      </w:r>
    </w:p>
    <w:p>
      <w:pPr>
        <w:numPr>
          <w:ilvl w:val="0"/>
          <w:numId w:val="940"/>
        </w:numPr>
        <w:spacing w:before="0" w:after="160" w:line="240" w:lineRule="auto"/>
        <w:jc w:val="both"/>
      </w:pPr>
      <w:r>
        <w:rPr>
          <w:rFonts w:ascii="Century Gothic" w:hAnsi="Century Gothic" w:cs="Century Gothic" w:eastAsia="Century Gothic"/>
          <w:b/>
          <w:i w:val="0"/>
          <w:sz w:val="20"/>
        </w:rPr>
        <w:t>Coherencia, E5, criterio 1 / evidencias 1.1 y 1.2.</w:t>
      </w:r>
      <w:r>
        <w:rPr>
          <w:rFonts w:ascii="Century Gothic" w:hAnsi="Century Gothic" w:cs="Century Gothic" w:eastAsia="Century Gothic"/>
          <w:b w:val="0"/>
          <w:i w:val="0"/>
          <w:sz w:val="20"/>
        </w:rPr>
        <w:t xml:space="preserve"> El criterio evalúa la auditoría continua, pero ninguna evidencia ni producto la trata. La evidencia 1.1 dice 'minería de datos con procesos' cuando el contenido es minería de procesos. Incluir la auditoría continua en una evidencia y usar el término 'minería de procesos'.</w:t>
      </w:r>
    </w:p>
    <w:p>
      <w:pPr>
        <w:numPr>
          <w:ilvl w:val="0"/>
          <w:numId w:val="940"/>
        </w:numPr>
        <w:spacing w:before="0" w:after="160" w:line="240" w:lineRule="auto"/>
        <w:jc w:val="both"/>
      </w:pPr>
      <w:r>
        <w:rPr>
          <w:rFonts w:ascii="Century Gothic" w:hAnsi="Century Gothic" w:cs="Century Gothic" w:eastAsia="Century Gothic"/>
          <w:b/>
          <w:i w:val="0"/>
          <w:sz w:val="20"/>
        </w:rPr>
        <w:t>Contenido técnico, E2, contenidos, 'Marco COSO: … principios y puntos de interés'.</w:t>
      </w:r>
      <w:r>
        <w:rPr>
          <w:rFonts w:ascii="Century Gothic" w:hAnsi="Century Gothic" w:cs="Century Gothic" w:eastAsia="Century Gothic"/>
          <w:b w:val="0"/>
          <w:i w:val="0"/>
          <w:sz w:val="20"/>
        </w:rPr>
        <w:t xml:space="preserve"> La versión en español del COSO 2013 los llama 'puntos de enfoque' (points of focus). Corregir a 'puntos de enfoque'.</w:t>
      </w:r>
    </w:p>
    <w:p>
      <w:pPr>
        <w:numPr>
          <w:ilvl w:val="0"/>
          <w:numId w:val="940"/>
        </w:numPr>
        <w:spacing w:before="0" w:after="160" w:line="240" w:lineRule="auto"/>
        <w:jc w:val="both"/>
      </w:pPr>
      <w:r>
        <w:rPr>
          <w:rFonts w:ascii="Century Gothic" w:hAnsi="Century Gothic" w:cs="Century Gothic" w:eastAsia="Century Gothic"/>
          <w:b/>
          <w:i w:val="0"/>
          <w:sz w:val="20"/>
        </w:rPr>
        <w:t>Contenido técnico, E2, contenidos, 'Normas emitidas por la ASFI y por la SPVS, actualmente…'.</w:t>
      </w:r>
      <w:r>
        <w:rPr>
          <w:rFonts w:ascii="Century Gothic" w:hAnsi="Century Gothic" w:cs="Century Gothic" w:eastAsia="Century Gothic"/>
          <w:b w:val="0"/>
          <w:i w:val="0"/>
          <w:sz w:val="20"/>
        </w:rPr>
        <w:t xml:space="preserve"> Cita a la extinta SPVS como emisora de normas. Lo vigente es la APS (Autoridad de Fiscalización y Control de Pensiones y Seguros). 'Normas emitidas por la ASFI y por la APS…'.</w:t>
      </w:r>
    </w:p>
    <w:p>
      <w:pPr>
        <w:numPr>
          <w:ilvl w:val="0"/>
          <w:numId w:val="940"/>
        </w:numPr>
        <w:spacing w:before="0" w:after="160" w:line="240" w:lineRule="auto"/>
        <w:jc w:val="both"/>
      </w:pPr>
      <w:r>
        <w:rPr>
          <w:rFonts w:ascii="Century Gothic" w:hAnsi="Century Gothic" w:cs="Century Gothic" w:eastAsia="Century Gothic"/>
          <w:b/>
          <w:i w:val="0"/>
          <w:sz w:val="20"/>
        </w:rPr>
        <w:t>Contenido técnico, Bibliografía básica, 'NTC-ISO-IEC 27001'.</w:t>
      </w:r>
      <w:r>
        <w:rPr>
          <w:rFonts w:ascii="Century Gothic" w:hAnsi="Century Gothic" w:cs="Century Gothic" w:eastAsia="Century Gothic"/>
          <w:b w:val="0"/>
          <w:i w:val="0"/>
          <w:sz w:val="20"/>
        </w:rPr>
        <w:t xml:space="preserve"> NTC es la designación colombiana (ICONTEC). En Bolivia la norma la adopta IBNORCA (NB/ISO/IEC 27001). Además, 'ISO/IEC 27001.' sin datos duplica la entrada de la ISO/IEC 27001:2022. Sustituir por la NB/ISO/IEC 27001 de IBNORCA y eliminar la entrada duplicada.</w:t>
      </w:r>
    </w:p>
    <w:p>
      <w:pPr>
        <w:numPr>
          <w:ilvl w:val="0"/>
          <w:numId w:val="940"/>
        </w:numPr>
        <w:spacing w:before="0" w:after="160" w:line="240" w:lineRule="auto"/>
        <w:jc w:val="both"/>
      </w:pPr>
      <w:r>
        <w:rPr>
          <w:rFonts w:ascii="Century Gothic" w:hAnsi="Century Gothic" w:cs="Century Gothic" w:eastAsia="Century Gothic"/>
          <w:b/>
          <w:i w:val="0"/>
          <w:sz w:val="20"/>
        </w:rPr>
        <w:t>Contenido técnico, Bibliografía básica, IAASB.</w:t>
      </w:r>
      <w:r>
        <w:rPr>
          <w:rFonts w:ascii="Century Gothic" w:hAnsi="Century Gothic" w:cs="Century Gothic" w:eastAsia="Century Gothic"/>
          <w:b w:val="0"/>
          <w:i w:val="0"/>
          <w:sz w:val="20"/>
        </w:rPr>
        <w:t xml:space="preserve"> Cita el Handbook ediciones 2018 y 2021 ('Quality Control'). Desde la edición 2022 el título es 'Handbook of International Quality Management…' (NIGC 1). Las guías para PYMES de 2011 y 2018 son redundantes. Usar el Handbook del año más reciente y una sola guía.</w:t>
      </w:r>
    </w:p>
    <w:p>
      <w:pPr>
        <w:numPr>
          <w:ilvl w:val="0"/>
          <w:numId w:val="940"/>
        </w:numPr>
        <w:spacing w:before="0" w:after="160" w:line="240" w:lineRule="auto"/>
        <w:jc w:val="both"/>
      </w:pPr>
      <w:r>
        <w:rPr>
          <w:rFonts w:ascii="Century Gothic" w:hAnsi="Century Gothic" w:cs="Century Gothic" w:eastAsia="Century Gothic"/>
          <w:b/>
          <w:i w:val="0"/>
          <w:sz w:val="20"/>
        </w:rPr>
        <w:t>Contenido técnico, Bibliografía básica, 'COBIT (s.f.)' (tres entradas) e 'ISACA (2019) Manual … CISA. 26a ed.'.</w:t>
      </w:r>
      <w:r>
        <w:rPr>
          <w:rFonts w:ascii="Century Gothic" w:hAnsi="Century Gothic" w:cs="Century Gothic" w:eastAsia="Century Gothic"/>
          <w:b w:val="0"/>
          <w:i w:val="0"/>
          <w:sz w:val="20"/>
        </w:rPr>
        <w:t xml:space="preserve"> COBIT no es un autor: es ISACA (2018/2019). La 26.ª edición del manual CISA no es la de 2019 (la de 2019 es la 27.ª). Corregir el autor, el año y la edición vigente.</w:t>
      </w:r>
    </w:p>
    <w:p>
      <w:pPr>
        <w:numPr>
          <w:ilvl w:val="0"/>
          <w:numId w:val="940"/>
        </w:numPr>
        <w:spacing w:before="0" w:after="160" w:line="240" w:lineRule="auto"/>
        <w:jc w:val="both"/>
      </w:pPr>
      <w:r>
        <w:rPr>
          <w:rFonts w:ascii="Century Gothic" w:hAnsi="Century Gothic" w:cs="Century Gothic" w:eastAsia="Century Gothic"/>
          <w:b/>
          <w:i w:val="0"/>
          <w:sz w:val="20"/>
        </w:rPr>
        <w:t>Marcas de saber, E1, 'Consultas de extracción de datos con fines de auditoría… (C, A)'.</w:t>
      </w:r>
      <w:r>
        <w:rPr>
          <w:rFonts w:ascii="Century Gothic" w:hAnsi="Century Gothic" w:cs="Century Gothic" w:eastAsia="Century Gothic"/>
          <w:b w:val="0"/>
          <w:i w:val="0"/>
          <w:sz w:val="20"/>
        </w:rPr>
        <w:t xml:space="preserve"> La evidencia 2.2 ejecuta las consultas en el laboratorio; corresponde (P, T), y (A) solo si se explicita el resguardo de los datos.</w:t>
      </w:r>
    </w:p>
    <w:p>
      <w:pPr>
        <w:numPr>
          <w:ilvl w:val="0"/>
          <w:numId w:val="940"/>
        </w:numPr>
        <w:spacing w:before="0" w:after="160" w:line="240" w:lineRule="auto"/>
        <w:jc w:val="both"/>
      </w:pPr>
      <w:r>
        <w:rPr>
          <w:rFonts w:ascii="Century Gothic" w:hAnsi="Century Gothic" w:cs="Century Gothic" w:eastAsia="Century Gothic"/>
          <w:b/>
          <w:i w:val="0"/>
          <w:sz w:val="20"/>
        </w:rPr>
        <w:t>Marcas de saber, E1, 'Modelo conceptual… modelo físico en SQL. (C)' y 'El rol del contador público… (P)'.</w:t>
      </w:r>
      <w:r>
        <w:rPr>
          <w:rFonts w:ascii="Century Gothic" w:hAnsi="Century Gothic" w:cs="Century Gothic" w:eastAsia="Century Gothic"/>
          <w:b w:val="0"/>
          <w:i w:val="0"/>
          <w:sz w:val="20"/>
        </w:rPr>
        <w:t xml:space="preserve"> El primero se opera en el laboratorio (falta P, T). El segundo es conceptual (C), no procedimental.</w:t>
      </w:r>
    </w:p>
    <w:p>
      <w:pPr>
        <w:numPr>
          <w:ilvl w:val="0"/>
          <w:numId w:val="940"/>
        </w:numPr>
        <w:spacing w:before="0" w:after="160" w:line="240" w:lineRule="auto"/>
        <w:jc w:val="both"/>
      </w:pPr>
      <w:r>
        <w:rPr>
          <w:rFonts w:ascii="Century Gothic" w:hAnsi="Century Gothic" w:cs="Century Gothic" w:eastAsia="Century Gothic"/>
          <w:b/>
          <w:i w:val="0"/>
          <w:sz w:val="20"/>
        </w:rPr>
        <w:t>Marcas de saber, E5, 'Comunicación de las deficiencias… (P, T)'; E2, 'Normas de gestión de la continuidad… (C, T)'.</w:t>
      </w:r>
      <w:r>
        <w:rPr>
          <w:rFonts w:ascii="Century Gothic" w:hAnsi="Century Gothic" w:cs="Century Gothic" w:eastAsia="Century Gothic"/>
          <w:b w:val="0"/>
          <w:i w:val="0"/>
          <w:sz w:val="20"/>
        </w:rPr>
        <w:t xml:space="preserve"> Llevan (T) sin operar ninguna herramienta. En cambio, 'Minería de procesos… (P)' se hace en el laboratorio y le falta la (T).</w:t>
      </w:r>
    </w:p>
    <w:p>
      <w:pPr>
        <w:numPr>
          <w:ilvl w:val="0"/>
          <w:numId w:val="940"/>
        </w:numPr>
        <w:spacing w:before="0" w:after="160" w:line="240" w:lineRule="auto"/>
        <w:jc w:val="both"/>
      </w:pPr>
      <w:r>
        <w:rPr>
          <w:rFonts w:ascii="Century Gothic" w:hAnsi="Century Gothic" w:cs="Century Gothic" w:eastAsia="Century Gothic"/>
          <w:b/>
          <w:i w:val="0"/>
          <w:sz w:val="20"/>
        </w:rPr>
        <w:t>Circunstanciales, E1, 'Fundamentos de arquitectura de computadoras y de sistemas operativos'.</w:t>
      </w:r>
      <w:r>
        <w:rPr>
          <w:rFonts w:ascii="Century Gothic" w:hAnsi="Century Gothic" w:cs="Century Gothic" w:eastAsia="Century Gothic"/>
          <w:b w:val="0"/>
          <w:i w:val="0"/>
          <w:sz w:val="20"/>
        </w:rPr>
        <w:t xml:space="preserve"> Ya se dicta en CPA-102 (hardware y software, arquitectura de entrada-proceso-salida).</w:t>
      </w:r>
    </w:p>
    <w:p>
      <w:pPr>
        <w:numPr>
          <w:ilvl w:val="0"/>
          <w:numId w:val="940"/>
        </w:numPr>
        <w:spacing w:before="0" w:after="160" w:line="240" w:lineRule="auto"/>
        <w:jc w:val="both"/>
      </w:pPr>
      <w:r>
        <w:rPr>
          <w:rFonts w:ascii="Century Gothic" w:hAnsi="Century Gothic" w:cs="Century Gothic" w:eastAsia="Century Gothic"/>
          <w:b/>
          <w:i w:val="0"/>
          <w:sz w:val="20"/>
        </w:rPr>
        <w:t>Circunstanciales, E2, contenidos COSO 2013, COSO ERM 2017 e ISO 31000.</w:t>
      </w:r>
      <w:r>
        <w:rPr>
          <w:rFonts w:ascii="Century Gothic" w:hAnsi="Century Gothic" w:cs="Century Gothic" w:eastAsia="Century Gothic"/>
          <w:b w:val="0"/>
          <w:i w:val="0"/>
          <w:sz w:val="20"/>
        </w:rPr>
        <w:t xml:space="preserve"> No son circunstanciales, pero repiten íntegramente CPA-408 (E1 COSO, E3 COSO-ERM e ISO 31000), que es prerrequisito. La NIA 315 se dicta en CPA-407. Deberían tratarse solo en su aplicación al entorno de TI.</w:t>
      </w:r>
    </w:p>
    <w:p>
      <w:pPr>
        <w:numPr>
          <w:ilvl w:val="0"/>
          <w:numId w:val="940"/>
        </w:numPr>
        <w:spacing w:before="0" w:after="160" w:line="240" w:lineRule="auto"/>
        <w:jc w:val="both"/>
      </w:pPr>
      <w:r>
        <w:rPr>
          <w:rFonts w:ascii="Century Gothic" w:hAnsi="Century Gothic" w:cs="Century Gothic" w:eastAsia="Century Gothic"/>
          <w:b/>
          <w:i w:val="0"/>
          <w:sz w:val="20"/>
        </w:rPr>
        <w:t>Incoherencia interna, Carga horaria y créditos.</w:t>
      </w:r>
      <w:r>
        <w:rPr>
          <w:rFonts w:ascii="Century Gothic" w:hAnsi="Century Gothic" w:cs="Century Gothic" w:eastAsia="Century Gothic"/>
          <w:b w:val="0"/>
          <w:i w:val="0"/>
          <w:sz w:val="20"/>
        </w:rPr>
        <w:t xml:space="preserve"> Están llenados (HP 160, TOTAL 240, 12 créditos) cuando deben quedar en blanco, y contradicen la malla (160 h/año, 8 créditos).</w:t>
      </w:r>
    </w:p>
    <w:p>
      <w:pPr>
        <w:numPr>
          <w:ilvl w:val="0"/>
          <w:numId w:val="940"/>
        </w:numPr>
        <w:spacing w:before="0" w:after="160" w:line="240" w:lineRule="auto"/>
        <w:jc w:val="both"/>
      </w:pPr>
      <w:r>
        <w:rPr>
          <w:rFonts w:ascii="Century Gothic" w:hAnsi="Century Gothic" w:cs="Century Gothic" w:eastAsia="Century Gothic"/>
          <w:b/>
          <w:i w:val="0"/>
          <w:sz w:val="20"/>
        </w:rPr>
        <w:t>Incoherencia interna, E3 y E4, contenidos.</w:t>
      </w:r>
      <w:r>
        <w:rPr>
          <w:rFonts w:ascii="Century Gothic" w:hAnsi="Century Gothic" w:cs="Century Gothic" w:eastAsia="Century Gothic"/>
          <w:b w:val="0"/>
          <w:i w:val="0"/>
          <w:sz w:val="20"/>
        </w:rPr>
        <w:t xml:space="preserve"> 'Evaluación de la globalización en las operaciones de negocio. (P)' aparece dos veces (Temas 11-13 y 14-16) y no se relaciona con el control interno de sistemas ni con las TAAC.</w:t>
      </w:r>
    </w:p>
    <w:p>
      <w:pPr>
        <w:numPr>
          <w:ilvl w:val="0"/>
          <w:numId w:val="940"/>
        </w:numPr>
        <w:spacing w:before="0" w:after="160" w:line="240" w:lineRule="auto"/>
        <w:jc w:val="both"/>
      </w:pPr>
      <w:r>
        <w:rPr>
          <w:rFonts w:ascii="Century Gothic" w:hAnsi="Century Gothic" w:cs="Century Gothic" w:eastAsia="Century Gothic"/>
          <w:b/>
          <w:i w:val="0"/>
          <w:sz w:val="20"/>
        </w:rPr>
        <w:t>Incoherencia interna, E1 frente a CPA-102 y CPA-404.</w:t>
      </w:r>
      <w:r>
        <w:rPr>
          <w:rFonts w:ascii="Century Gothic" w:hAnsi="Century Gothic" w:cs="Century Gothic" w:eastAsia="Century Gothic"/>
          <w:b w:val="0"/>
          <w:i w:val="0"/>
          <w:sz w:val="20"/>
        </w:rPr>
        <w:t xml:space="preserve"> El modelado relacional, la normalización y el SQL repiten CPA-102 E2 (con la misma obra de De Miguel y otros). La tipología TPS/MIS/DSS/ERP/CRM repite CPA-404 E1 (Producto 1, cuadro de clasificación) y ADM-201. Para quinto año convendría partir de esos saberes y centrarse en su auditoría.</w:t>
      </w:r>
    </w:p>
    <w:p>
      <w:pPr>
        <w:numPr>
          <w:ilvl w:val="0"/>
          <w:numId w:val="940"/>
        </w:numPr>
        <w:spacing w:before="0" w:after="200" w:line="240" w:lineRule="auto"/>
        <w:jc w:val="both"/>
      </w:pPr>
      <w:r>
        <w:rPr>
          <w:rFonts w:ascii="Century Gothic" w:hAnsi="Century Gothic" w:cs="Century Gothic" w:eastAsia="Century Gothic"/>
          <w:b/>
          <w:i w:val="0"/>
          <w:sz w:val="20"/>
        </w:rPr>
        <w:t>Incoherencia interna, E3 frente a CPA-404 y CPA-305.</w:t>
      </w:r>
      <w:r>
        <w:rPr>
          <w:rFonts w:ascii="Century Gothic" w:hAnsi="Century Gothic" w:cs="Century Gothic" w:eastAsia="Century Gothic"/>
          <w:b w:val="0"/>
          <w:i w:val="0"/>
          <w:sz w:val="20"/>
        </w:rPr>
        <w:t xml:space="preserve"> Los perfiles de acceso, la segregación de funciones, las pistas de auditoría y la continuidad ya se trabajan en CPA-305 y CPA-404 (controles de aplicación). Aquí deben quedarse en la evaluación y las pruebas, no en el diseño.</w:t>
      </w:r>
    </w:p>
    <w:p>
      <w:pPr>
        <w:spacing w:before="0" w:after="200" w:line="240" w:lineRule="auto"/>
        <w:jc w:val="both"/>
      </w:pPr>
      <w:r>
        <w:rPr>
          <w:rFonts w:ascii="Century Gothic" w:hAnsi="Century Gothic" w:cs="Century Gothic" w:eastAsia="Century Gothic"/>
          <w:b w:val="0"/>
          <w:i w:val="0"/>
          <w:sz w:val="20"/>
        </w:rPr>
        <w:t>Se aplicaron 7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7.39</w:t>
        <w:tab/>
      </w:r>
      <w:r>
        <w:rPr>
          <w:rFonts w:ascii="Century Gothic" w:hAnsi="Century Gothic" w:cs="Century Gothic" w:eastAsia="Century Gothic"/>
          <w:b/>
          <w:i w:val="0"/>
          <w:sz w:val="22"/>
        </w:rPr>
        <w:t>CPA-506 Reportes y Aseguramiento de Sostenibilidad y Auditoría Ambiental</w:t>
      </w:r>
    </w:p>
    <w:p>
      <w:pPr>
        <w:spacing w:before="0" w:after="200" w:line="240" w:lineRule="auto"/>
        <w:jc w:val="both"/>
      </w:pPr>
      <w:r>
        <w:rPr>
          <w:rFonts w:ascii="Century Gothic" w:hAnsi="Century Gothic" w:cs="Century Gothic" w:eastAsia="Century Gothic"/>
          <w:b w:val="0"/>
          <w:i w:val="0"/>
          <w:sz w:val="20"/>
        </w:rPr>
        <w:t xml:space="preserve">Archivo: CPA-506 Aseg de Sostenibilidad y Aud Ambiental Final.docx. Cumple 18 de 23 controles, 3 de forma parcial y no cumple 2.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El contenido está actualizado: NIIF S1 y S2, NIAS 5000 con su vigencia correcta y normas éticas de sostenibilidad. Sin embargo, la cadena de coherencia falla en varios puntos: hay evidencias y productos desplazados en el elemento 1, falta el informe NIAS 5000 como producto, hay rúbricas copiadas (Productos 7 a 12) y productos duplicados en el elemento 3. Además, varias referencias atribuyen marcos a emisores equivocados. Requiere una revisión de fondo antes de aprobarse.</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Datos generales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nombre «Reporte y Aseguramiento de Sostenibilidad y Auditoría Ambiental» frente a «Reportes y Aseguramiento de Sostenibilidad y Auditoría Ambiental» en la malla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(80, , , , , 120)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(6 inversiones); 4 de 24 referencias básicas anteriores a 2016</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41"/>
        </w:numPr>
        <w:spacing w:before="0" w:after="160" w:line="240" w:lineRule="auto"/>
        <w:jc w:val="both"/>
      </w:pPr>
      <w:r>
        <w:rPr>
          <w:rFonts w:ascii="Century Gothic" w:hAnsi="Century Gothic" w:cs="Century Gothic" w:eastAsia="Century Gothic"/>
          <w:b/>
          <w:i w:val="0"/>
          <w:sz w:val="20"/>
        </w:rPr>
        <w:t>Coherencia, E1, criterio 1, evidencia 1.2 / Producto 2.</w:t>
      </w:r>
      <w:r>
        <w:rPr>
          <w:rFonts w:ascii="Century Gothic" w:hAnsi="Century Gothic" w:cs="Century Gothic" w:eastAsia="Century Gothic"/>
          <w:b w:val="0"/>
          <w:i w:val="0"/>
          <w:sz w:val="20"/>
        </w:rPr>
        <w:t xml:space="preserve"> La evidencia 1.2 («Elabora con los hallazgos de cumplimiento legal vigente los atributos de la auditoría ambiental») no se relaciona con su producto, «Cuadro comparativo de los marcos internacionales de información de sostenibilidad», ni con el criterio, que trata obligaciones de revelación. Redactar la evidencia 1.2 como «Compara en equipo los marcos internacionales de información de sostenibilidad».</w:t>
      </w:r>
    </w:p>
    <w:p>
      <w:pPr>
        <w:numPr>
          <w:ilvl w:val="0"/>
          <w:numId w:val="941"/>
        </w:numPr>
        <w:spacing w:before="0" w:after="160" w:line="240" w:lineRule="auto"/>
        <w:jc w:val="both"/>
      </w:pPr>
      <w:r>
        <w:rPr>
          <w:rFonts w:ascii="Century Gothic" w:hAnsi="Century Gothic" w:cs="Century Gothic" w:eastAsia="Century Gothic"/>
          <w:b/>
          <w:i w:val="0"/>
          <w:sz w:val="20"/>
        </w:rPr>
        <w:t>Coherencia, E1, criterio 2, evidencia 2.1 / Producto 3.</w:t>
      </w:r>
      <w:r>
        <w:rPr>
          <w:rFonts w:ascii="Century Gothic" w:hAnsi="Century Gothic" w:cs="Century Gothic" w:eastAsia="Century Gothic"/>
          <w:b w:val="0"/>
          <w:i w:val="0"/>
          <w:sz w:val="20"/>
        </w:rPr>
        <w:t xml:space="preserve"> La evidencia 2.1 compara marcos (Fundación NIIF, ESRS, GRI, SASB), pero su producto es una «Matriz de materialidad y de riesgos y oportunidades relacionados con el clima». La comparación de marcos ya corresponde al Producto 2. Que la evidencia 2.1 sea «Determina en equipo la materialidad y los riesgos y oportunidades relacionados con el clima de la entidad».</w:t>
      </w:r>
    </w:p>
    <w:p>
      <w:pPr>
        <w:numPr>
          <w:ilvl w:val="0"/>
          <w:numId w:val="941"/>
        </w:numPr>
        <w:spacing w:before="0" w:after="160" w:line="240" w:lineRule="auto"/>
        <w:jc w:val="both"/>
      </w:pPr>
      <w:r>
        <w:rPr>
          <w:rFonts w:ascii="Century Gothic" w:hAnsi="Century Gothic" w:cs="Century Gothic" w:eastAsia="Century Gothic"/>
          <w:b/>
          <w:i w:val="0"/>
          <w:sz w:val="20"/>
        </w:rPr>
        <w:t>Coherencia, E2, criterio 1 / Productos 5 y 6.</w:t>
      </w:r>
      <w:r>
        <w:rPr>
          <w:rFonts w:ascii="Century Gothic" w:hAnsi="Century Gothic" w:cs="Century Gothic" w:eastAsia="Century Gothic"/>
          <w:b w:val="0"/>
          <w:i w:val="0"/>
          <w:sz w:val="20"/>
        </w:rPr>
        <w:t xml:space="preserve"> El criterio pide planificar, ejecutar e informar un encargo según la NIAS 5000, pero ningún producto es el informe de aseguramiento. El Producto 6 mezcla un cuadro comparativo con la frase de acción «Forma la conclusión de aseguramiento y elabora el informe…». Separar los productos: un cuadro comparativo del aseguramiento limitado y el razonable, y un informe de aseguramiento de sostenibilidad conforme a la NIAS 5000.</w:t>
      </w:r>
    </w:p>
    <w:p>
      <w:pPr>
        <w:numPr>
          <w:ilvl w:val="0"/>
          <w:numId w:val="941"/>
        </w:numPr>
        <w:spacing w:before="0" w:after="160" w:line="240" w:lineRule="auto"/>
        <w:jc w:val="both"/>
      </w:pPr>
      <w:r>
        <w:rPr>
          <w:rFonts w:ascii="Century Gothic" w:hAnsi="Century Gothic" w:cs="Century Gothic" w:eastAsia="Century Gothic"/>
          <w:b/>
          <w:i w:val="0"/>
          <w:sz w:val="20"/>
        </w:rPr>
        <w:t>Coherencia, E2, criterio 2, evidencia 2.1 / Producto 7.</w:t>
      </w:r>
      <w:r>
        <w:rPr>
          <w:rFonts w:ascii="Century Gothic" w:hAnsi="Century Gothic" w:cs="Century Gothic" w:eastAsia="Century Gothic"/>
          <w:b w:val="0"/>
          <w:i w:val="0"/>
          <w:sz w:val="20"/>
        </w:rPr>
        <w:t xml:space="preserve"> «Toma conocimiento en aula de…» no es una acción observable, y el producto termina con «como parte de su conocimiento adquirido». «Compara en aula la Norma SA8000, la metodología SMETA y la Norma ISO 26000».</w:t>
      </w:r>
    </w:p>
    <w:p>
      <w:pPr>
        <w:numPr>
          <w:ilvl w:val="0"/>
          <w:numId w:val="941"/>
        </w:numPr>
        <w:spacing w:before="0" w:after="160" w:line="240" w:lineRule="auto"/>
        <w:jc w:val="both"/>
      </w:pPr>
      <w:r>
        <w:rPr>
          <w:rFonts w:ascii="Century Gothic" w:hAnsi="Century Gothic" w:cs="Century Gothic" w:eastAsia="Century Gothic"/>
          <w:b/>
          <w:i w:val="0"/>
          <w:sz w:val="20"/>
        </w:rPr>
        <w:t>Coherencia, Rúbrica del Producto 9.</w:t>
      </w:r>
      <w:r>
        <w:rPr>
          <w:rFonts w:ascii="Century Gothic" w:hAnsi="Century Gothic" w:cs="Century Gothic" w:eastAsia="Century Gothic"/>
          <w:b w:val="0"/>
          <w:i w:val="0"/>
          <w:sz w:val="20"/>
        </w:rPr>
        <w:t xml:space="preserve"> Se copió la rúbrica del Producto 5 (Condiciones previas, Términos, Ética e independencia), que no corresponde a un «Esquema de los tipos de auditoría ambiental con su base normativa». Usar criterios como tipos de auditoría ambiental, base normativa y presentación.</w:t>
      </w:r>
    </w:p>
    <w:p>
      <w:pPr>
        <w:numPr>
          <w:ilvl w:val="0"/>
          <w:numId w:val="941"/>
        </w:numPr>
        <w:spacing w:before="0" w:after="160" w:line="240" w:lineRule="auto"/>
        <w:jc w:val="both"/>
      </w:pPr>
      <w:r>
        <w:rPr>
          <w:rFonts w:ascii="Century Gothic" w:hAnsi="Century Gothic" w:cs="Century Gothic" w:eastAsia="Century Gothic"/>
          <w:b/>
          <w:i w:val="0"/>
          <w:sz w:val="20"/>
        </w:rPr>
        <w:t>Coherencia, Rúbricas de los Productos 7, 8, 10 y 12.</w:t>
      </w:r>
      <w:r>
        <w:rPr>
          <w:rFonts w:ascii="Century Gothic" w:hAnsi="Century Gothic" w:cs="Century Gothic" w:eastAsia="Century Gothic"/>
          <w:b w:val="0"/>
          <w:i w:val="0"/>
          <w:sz w:val="20"/>
        </w:rPr>
        <w:t xml:space="preserve"> Son copias de otras rúbricas: la del Producto 7 repite la del Producto 2 («Explica la consolidación de emisores en las normas sociales»), y las de los Productos 8, 10 y 12 evalúan «El equipo sustenta el cuadro con la norma», aunque son informes. Los niveles Destacado de los Productos 8 y 12 están en infinitivo («Opinar con razonabilidad…»). Redactar criterios propios de cada informe: alcance, hallazgos, conclusión.</w:t>
      </w:r>
    </w:p>
    <w:p>
      <w:pPr>
        <w:numPr>
          <w:ilvl w:val="0"/>
          <w:numId w:val="941"/>
        </w:numPr>
        <w:spacing w:before="0" w:after="160" w:line="240" w:lineRule="auto"/>
        <w:jc w:val="both"/>
      </w:pPr>
      <w:r>
        <w:rPr>
          <w:rFonts w:ascii="Century Gothic" w:hAnsi="Century Gothic" w:cs="Century Gothic" w:eastAsia="Century Gothic"/>
          <w:b/>
          <w:i w:val="0"/>
          <w:sz w:val="20"/>
        </w:rPr>
        <w:t>Coherencia, E3, Productos 9 a 12.</w:t>
      </w:r>
      <w:r>
        <w:rPr>
          <w:rFonts w:ascii="Century Gothic" w:hAnsi="Century Gothic" w:cs="Century Gothic" w:eastAsia="Century Gothic"/>
          <w:b w:val="0"/>
          <w:i w:val="0"/>
          <w:sz w:val="20"/>
        </w:rPr>
        <w:t xml:space="preserve"> Los Productos 10 y 12 son casi iguales (planificación, ejecución e informe de una auditoría ambiental gubernamental) y también los Productos 9 y 11. La Contraloría General del Estado es la Entidad Fiscalizadora Superior de Bolivia, por lo que la distinción entre «normas de la Contraloría» y «metodología de las EFS» no justifica productos duplicados. Integrar la metodología de la INTOSAI en un solo producto y usar el otro para una etapa distinta, como el seguimiento de recomendaciones.</w:t>
      </w:r>
    </w:p>
    <w:p>
      <w:pPr>
        <w:numPr>
          <w:ilvl w:val="0"/>
          <w:numId w:val="941"/>
        </w:numPr>
        <w:spacing w:before="0" w:after="160" w:line="240" w:lineRule="auto"/>
        <w:jc w:val="both"/>
      </w:pPr>
      <w:r>
        <w:rPr>
          <w:rFonts w:ascii="Century Gothic" w:hAnsi="Century Gothic" w:cs="Century Gothic" w:eastAsia="Century Gothic"/>
          <w:b/>
          <w:i w:val="0"/>
          <w:sz w:val="20"/>
        </w:rPr>
        <w:t>Coherencia, Producto 1, rúbrica, criterio «Normas».</w:t>
      </w:r>
      <w:r>
        <w:rPr>
          <w:rFonts w:ascii="Century Gothic" w:hAnsi="Century Gothic" w:cs="Century Gothic" w:eastAsia="Century Gothic"/>
          <w:b w:val="0"/>
          <w:i w:val="0"/>
          <w:sz w:val="20"/>
        </w:rPr>
        <w:t xml:space="preserve"> El nivel Destacado dice «Aprende, analiza y aplica la norma», y «Aprende» no es observable. «Relaciona cada norma con la obligación concreta de la entidad».</w:t>
      </w:r>
    </w:p>
    <w:p>
      <w:pPr>
        <w:numPr>
          <w:ilvl w:val="0"/>
          <w:numId w:val="941"/>
        </w:numPr>
        <w:spacing w:before="0" w:after="160" w:line="240" w:lineRule="auto"/>
        <w:jc w:val="both"/>
      </w:pPr>
      <w:r>
        <w:rPr>
          <w:rFonts w:ascii="Century Gothic" w:hAnsi="Century Gothic" w:cs="Century Gothic" w:eastAsia="Century Gothic"/>
          <w:b/>
          <w:i w:val="0"/>
          <w:sz w:val="20"/>
        </w:rPr>
        <w:t>Contenido técnico, E1, evidencia 2.1.</w:t>
      </w:r>
      <w:r>
        <w:rPr>
          <w:rFonts w:ascii="Century Gothic" w:hAnsi="Century Gothic" w:cs="Century Gothic" w:eastAsia="Century Gothic"/>
          <w:b w:val="0"/>
          <w:i w:val="0"/>
          <w:sz w:val="20"/>
        </w:rPr>
        <w:t xml:space="preserve"> «normas europeas ESRS - ESG – GRI»: ESG no es una norma, y la GRI no es europea. «las Normas Europeas de Información sobre Sostenibilidad (ESRS), los Estándares GRI y los estándares SASB».</w:t>
      </w:r>
    </w:p>
    <w:p>
      <w:pPr>
        <w:numPr>
          <w:ilvl w:val="0"/>
          <w:numId w:val="941"/>
        </w:numPr>
        <w:spacing w:before="0" w:after="160" w:line="240" w:lineRule="auto"/>
        <w:jc w:val="both"/>
      </w:pPr>
      <w:r>
        <w:rPr>
          <w:rFonts w:ascii="Century Gothic" w:hAnsi="Century Gothic" w:cs="Century Gothic" w:eastAsia="Century Gothic"/>
          <w:b/>
          <w:i w:val="0"/>
          <w:sz w:val="20"/>
        </w:rPr>
        <w:t>Contenido técnico, E1, contenidos, «La Federación Internacional de Contadores y sus comités, consejos y fundaciones emisores de normas de información financiera…».</w:t>
      </w:r>
      <w:r>
        <w:rPr>
          <w:rFonts w:ascii="Century Gothic" w:hAnsi="Century Gothic" w:cs="Century Gothic" w:eastAsia="Century Gothic"/>
          <w:b w:val="0"/>
          <w:i w:val="0"/>
          <w:sz w:val="20"/>
        </w:rPr>
        <w:t xml:space="preserve"> La IFAC respalda al IAASB, al IESBA y al IPSASB, pero las Normas NIIF las emite el IASB de la Fundación IFRS, que es independiente de la IFAC. Distinguir a la Fundación IFRS (IASB e ISSB) de los consejos que respalda la IFAC.</w:t>
      </w:r>
    </w:p>
    <w:p>
      <w:pPr>
        <w:numPr>
          <w:ilvl w:val="0"/>
          <w:numId w:val="941"/>
        </w:numPr>
        <w:spacing w:before="0" w:after="160" w:line="240" w:lineRule="auto"/>
        <w:jc w:val="both"/>
      </w:pPr>
      <w:r>
        <w:rPr>
          <w:rFonts w:ascii="Century Gothic" w:hAnsi="Century Gothic" w:cs="Century Gothic" w:eastAsia="Century Gothic"/>
          <w:b/>
          <w:i w:val="0"/>
          <w:sz w:val="20"/>
        </w:rPr>
        <w:t>Contenido técnico, Bibliografía básica, IBNORCA.</w:t>
      </w:r>
      <w:r>
        <w:rPr>
          <w:rFonts w:ascii="Century Gothic" w:hAnsi="Century Gothic" w:cs="Century Gothic" w:eastAsia="Century Gothic"/>
          <w:b w:val="0"/>
          <w:i w:val="0"/>
          <w:sz w:val="20"/>
        </w:rPr>
        <w:t xml:space="preserve"> Incluye «normas americanas OSHA» junto a las Normas Bolivianas y la ISO 14001. La OSHA es una agencia de seguridad laboral de Estados Unidos, no emite normas ambientales ni las adopta el IBNORCA. Retirar la mención a la OSHA o citarla por separado si se usa para salud ocupacional.</w:t>
      </w:r>
    </w:p>
    <w:p>
      <w:pPr>
        <w:numPr>
          <w:ilvl w:val="0"/>
          <w:numId w:val="941"/>
        </w:numPr>
        <w:spacing w:before="0" w:after="160" w:line="240" w:lineRule="auto"/>
        <w:jc w:val="both"/>
      </w:pPr>
      <w:r>
        <w:rPr>
          <w:rFonts w:ascii="Century Gothic" w:hAnsi="Century Gothic" w:cs="Century Gothic" w:eastAsia="Century Gothic"/>
          <w:b/>
          <w:i w:val="0"/>
          <w:sz w:val="20"/>
        </w:rPr>
        <w:t>Contenido técnico, Bibliografía básica, CDSB y SASB.</w:t>
      </w:r>
      <w:r>
        <w:rPr>
          <w:rFonts w:ascii="Century Gothic" w:hAnsi="Century Gothic" w:cs="Century Gothic" w:eastAsia="Century Gothic"/>
          <w:b w:val="0"/>
          <w:i w:val="0"/>
          <w:sz w:val="20"/>
        </w:rPr>
        <w:t xml:space="preserve"> Atribuye a la CDSB (2023) las recomendaciones del TCFD y a la SASB el «Marco de Información Integrada». La CDSB se integró a la Fundación IFRS en 2022 y el TCFD se disolvió en 2023 tras transferir su seguimiento al ISSB; el Marco de Información Integrada es del IIRC y de la Fundación de Informes de Valor, no de la SASB. Citar cada documento con su emisor real y como antecedente de las NIIF S1 y S2.</w:t>
      </w:r>
    </w:p>
    <w:p>
      <w:pPr>
        <w:numPr>
          <w:ilvl w:val="0"/>
          <w:numId w:val="941"/>
        </w:numPr>
        <w:spacing w:before="0" w:after="160" w:line="240" w:lineRule="auto"/>
        <w:jc w:val="both"/>
      </w:pPr>
      <w:r>
        <w:rPr>
          <w:rFonts w:ascii="Century Gothic" w:hAnsi="Century Gothic" w:cs="Century Gothic" w:eastAsia="Century Gothic"/>
          <w:b/>
          <w:i w:val="0"/>
          <w:sz w:val="20"/>
        </w:rPr>
        <w:t>Contenido técnico, Bibliografía básica, IAASB.</w:t>
      </w:r>
      <w:r>
        <w:rPr>
          <w:rFonts w:ascii="Century Gothic" w:hAnsi="Century Gothic" w:cs="Century Gothic" w:eastAsia="Century Gothic"/>
          <w:b w:val="0"/>
          <w:i w:val="0"/>
          <w:sz w:val="20"/>
        </w:rPr>
        <w:t xml:space="preserve"> Cita la NIAS 5000 como «IAASB (2023)… Emitida… en noviembre de 2024», con año contradictorio. Además, el manual de 2018 está desactualizado. «IAASB (2024). Norma Internacional de Aseguramiento de la Sostenibilidad (NIAS) 5000», más el Handbook vigente.</w:t>
      </w:r>
    </w:p>
    <w:p>
      <w:pPr>
        <w:numPr>
          <w:ilvl w:val="0"/>
          <w:numId w:val="941"/>
        </w:numPr>
        <w:spacing w:before="0" w:after="160" w:line="240" w:lineRule="auto"/>
        <w:jc w:val="both"/>
      </w:pPr>
      <w:r>
        <w:rPr>
          <w:rFonts w:ascii="Century Gothic" w:hAnsi="Century Gothic" w:cs="Century Gothic" w:eastAsia="Century Gothic"/>
          <w:b/>
          <w:i w:val="0"/>
          <w:sz w:val="20"/>
        </w:rPr>
        <w:t>Contenido técnico, E3, conocimientos circunstanciales y bibliografía.</w:t>
      </w:r>
      <w:r>
        <w:rPr>
          <w:rFonts w:ascii="Century Gothic" w:hAnsi="Century Gothic" w:cs="Century Gothic" w:eastAsia="Century Gothic"/>
          <w:b w:val="0"/>
          <w:i w:val="0"/>
          <w:sz w:val="20"/>
        </w:rPr>
        <w:t xml:space="preserve"> Cita las «ISSAI 5110 a 5140». En el Marco de Pronunciamientos Profesionales de la INTOSAI (IFPP), esos documentos pasaron a guías de la serie GUID 5200; la bibliografía mezcla ambas numeraciones. Citar solo la numeración GUID vigente.</w:t>
      </w:r>
    </w:p>
    <w:p>
      <w:pPr>
        <w:numPr>
          <w:ilvl w:val="0"/>
          <w:numId w:val="941"/>
        </w:numPr>
        <w:spacing w:before="0" w:after="160" w:line="240" w:lineRule="auto"/>
        <w:jc w:val="both"/>
      </w:pPr>
      <w:r>
        <w:rPr>
          <w:rFonts w:ascii="Century Gothic" w:hAnsi="Century Gothic" w:cs="Century Gothic" w:eastAsia="Century Gothic"/>
          <w:b/>
          <w:i w:val="0"/>
          <w:sz w:val="20"/>
        </w:rPr>
        <w:t>Contenido técnico, E1, Tema 6, contenidos.</w:t>
      </w:r>
      <w:r>
        <w:rPr>
          <w:rFonts w:ascii="Century Gothic" w:hAnsi="Century Gothic" w:cs="Century Gothic" w:eastAsia="Century Gothic"/>
          <w:b w:val="0"/>
          <w:i w:val="0"/>
          <w:sz w:val="20"/>
        </w:rPr>
        <w:t xml:space="preserve"> «finanzas y bebida alimenticia» no corresponde a la clasificación SASB, cuyos sectores son «Financieros» y «Alimentos y bebidas». Escribir «financieros; alimentos y bebidas».</w:t>
      </w:r>
    </w:p>
    <w:p>
      <w:pPr>
        <w:numPr>
          <w:ilvl w:val="0"/>
          <w:numId w:val="941"/>
        </w:numPr>
        <w:spacing w:before="0" w:after="160" w:line="240" w:lineRule="auto"/>
        <w:jc w:val="both"/>
      </w:pPr>
      <w:r>
        <w:rPr>
          <w:rFonts w:ascii="Century Gothic" w:hAnsi="Century Gothic" w:cs="Century Gothic" w:eastAsia="Century Gothic"/>
          <w:b/>
          <w:i w:val="0"/>
          <w:sz w:val="20"/>
        </w:rPr>
        <w:t>Marcas de saber, E1, «Normas SASB de los sectores de ropa, accesorios y calzado… (C, T)».</w:t>
      </w:r>
      <w:r>
        <w:rPr>
          <w:rFonts w:ascii="Century Gothic" w:hAnsi="Century Gothic" w:cs="Century Gothic" w:eastAsia="Century Gothic"/>
          <w:b w:val="0"/>
          <w:i w:val="0"/>
          <w:sz w:val="20"/>
        </w:rPr>
        <w:t xml:space="preserve"> Lleva (T), pero el contenido es una lista de normas sectoriales y no exige operar ninguna herramienta.</w:t>
      </w:r>
    </w:p>
    <w:p>
      <w:pPr>
        <w:numPr>
          <w:ilvl w:val="0"/>
          <w:numId w:val="941"/>
        </w:numPr>
        <w:spacing w:before="0" w:after="160" w:line="240" w:lineRule="auto"/>
        <w:jc w:val="both"/>
      </w:pPr>
      <w:r>
        <w:rPr>
          <w:rFonts w:ascii="Century Gothic" w:hAnsi="Century Gothic" w:cs="Century Gothic" w:eastAsia="Century Gothic"/>
          <w:b/>
          <w:i w:val="0"/>
          <w:sz w:val="20"/>
        </w:rPr>
        <w:t>Marcas de saber, E1, «La Bolsa Boliviana de Valores y las finanzas sostenibles…» y «Bonos verdes, sociales y sostenibles…» (C, A).</w:t>
      </w:r>
      <w:r>
        <w:rPr>
          <w:rFonts w:ascii="Century Gothic" w:hAnsi="Century Gothic" w:cs="Century Gothic" w:eastAsia="Century Gothic"/>
          <w:b w:val="0"/>
          <w:i w:val="0"/>
          <w:sz w:val="20"/>
        </w:rPr>
        <w:t xml:space="preserve"> Llevan (A) sin una conducta observable.</w:t>
      </w:r>
    </w:p>
    <w:p>
      <w:pPr>
        <w:numPr>
          <w:ilvl w:val="0"/>
          <w:numId w:val="941"/>
        </w:numPr>
        <w:spacing w:before="0" w:after="160" w:line="240" w:lineRule="auto"/>
        <w:jc w:val="both"/>
      </w:pPr>
      <w:r>
        <w:rPr>
          <w:rFonts w:ascii="Century Gothic" w:hAnsi="Century Gothic" w:cs="Century Gothic" w:eastAsia="Century Gothic"/>
          <w:b/>
          <w:i w:val="0"/>
          <w:sz w:val="20"/>
        </w:rPr>
        <w:t>Marcas de saber, E3, contenidos de los Temas 11 a 13.</w:t>
      </w:r>
      <w:r>
        <w:rPr>
          <w:rFonts w:ascii="Century Gothic" w:hAnsi="Century Gothic" w:cs="Century Gothic" w:eastAsia="Century Gothic"/>
          <w:b w:val="0"/>
          <w:i w:val="0"/>
          <w:sz w:val="20"/>
        </w:rPr>
        <w:t xml:space="preserve"> Casi todos llevan (C, P, A) de forma mecánica, por ejemplo «Fase de planeación, fase de ejecución, fase de informe y técnicas de auditoría. (C, P, A)», sin que el contenido mencione una conducta esperada.</w:t>
      </w:r>
    </w:p>
    <w:p>
      <w:pPr>
        <w:numPr>
          <w:ilvl w:val="0"/>
          <w:numId w:val="941"/>
        </w:numPr>
        <w:spacing w:before="0" w:after="160" w:line="240" w:lineRule="auto"/>
        <w:jc w:val="both"/>
      </w:pPr>
      <w:r>
        <w:rPr>
          <w:rFonts w:ascii="Century Gothic" w:hAnsi="Century Gothic" w:cs="Century Gothic" w:eastAsia="Century Gothic"/>
          <w:b/>
          <w:i w:val="0"/>
          <w:sz w:val="20"/>
        </w:rPr>
        <w:t>Circunstanciales, E2, conocimientos circunstanciales.</w:t>
      </w:r>
      <w:r>
        <w:rPr>
          <w:rFonts w:ascii="Century Gothic" w:hAnsi="Century Gothic" w:cs="Century Gothic" w:eastAsia="Century Gothic"/>
          <w:b w:val="0"/>
          <w:i w:val="0"/>
          <w:sz w:val="20"/>
        </w:rPr>
        <w:t xml:space="preserve"> Las «Normas Internacionales de Ética para el Aseguramiento de la Sostenibilidad» se dictan en CPA-406 Ética e Independencia Profesional y además ya figuran como contenido del Tema 7. La NIAS 5000 también aparece como circunstancial, aunque es el contenido central del elemento.</w:t>
      </w:r>
    </w:p>
    <w:p>
      <w:pPr>
        <w:numPr>
          <w:ilvl w:val="0"/>
          <w:numId w:val="941"/>
        </w:numPr>
        <w:spacing w:before="0" w:after="160" w:line="240" w:lineRule="auto"/>
        <w:jc w:val="both"/>
      </w:pPr>
      <w:r>
        <w:rPr>
          <w:rFonts w:ascii="Century Gothic" w:hAnsi="Century Gothic" w:cs="Century Gothic" w:eastAsia="Century Gothic"/>
          <w:b/>
          <w:i w:val="0"/>
          <w:sz w:val="20"/>
        </w:rPr>
        <w:t>Circunstanciales, E3, conocimientos circunstanciales.</w:t>
      </w:r>
      <w:r>
        <w:rPr>
          <w:rFonts w:ascii="Century Gothic" w:hAnsi="Century Gothic" w:cs="Century Gothic" w:eastAsia="Century Gothic"/>
          <w:b w:val="0"/>
          <w:i w:val="0"/>
          <w:sz w:val="20"/>
        </w:rPr>
        <w:t xml:space="preserve"> «Planificación de la Auditoría Ambiental», «Ejecución…» e «Informe…» son el contenido propio del elemento, no conocimientos circunstanciales.</w:t>
      </w:r>
    </w:p>
    <w:p>
      <w:pPr>
        <w:numPr>
          <w:ilvl w:val="0"/>
          <w:numId w:val="941"/>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Solo están llenas HP 80 y TOTAL 120; las demás columnas están vacías, así que el total no cuadra. La guía pide dejar todo en blanco, y la malla fija 80 h/año.</w:t>
      </w:r>
    </w:p>
    <w:p>
      <w:pPr>
        <w:numPr>
          <w:ilvl w:val="0"/>
          <w:numId w:val="941"/>
        </w:numPr>
        <w:spacing w:before="0" w:after="160" w:line="240" w:lineRule="auto"/>
        <w:jc w:val="both"/>
      </w:pPr>
      <w:r>
        <w:rPr>
          <w:rFonts w:ascii="Century Gothic" w:hAnsi="Century Gothic" w:cs="Century Gothic" w:eastAsia="Century Gothic"/>
          <w:b/>
          <w:i w:val="0"/>
          <w:sz w:val="20"/>
        </w:rPr>
        <w:t>Incoherencia interna, E1, contenidos.</w:t>
      </w:r>
      <w:r>
        <w:rPr>
          <w:rFonts w:ascii="Century Gothic" w:hAnsi="Century Gothic" w:cs="Century Gothic" w:eastAsia="Century Gothic"/>
          <w:b w:val="0"/>
          <w:i w:val="0"/>
          <w:sz w:val="20"/>
        </w:rPr>
        <w:t xml:space="preserve"> Contenido duplicado: «Ley de Derechos de la Madre Tierra y Ley Marco de la Madre Tierra…» y, a continuación, «Ley N° 071 de Derechos de la Madre Tierra y Ley N° 300 Marco…».</w:t>
      </w:r>
    </w:p>
    <w:p>
      <w:pPr>
        <w:numPr>
          <w:ilvl w:val="0"/>
          <w:numId w:val="941"/>
        </w:numPr>
        <w:spacing w:before="0" w:after="160" w:line="240" w:lineRule="auto"/>
        <w:jc w:val="both"/>
      </w:pPr>
      <w:r>
        <w:rPr>
          <w:rFonts w:ascii="Century Gothic" w:hAnsi="Century Gothic" w:cs="Century Gothic" w:eastAsia="Century Gothic"/>
          <w:b/>
          <w:i w:val="0"/>
          <w:sz w:val="20"/>
        </w:rPr>
        <w:t>Incoherencia interna, Bibliografía básica.</w:t>
      </w:r>
      <w:r>
        <w:rPr>
          <w:rFonts w:ascii="Century Gothic" w:hAnsi="Century Gothic" w:cs="Century Gothic" w:eastAsia="Century Gothic"/>
          <w:b w:val="0"/>
          <w:i w:val="0"/>
          <w:sz w:val="20"/>
        </w:rPr>
        <w:t xml:space="preserve"> No está en orden alfabético y repite entradas: las Leyes N° 071 y N° 300 aparecen dos veces, y las dos entradas de la INTOSAI (2000 y 2022) aparecen dos veces cada una.</w:t>
      </w:r>
    </w:p>
    <w:p>
      <w:pPr>
        <w:numPr>
          <w:ilvl w:val="0"/>
          <w:numId w:val="941"/>
        </w:numPr>
        <w:spacing w:before="0" w:after="160" w:line="240" w:lineRule="auto"/>
        <w:jc w:val="both"/>
      </w:pPr>
      <w:r>
        <w:rPr>
          <w:rFonts w:ascii="Century Gothic" w:hAnsi="Century Gothic" w:cs="Century Gothic" w:eastAsia="Century Gothic"/>
          <w:b/>
          <w:i w:val="0"/>
          <w:sz w:val="20"/>
        </w:rPr>
        <w:t>Incoherencia interna, E1, Temas 4 a 6.</w:t>
      </w:r>
      <w:r>
        <w:rPr>
          <w:rFonts w:ascii="Century Gothic" w:hAnsi="Century Gothic" w:cs="Century Gothic" w:eastAsia="Century Gothic"/>
          <w:b w:val="0"/>
          <w:i w:val="0"/>
          <w:sz w:val="20"/>
        </w:rPr>
        <w:t xml:space="preserve"> La preparación de reportes según las NIIF S1 y S2 repite CPA-301 Contabilidad Internacional, que ya dicta el ISSB y las NIIF S1 y S2. La lista detallada de las normas SASB por sector es excesiva para una asignatura de 2 h/semana.</w:t>
      </w:r>
    </w:p>
    <w:p>
      <w:pPr>
        <w:numPr>
          <w:ilvl w:val="0"/>
          <w:numId w:val="941"/>
        </w:numPr>
        <w:spacing w:before="0" w:after="200" w:line="240" w:lineRule="auto"/>
        <w:jc w:val="both"/>
      </w:pPr>
      <w:r>
        <w:rPr>
          <w:rFonts w:ascii="Century Gothic" w:hAnsi="Century Gothic" w:cs="Century Gothic" w:eastAsia="Century Gothic"/>
          <w:b/>
          <w:i w:val="0"/>
          <w:sz w:val="20"/>
        </w:rPr>
        <w:t>Incoherencia interna, Bibliografía complementaria.</w:t>
      </w:r>
      <w:r>
        <w:rPr>
          <w:rFonts w:ascii="Century Gothic" w:hAnsi="Century Gothic" w:cs="Century Gothic" w:eastAsia="Century Gothic"/>
          <w:b w:val="0"/>
          <w:i w:val="0"/>
          <w:sz w:val="20"/>
        </w:rPr>
        <w:t xml:space="preserve"> «Quisbert Blanco, Á. (2026)»: el docente de la asignatura figura en el informe como «Angel Blanco Quisbert». Conviene verificar el orden de los apellidos.</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usa el nombre de la malla, «Reportes y Aseguramiento de Sostenibilidad y Auditoría Ambiental», mientras el itinerario dice «Reporte…». No registra cambios ni justificaciones, y marca «Sí» en los puntos sobre carga horaria y rúbricas, aunque la carga no cuadra y varias rúbricas están copiadas de otros productos.</w:t>
      </w:r>
    </w:p>
    <w:p>
      <w:pPr>
        <w:spacing w:before="0" w:after="200" w:line="240" w:lineRule="auto"/>
        <w:jc w:val="both"/>
      </w:pPr>
      <w:r>
        <w:rPr>
          <w:rFonts w:ascii="Century Gothic" w:hAnsi="Century Gothic" w:cs="Century Gothic" w:eastAsia="Century Gothic"/>
          <w:b w:val="0"/>
          <w:i w:val="0"/>
          <w:sz w:val="20"/>
        </w:rPr>
        <w:t>Se aplicaron 14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7.40</w:t>
        <w:tab/>
      </w:r>
      <w:r>
        <w:rPr>
          <w:rFonts w:ascii="Century Gothic" w:hAnsi="Century Gothic" w:cs="Century Gothic" w:eastAsia="Century Gothic"/>
          <w:b/>
          <w:i w:val="0"/>
          <w:sz w:val="22"/>
        </w:rPr>
        <w:t>CPA-507 Auditoría de Proyectos Público y Privado</w:t>
      </w:r>
    </w:p>
    <w:p>
      <w:pPr>
        <w:spacing w:before="0" w:after="200" w:line="240" w:lineRule="auto"/>
        <w:jc w:val="both"/>
      </w:pPr>
      <w:r>
        <w:rPr>
          <w:rFonts w:ascii="Century Gothic" w:hAnsi="Century Gothic" w:cs="Century Gothic" w:eastAsia="Century Gothic"/>
          <w:b w:val="0"/>
          <w:i w:val="0"/>
          <w:sz w:val="20"/>
        </w:rPr>
        <w:t xml:space="preserve">Archivo: CPA-507 Auditoria de Proyectos.docx. Cumple 14 de 23 controles, 4 de forma parcial y no cumple 5.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Es el itinerario más actualizado y mejor encadenado del grupo, con normas vigentes y bien citadas (NICSP 47, NIIF para las PYMES 2025, INPAS, NIA 240 Revisada, NISR 4400 Revisada, ISSAI 4000) y rúbricas propias de cada producto. Faltan la justificación formal del cambio de nombre, el ajuste del elemento 3, la limpieza de la bibliografía no disciplinar y la reducción de los temas que repite de CPA-407, CPA-408 y CPA-505.</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Datos generales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nombre «Auditoría de Entidades Sin Fines de Lucro – Proyectos Privados y Públicos» frente a «Auditoría de Proyectos Público y Privado» en la malla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(80, 14, 12, 7, 7, 120)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procesos en gerundio; 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C16</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Rúbricas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rúbricas con niveles distintos de 1–50, 51–80 y 81–100 (p. ej., «Criterio Insuficiente (0–50) Suficiente (51–80) Destacado (81–100)»)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(1 inversiones); 4 de 30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(3), «para que»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solo 2 fragmentos resaltados en amarillo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todo el documento en una fuente distinta de Times New Roman (Inter-Bold, Inter-Regular)</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42"/>
        </w:numPr>
        <w:spacing w:before="0" w:after="160" w:line="240" w:lineRule="auto"/>
        <w:jc w:val="both"/>
      </w:pPr>
      <w:r>
        <w:rPr>
          <w:rFonts w:ascii="Century Gothic" w:hAnsi="Century Gothic" w:cs="Century Gothic" w:eastAsia="Century Gothic"/>
          <w:b/>
          <w:i w:val="0"/>
          <w:sz w:val="20"/>
        </w:rPr>
        <w:t>Coherencia, E3, elemento frente al criterio 1 / Productos 9 y 10.</w:t>
      </w:r>
      <w:r>
        <w:rPr>
          <w:rFonts w:ascii="Century Gothic" w:hAnsi="Century Gothic" w:cs="Century Gothic" w:eastAsia="Century Gothic"/>
          <w:b w:val="0"/>
          <w:i w:val="0"/>
          <w:sz w:val="20"/>
        </w:rPr>
        <w:t xml:space="preserve"> El elemento trata la evaluación del control interno, pero el criterio 1 y sus productos (cuadro del proceso de auditoría según el origen de los fondos y matriz por fase del proyecto de inversión pública) tratan el proceso de auditoría y la inversión pública, no el control interno. Ampliar el enunciado del elemento («Determina el proceso de auditoría aplicable y evalúa el control interno…») o trasladar el criterio 1 al elemento 4.</w:t>
      </w:r>
    </w:p>
    <w:p>
      <w:pPr>
        <w:numPr>
          <w:ilvl w:val="0"/>
          <w:numId w:val="942"/>
        </w:numPr>
        <w:spacing w:before="0" w:after="160" w:line="240" w:lineRule="auto"/>
        <w:jc w:val="both"/>
      </w:pPr>
      <w:r>
        <w:rPr>
          <w:rFonts w:ascii="Century Gothic" w:hAnsi="Century Gothic" w:cs="Century Gothic" w:eastAsia="Century Gothic"/>
          <w:b/>
          <w:i w:val="0"/>
          <w:sz w:val="20"/>
        </w:rPr>
        <w:t>Coherencia, E2, criterio 1, evidencia 1.1 / Producto 5.</w:t>
      </w:r>
      <w:r>
        <w:rPr>
          <w:rFonts w:ascii="Century Gothic" w:hAnsi="Century Gothic" w:cs="Century Gothic" w:eastAsia="Century Gothic"/>
          <w:b w:val="0"/>
          <w:i w:val="0"/>
          <w:sz w:val="20"/>
        </w:rPr>
        <w:t xml:space="preserve"> La evidencia es resolver un caso de reconocimiento de subvenciones y donaciones, pero el producto son los estados financieros completos, de propósito general y específico, de la entidad y su proyecto, un resultado mayor que la acción observada. Ajustar la evidencia: «Elabora en aula los estados financieros de propósito general y específico, reconociendo las subvenciones…».</w:t>
      </w:r>
    </w:p>
    <w:p>
      <w:pPr>
        <w:numPr>
          <w:ilvl w:val="0"/>
          <w:numId w:val="942"/>
        </w:numPr>
        <w:spacing w:before="0" w:after="160" w:line="240" w:lineRule="auto"/>
        <w:jc w:val="both"/>
      </w:pPr>
      <w:r>
        <w:rPr>
          <w:rFonts w:ascii="Century Gothic" w:hAnsi="Century Gothic" w:cs="Century Gothic" w:eastAsia="Century Gothic"/>
          <w:b/>
          <w:i w:val="0"/>
          <w:sz w:val="20"/>
        </w:rPr>
        <w:t>Coherencia, E4, criterio 2 / Producto 16.</w:t>
      </w:r>
      <w:r>
        <w:rPr>
          <w:rFonts w:ascii="Century Gothic" w:hAnsi="Century Gothic" w:cs="Century Gothic" w:eastAsia="Century Gothic"/>
          <w:b w:val="0"/>
          <w:i w:val="0"/>
          <w:sz w:val="20"/>
        </w:rPr>
        <w:t xml:space="preserve"> El criterio incluye el informe de cumplimiento (ISSAI 4000 / NIEA 3000), pero el Producto 16 solo admite auditoría, revisión o procedimientos acordados, y ninguna rúbrica evalúa un informe de cumplimiento. Incluir el informe de cumplimiento como opción del Producto 16 o quitarlo del criterio.</w:t>
      </w:r>
    </w:p>
    <w:p>
      <w:pPr>
        <w:numPr>
          <w:ilvl w:val="0"/>
          <w:numId w:val="942"/>
        </w:numPr>
        <w:spacing w:before="0" w:after="160" w:line="240" w:lineRule="auto"/>
        <w:jc w:val="both"/>
      </w:pPr>
      <w:r>
        <w:rPr>
          <w:rFonts w:ascii="Century Gothic" w:hAnsi="Century Gothic" w:cs="Century Gothic" w:eastAsia="Century Gothic"/>
          <w:b/>
          <w:i w:val="0"/>
          <w:sz w:val="20"/>
        </w:rPr>
        <w:t>Marcas de saber, E1, «Consulta de normativa y de registros públicos en línea…. (T)»; E1, «Lectura de estados financieros… publicados en los portales… (T)»; E4, «Consulta de manuales y términos de referencia en los portales…; lectura en inglés técnico. (T)».</w:t>
      </w:r>
      <w:r>
        <w:rPr>
          <w:rFonts w:ascii="Century Gothic" w:hAnsi="Century Gothic" w:cs="Century Gothic" w:eastAsia="Century Gothic"/>
          <w:b w:val="0"/>
          <w:i w:val="0"/>
          <w:sz w:val="20"/>
        </w:rPr>
        <w:t xml:space="preserve"> Consultar o leer un portal no es operar una herramienta: según la guía, esos contenidos son (C) o (P).</w:t>
      </w:r>
    </w:p>
    <w:p>
      <w:pPr>
        <w:numPr>
          <w:ilvl w:val="0"/>
          <w:numId w:val="942"/>
        </w:numPr>
        <w:spacing w:before="0" w:after="160" w:line="240" w:lineRule="auto"/>
        <w:jc w:val="both"/>
      </w:pPr>
      <w:r>
        <w:rPr>
          <w:rFonts w:ascii="Century Gothic" w:hAnsi="Century Gothic" w:cs="Century Gothic" w:eastAsia="Century Gothic"/>
          <w:b/>
          <w:i w:val="0"/>
          <w:sz w:val="20"/>
        </w:rPr>
        <w:t>Marcas de saber, E4, Tema 16, «Redacción técnica clara, objetiva y fundamentada. (A)».</w:t>
      </w:r>
      <w:r>
        <w:rPr>
          <w:rFonts w:ascii="Century Gothic" w:hAnsi="Century Gothic" w:cs="Century Gothic" w:eastAsia="Century Gothic"/>
          <w:b w:val="0"/>
          <w:i w:val="0"/>
          <w:sz w:val="20"/>
        </w:rPr>
        <w:t xml:space="preserve"> Es una habilidad procedimental. Para llevar (A) debería mencionar la conducta, por ejemplo la objetividad ante presiones del financiador o del ejecutor.</w:t>
      </w:r>
    </w:p>
    <w:p>
      <w:pPr>
        <w:numPr>
          <w:ilvl w:val="0"/>
          <w:numId w:val="942"/>
        </w:numPr>
        <w:spacing w:before="0" w:after="160" w:line="240" w:lineRule="auto"/>
        <w:jc w:val="both"/>
      </w:pPr>
      <w:r>
        <w:rPr>
          <w:rFonts w:ascii="Century Gothic" w:hAnsi="Century Gothic" w:cs="Century Gothic" w:eastAsia="Century Gothic"/>
          <w:b/>
          <w:i w:val="0"/>
          <w:sz w:val="20"/>
        </w:rPr>
        <w:t>Circunstanciales, E1, Tema 2, conocimientos circunstanciales.</w:t>
      </w:r>
      <w:r>
        <w:rPr>
          <w:rFonts w:ascii="Century Gothic" w:hAnsi="Century Gothic" w:cs="Century Gothic" w:eastAsia="Century Gothic"/>
          <w:b w:val="0"/>
          <w:i w:val="0"/>
          <w:sz w:val="20"/>
        </w:rPr>
        <w:t xml:space="preserve"> «Normas NIIF S1 y S2 del ISSB (2023)…» se dictan en CPA-301 Contabilidad Internacional y CPA-506, y no se relacionan con los estados financieros de propósito específico del tema.</w:t>
      </w:r>
    </w:p>
    <w:p>
      <w:pPr>
        <w:numPr>
          <w:ilvl w:val="0"/>
          <w:numId w:val="942"/>
        </w:numPr>
        <w:spacing w:before="0" w:after="160" w:line="240" w:lineRule="auto"/>
        <w:jc w:val="both"/>
      </w:pPr>
      <w:r>
        <w:rPr>
          <w:rFonts w:ascii="Century Gothic" w:hAnsi="Century Gothic" w:cs="Century Gothic" w:eastAsia="Century Gothic"/>
          <w:b/>
          <w:i w:val="0"/>
          <w:sz w:val="20"/>
        </w:rPr>
        <w:t>Circunstanciales, E4, Tema 12, conocimientos circunstanciales.</w:t>
      </w:r>
      <w:r>
        <w:rPr>
          <w:rFonts w:ascii="Century Gothic" w:hAnsi="Century Gothic" w:cs="Century Gothic" w:eastAsia="Century Gothic"/>
          <w:b w:val="0"/>
          <w:i w:val="0"/>
          <w:sz w:val="20"/>
        </w:rPr>
        <w:t xml:space="preserve"> «Auditorías especiales de la Contraloría General del Estado en el marco de la Ley N° 1178» se dictan en CPA-504 Auditoría Gubernamental, que además las llama «auditoría de cumplimiento».</w:t>
      </w:r>
    </w:p>
    <w:p>
      <w:pPr>
        <w:numPr>
          <w:ilvl w:val="0"/>
          <w:numId w:val="942"/>
        </w:numPr>
        <w:spacing w:before="0" w:after="160" w:line="240" w:lineRule="auto"/>
        <w:jc w:val="both"/>
      </w:pPr>
      <w:r>
        <w:rPr>
          <w:rFonts w:ascii="Century Gothic" w:hAnsi="Century Gothic" w:cs="Century Gothic" w:eastAsia="Century Gothic"/>
          <w:b/>
          <w:i w:val="0"/>
          <w:sz w:val="20"/>
        </w:rPr>
        <w:t>Incoherencia interna, Datos generales, nombre.</w:t>
      </w:r>
      <w:r>
        <w:rPr>
          <w:rFonts w:ascii="Century Gothic" w:hAnsi="Century Gothic" w:cs="Century Gothic" w:eastAsia="Century Gothic"/>
          <w:b w:val="0"/>
          <w:i w:val="0"/>
          <w:sz w:val="20"/>
        </w:rPr>
        <w:t xml:space="preserve"> El itinerario usa «Auditoría de Entidades Sin Fines de Lucro – Proyectos Privados y Públicos»; la malla dice «Auditoría de Proyectos Público y Privado». El cambio debe aprobarse y trasladarse a la malla; véase el informe de la subcomisión.</w:t>
      </w:r>
    </w:p>
    <w:p>
      <w:pPr>
        <w:numPr>
          <w:ilvl w:val="0"/>
          <w:numId w:val="942"/>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80 + HAA 14 + HTG 12 + HIP 7 + HE 7 = 120. La guía pide dejarlas en blanco, y la malla fija 80 h/año.</w:t>
      </w:r>
    </w:p>
    <w:p>
      <w:pPr>
        <w:numPr>
          <w:ilvl w:val="0"/>
          <w:numId w:val="942"/>
        </w:numPr>
        <w:spacing w:before="0" w:after="160" w:line="240" w:lineRule="auto"/>
        <w:jc w:val="both"/>
      </w:pPr>
      <w:r>
        <w:rPr>
          <w:rFonts w:ascii="Century Gothic" w:hAnsi="Century Gothic" w:cs="Century Gothic" w:eastAsia="Century Gothic"/>
          <w:b/>
          <w:i w:val="0"/>
          <w:sz w:val="20"/>
        </w:rPr>
        <w:t>Incoherencia interna, Rúbricas (17 casos) y criterios de calificación.</w:t>
      </w:r>
      <w:r>
        <w:rPr>
          <w:rFonts w:ascii="Century Gothic" w:hAnsi="Century Gothic" w:cs="Century Gothic" w:eastAsia="Century Gothic"/>
          <w:b w:val="0"/>
          <w:i w:val="0"/>
          <w:sz w:val="20"/>
        </w:rPr>
        <w:t xml:space="preserve"> La escala dice «Insuficiente (0–50)», mientras la guía fija «1 a 50».</w:t>
      </w:r>
    </w:p>
    <w:p>
      <w:pPr>
        <w:numPr>
          <w:ilvl w:val="0"/>
          <w:numId w:val="942"/>
        </w:numPr>
        <w:spacing w:before="0" w:after="160" w:line="240" w:lineRule="auto"/>
        <w:jc w:val="both"/>
      </w:pPr>
      <w:r>
        <w:rPr>
          <w:rFonts w:ascii="Century Gothic" w:hAnsi="Century Gothic" w:cs="Century Gothic" w:eastAsia="Century Gothic"/>
          <w:b/>
          <w:i w:val="0"/>
          <w:sz w:val="20"/>
        </w:rPr>
        <w:t>Incoherencia interna, Bibliografía básica y complementaria.</w:t>
      </w:r>
      <w:r>
        <w:rPr>
          <w:rFonts w:ascii="Century Gothic" w:hAnsi="Century Gothic" w:cs="Century Gothic" w:eastAsia="Century Gothic"/>
          <w:b w:val="0"/>
          <w:i w:val="0"/>
          <w:sz w:val="20"/>
        </w:rPr>
        <w:t xml:space="preserve"> Incluye documentos curriculares y pedagógicos que no son bibliografía de la asignatura: el Diagnóstico del Plan de Estudios 2013, las conclusiones de la Reunión Sectorial del SUB, Biggs (Teaching for Quality Learning), Tobón (competencias), el Future of Jobs Report del WEF y el Handbook de pronunciamientos de educación de la IFAC.</w:t>
      </w:r>
    </w:p>
    <w:p>
      <w:pPr>
        <w:numPr>
          <w:ilvl w:val="0"/>
          <w:numId w:val="942"/>
        </w:numPr>
        <w:spacing w:before="0" w:after="200" w:line="240" w:lineRule="auto"/>
        <w:jc w:val="both"/>
      </w:pPr>
      <w:r>
        <w:rPr>
          <w:rFonts w:ascii="Century Gothic" w:hAnsi="Century Gothic" w:cs="Century Gothic" w:eastAsia="Century Gothic"/>
          <w:b/>
          <w:i w:val="0"/>
          <w:sz w:val="20"/>
        </w:rPr>
        <w:t>Incoherencia interna, E4, Temas 14, 15 y 17; E3, Tema 10.</w:t>
      </w:r>
      <w:r>
        <w:rPr>
          <w:rFonts w:ascii="Century Gothic" w:hAnsi="Century Gothic" w:cs="Century Gothic" w:eastAsia="Century Gothic"/>
          <w:b w:val="0"/>
          <w:i w:val="0"/>
          <w:sz w:val="20"/>
        </w:rPr>
        <w:t xml:space="preserve"> Repite temas de otras asignaturas: las NIA 300, 315, 320, 330, 500, 530 y 580 (CPA-407), COSO 2013 y COSO ERM 2017 (CPA-408), las técnicas asistidas por computador y la ley de Benford (CPA-505), y la NISR 4400 (también en CPA-508 y CPA-509). Conviene limitarlas a su aplicación en proyectos.</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titula la asignatura con el nuevo nombre, «CPA 507 – Auditoría de Entidades Sin Fines de Lucro – Proyectos Privados y Públicos», pero no justifica el cambio: solo dice que hubo «consenso en cuanto a la denominación de la asignatura, su carga horaria y su itinerario formativo» y no registra la modificación ni su fundamento, como exigen sus propias indicaciones de llenado. El contenido sí corresponde al nombre nuevo, porque trata las entidades sin fines de lucro (régimen jurídico, INPAS, régimen tributario y obligaciones ante la UIF) y la auditoría de proyectos públicos y privados (inversión pública, Banco Mundial, BID, Unión Europea). También cubre el nombre de la malla, que tiene un error de concordancia («Proyectos Público y Privado»). Antes de adoptar el nuevo nombre, la comisión debe aprobarlo y corregir la malla.</w:t>
      </w:r>
    </w:p>
    <w:p>
      <w:pPr>
        <w:spacing w:before="0" w:after="200" w:line="240" w:lineRule="auto"/>
        <w:jc w:val="both"/>
      </w:pPr>
      <w:r>
        <w:rPr>
          <w:rFonts w:ascii="Century Gothic" w:hAnsi="Century Gothic" w:cs="Century Gothic" w:eastAsia="Century Gothic"/>
          <w:b w:val="0"/>
          <w:i w:val="0"/>
          <w:sz w:val="20"/>
        </w:rPr>
        <w:t>Se aplicaron 5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7.41</w:t>
        <w:tab/>
      </w:r>
      <w:r>
        <w:rPr>
          <w:rFonts w:ascii="Century Gothic" w:hAnsi="Century Gothic" w:cs="Century Gothic" w:eastAsia="Century Gothic"/>
          <w:b/>
          <w:i w:val="0"/>
          <w:sz w:val="22"/>
        </w:rPr>
        <w:t>CPA-508 Auditoría Forense, Peritaje y Prevención de Delitos Económicos</w:t>
      </w:r>
    </w:p>
    <w:p>
      <w:pPr>
        <w:spacing w:before="0" w:after="200" w:line="240" w:lineRule="auto"/>
        <w:jc w:val="both"/>
      </w:pPr>
      <w:r>
        <w:rPr>
          <w:rFonts w:ascii="Century Gothic" w:hAnsi="Century Gothic" w:cs="Century Gothic" w:eastAsia="Century Gothic"/>
          <w:b w:val="0"/>
          <w:i w:val="0"/>
          <w:sz w:val="20"/>
        </w:rPr>
        <w:t xml:space="preserve">Archivo: CPA-508 Auditoria Forense y Prevencion de Delitos Economicos.docx. Cumple 15 de 23 controles, 5 de forma parcial y no cumple 3.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Los elementos 1 y 4 (auditoría forense, peritaje y prevención) tienen buen material y rúbricas cuidadas, pero el elemento 1 rompe la cadena evidencia-producto y es casi todo cognitivo. El 35 % de la asignatura (NIEA 3000, ISO 37001 y NISR 4400 y 4410) se aparta del nombre y se superpone con CPA-509 y CPA-507. Hay que restituir «Peritaje» en el nombre, corregir «NIA 3000» por «NIEA 3000», rehacer las rúbricas de los Productos 7 y 8 y la numeración de los temas.</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Datos generales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nombre «Auditoría Forense y Prevención de Delitos Económicos» frente a «Auditoría Forense, Peritaje y Prevención de Delitos Económicos» en la malla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(80, 8, 8, 12, 12, 120)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condiciones de calidad explícitas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83 contenidos sin marca C, P, A o T; 31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(1 inversiones)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(8), «a través»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43"/>
        </w:numPr>
        <w:spacing w:before="0" w:after="160" w:line="240" w:lineRule="auto"/>
        <w:jc w:val="both"/>
      </w:pPr>
      <w:r>
        <w:rPr>
          <w:rFonts w:ascii="Century Gothic" w:hAnsi="Century Gothic" w:cs="Century Gothic" w:eastAsia="Century Gothic"/>
          <w:b/>
          <w:i w:val="0"/>
          <w:sz w:val="20"/>
        </w:rPr>
        <w:t>Coherencia, E1, evidencias 1.1 a 2.2 / Productos 1 a 4.</w:t>
      </w:r>
      <w:r>
        <w:rPr>
          <w:rFonts w:ascii="Century Gothic" w:hAnsi="Century Gothic" w:cs="Century Gothic" w:eastAsia="Century Gothic"/>
          <w:b w:val="0"/>
          <w:i w:val="0"/>
          <w:sz w:val="20"/>
        </w:rPr>
        <w:t xml:space="preserve"> Ninguna evidencia corresponde a su producto. La 1.1 (aplicar pruebas sustantivas y muestreo) tiene como producto el Plan de auditoría forense; la 1.2 (entrevistar al personal), la Matriz de riesgos; la 2.1 (rastrear fondos), el Informe preliminar de hallazgos, y la 2.2 (usar software de análisis de datos), el Dossier de evidencias con cadena de custodia. Reordenar: 1.1 «Diseña el plan…» → Producto 1; 1.2 «Elabora la matriz de riesgos…» → Producto 2; 2.1 rastreo y análisis de datos → Producto 3, y 2.2 resguardo de la evidencia → Producto 4.</w:t>
      </w:r>
    </w:p>
    <w:p>
      <w:pPr>
        <w:numPr>
          <w:ilvl w:val="0"/>
          <w:numId w:val="943"/>
        </w:numPr>
        <w:spacing w:before="0" w:after="160" w:line="240" w:lineRule="auto"/>
        <w:jc w:val="both"/>
      </w:pPr>
      <w:r>
        <w:rPr>
          <w:rFonts w:ascii="Century Gothic" w:hAnsi="Century Gothic" w:cs="Century Gothic" w:eastAsia="Century Gothic"/>
          <w:b/>
          <w:i w:val="0"/>
          <w:sz w:val="20"/>
        </w:rPr>
        <w:t>Coherencia, E2, Productos 7 y 8 / rúbricas.</w:t>
      </w:r>
      <w:r>
        <w:rPr>
          <w:rFonts w:ascii="Century Gothic" w:hAnsi="Century Gothic" w:cs="Century Gothic" w:eastAsia="Century Gothic"/>
          <w:b w:val="0"/>
          <w:i w:val="0"/>
          <w:sz w:val="20"/>
        </w:rPr>
        <w:t xml:space="preserve"> Los productos son la «Matriz de evaluación del Sistema de Gestión Antisoborno (ISO 37001)» y el «Informe de auditoría de cumplimiento… ISO 37001», pero sus rúbricas se titulan «Informe de conclusión de la revisión de estados financieros» e «Informe de revisión de información financiera intermedia» (NITR 2410) y evalúan incorrecciones, empresa en marcha e información intermedia. Redactar rúbricas sobre la matriz y el informe antisoborno: requisitos de la ISO 37001, debida diligencia, canal de denuncias.</w:t>
      </w:r>
    </w:p>
    <w:p>
      <w:pPr>
        <w:numPr>
          <w:ilvl w:val="0"/>
          <w:numId w:val="943"/>
        </w:numPr>
        <w:spacing w:before="0" w:after="160" w:line="240" w:lineRule="auto"/>
        <w:jc w:val="both"/>
      </w:pPr>
      <w:r>
        <w:rPr>
          <w:rFonts w:ascii="Century Gothic" w:hAnsi="Century Gothic" w:cs="Century Gothic" w:eastAsia="Century Gothic"/>
          <w:b/>
          <w:i w:val="0"/>
          <w:sz w:val="20"/>
        </w:rPr>
        <w:t>Coherencia, Unidad de competencia y E2.</w:t>
      </w:r>
      <w:r>
        <w:rPr>
          <w:rFonts w:ascii="Century Gothic" w:hAnsi="Century Gothic" w:cs="Century Gothic" w:eastAsia="Century Gothic"/>
          <w:b w:val="0"/>
          <w:i w:val="0"/>
          <w:sz w:val="20"/>
        </w:rPr>
        <w:t xml:space="preserve"> La unidad de competencia hace de la NIEA 3000 (citada como «NIA 3000») el eje del aseguramiento forense, y el elemento 2 la presenta como «eje central de atestiguamiento». Los encargos sobre materias distintas de la información histórica no responden al nombre de la asignatura ni al peritaje. Centrar la unidad de competencia en la auditoría forense, el peritaje y la prevención, y dejar la NIEA 3000 solo como marco del informe antisoborno si se mantiene.</w:t>
      </w:r>
    </w:p>
    <w:p>
      <w:pPr>
        <w:numPr>
          <w:ilvl w:val="0"/>
          <w:numId w:val="943"/>
        </w:numPr>
        <w:spacing w:before="0" w:after="160" w:line="240" w:lineRule="auto"/>
        <w:jc w:val="both"/>
      </w:pPr>
      <w:r>
        <w:rPr>
          <w:rFonts w:ascii="Century Gothic" w:hAnsi="Century Gothic" w:cs="Century Gothic" w:eastAsia="Century Gothic"/>
          <w:b/>
          <w:i w:val="0"/>
          <w:sz w:val="20"/>
        </w:rPr>
        <w:t>Coherencia, E2, conocimientos circunstanciales.</w:t>
      </w:r>
      <w:r>
        <w:rPr>
          <w:rFonts w:ascii="Century Gothic" w:hAnsi="Century Gothic" w:cs="Century Gothic" w:eastAsia="Century Gothic"/>
          <w:b w:val="0"/>
          <w:i w:val="0"/>
          <w:sz w:val="20"/>
        </w:rPr>
        <w:t xml:space="preserve"> «Requisitos de información financiera que exigen las entidades financieras para la evaluación de créditos» no se relaciona con la NIEA 3000 ni con la ISO 37001.</w:t>
      </w:r>
    </w:p>
    <w:p>
      <w:pPr>
        <w:numPr>
          <w:ilvl w:val="0"/>
          <w:numId w:val="943"/>
        </w:numPr>
        <w:spacing w:before="0" w:after="160" w:line="240" w:lineRule="auto"/>
        <w:jc w:val="both"/>
      </w:pPr>
      <w:r>
        <w:rPr>
          <w:rFonts w:ascii="Century Gothic" w:hAnsi="Century Gothic" w:cs="Century Gothic" w:eastAsia="Century Gothic"/>
          <w:b/>
          <w:i w:val="0"/>
          <w:sz w:val="20"/>
        </w:rPr>
        <w:t>Contenido técnico, Unidad de competencia, E2, E3, recursos y bibliografía.</w:t>
      </w:r>
      <w:r>
        <w:rPr>
          <w:rFonts w:ascii="Century Gothic" w:hAnsi="Century Gothic" w:cs="Century Gothic" w:eastAsia="Century Gothic"/>
          <w:b w:val="0"/>
          <w:i w:val="0"/>
          <w:sz w:val="20"/>
        </w:rPr>
        <w:t xml:space="preserve"> «NIA 3000» no existe: la ISAE 3000 es la Norma Internacional de Encargos de Aseguramiento. Escribir «NIEA 3000 (Revisada)» en todo el documento.</w:t>
      </w:r>
    </w:p>
    <w:p>
      <w:pPr>
        <w:numPr>
          <w:ilvl w:val="0"/>
          <w:numId w:val="943"/>
        </w:numPr>
        <w:spacing w:before="0" w:after="160" w:line="240" w:lineRule="auto"/>
        <w:jc w:val="both"/>
      </w:pPr>
      <w:r>
        <w:rPr>
          <w:rFonts w:ascii="Century Gothic" w:hAnsi="Century Gothic" w:cs="Century Gothic" w:eastAsia="Century Gothic"/>
          <w:b/>
          <w:i w:val="0"/>
          <w:sz w:val="20"/>
        </w:rPr>
        <w:t>Contenido técnico, Rúbrica del Producto 8.</w:t>
      </w:r>
      <w:r>
        <w:rPr>
          <w:rFonts w:ascii="Century Gothic" w:hAnsi="Century Gothic" w:cs="Century Gothic" w:eastAsia="Century Gothic"/>
          <w:b w:val="0"/>
          <w:i w:val="0"/>
          <w:sz w:val="20"/>
        </w:rPr>
        <w:t xml:space="preserve"> «NITR 2410» está mal nombrada: es la Norma Internacional de Encargos de Revisión 2410. De todos modos, esa rúbrica no corresponde al producto. «NIER 2410», o retirarla.</w:t>
      </w:r>
    </w:p>
    <w:p>
      <w:pPr>
        <w:numPr>
          <w:ilvl w:val="0"/>
          <w:numId w:val="943"/>
        </w:numPr>
        <w:spacing w:before="0" w:after="160" w:line="240" w:lineRule="auto"/>
        <w:jc w:val="both"/>
      </w:pPr>
      <w:r>
        <w:rPr>
          <w:rFonts w:ascii="Century Gothic" w:hAnsi="Century Gothic" w:cs="Century Gothic" w:eastAsia="Century Gothic"/>
          <w:b/>
          <w:i w:val="0"/>
          <w:sz w:val="20"/>
        </w:rPr>
        <w:t>Contenido técnico, E1, Tema 3, contenidos.</w:t>
      </w:r>
      <w:r>
        <w:rPr>
          <w:rFonts w:ascii="Century Gothic" w:hAnsi="Century Gothic" w:cs="Century Gothic" w:eastAsia="Century Gothic"/>
          <w:b w:val="0"/>
          <w:i w:val="0"/>
          <w:sz w:val="20"/>
        </w:rPr>
        <w:t xml:space="preserve"> «La teoría pentatónica del delito» es un término inexistente («pentatónica» es un término musical). Se refiere al pentágono del fraude. «El pentágono del fraude (Crowe) en la auditoría forense detectiva. (C)».</w:t>
      </w:r>
    </w:p>
    <w:p>
      <w:pPr>
        <w:numPr>
          <w:ilvl w:val="0"/>
          <w:numId w:val="943"/>
        </w:numPr>
        <w:spacing w:before="0" w:after="160" w:line="240" w:lineRule="auto"/>
        <w:jc w:val="both"/>
      </w:pPr>
      <w:r>
        <w:rPr>
          <w:rFonts w:ascii="Century Gothic" w:hAnsi="Century Gothic" w:cs="Century Gothic" w:eastAsia="Century Gothic"/>
          <w:b/>
          <w:i w:val="0"/>
          <w:sz w:val="20"/>
        </w:rPr>
        <w:t>Contenido técnico, E1, Tema 4, contenidos, y bibliografía básica.</w:t>
      </w:r>
      <w:r>
        <w:rPr>
          <w:rFonts w:ascii="Century Gothic" w:hAnsi="Century Gothic" w:cs="Century Gothic" w:eastAsia="Century Gothic"/>
          <w:b w:val="0"/>
          <w:i w:val="0"/>
          <w:sz w:val="20"/>
        </w:rPr>
        <w:t xml:space="preserve"> «Ley Nº 1178 de Administración y Control Gubernamental SAFCO»: el nombre oficial es «de Administración y Control Gubernamentales». En la bibliografía, además, esta ley y la Ley N° 004 quedaron fundidas en una sola entrada. Corregir el nombre y separar las entradas, con la Ley N° 1178 de 20 de julio de 1990.</w:t>
      </w:r>
    </w:p>
    <w:p>
      <w:pPr>
        <w:numPr>
          <w:ilvl w:val="0"/>
          <w:numId w:val="943"/>
        </w:numPr>
        <w:spacing w:before="0" w:after="160" w:line="240" w:lineRule="auto"/>
        <w:jc w:val="both"/>
      </w:pPr>
      <w:r>
        <w:rPr>
          <w:rFonts w:ascii="Century Gothic" w:hAnsi="Century Gothic" w:cs="Century Gothic" w:eastAsia="Century Gothic"/>
          <w:b/>
          <w:i w:val="0"/>
          <w:sz w:val="20"/>
        </w:rPr>
        <w:t>Contenido técnico, Bibliografía básica, IAASB.</w:t>
      </w:r>
      <w:r>
        <w:rPr>
          <w:rFonts w:ascii="Century Gothic" w:hAnsi="Century Gothic" w:cs="Century Gothic" w:eastAsia="Century Gothic"/>
          <w:b w:val="0"/>
          <w:i w:val="0"/>
          <w:sz w:val="20"/>
        </w:rPr>
        <w:t xml:space="preserve"> Igual que en CPA-503: «(2020)… Edición 2018» y «(2023) Handbook of International Quality Control… Edición 2021», con años y ediciones que no concuerdan y desactualizadas. Las entradas de la NIA 3000 y la ISO 37001 no tienen autor ni año. Citar el Handbook vigente del IAASB y la ISO 37001 con su edición.</w:t>
      </w:r>
    </w:p>
    <w:p>
      <w:pPr>
        <w:numPr>
          <w:ilvl w:val="0"/>
          <w:numId w:val="943"/>
        </w:numPr>
        <w:spacing w:before="0" w:after="160" w:line="240" w:lineRule="auto"/>
        <w:jc w:val="both"/>
      </w:pPr>
      <w:r>
        <w:rPr>
          <w:rFonts w:ascii="Century Gothic" w:hAnsi="Century Gothic" w:cs="Century Gothic" w:eastAsia="Century Gothic"/>
          <w:b/>
          <w:i w:val="0"/>
          <w:sz w:val="20"/>
        </w:rPr>
        <w:t>Contenido técnico, Unidad de competencia.</w:t>
      </w:r>
      <w:r>
        <w:rPr>
          <w:rFonts w:ascii="Century Gothic" w:hAnsi="Century Gothic" w:cs="Century Gothic" w:eastAsia="Century Gothic"/>
          <w:b w:val="0"/>
          <w:i w:val="0"/>
          <w:sz w:val="20"/>
        </w:rPr>
        <w:t xml:space="preserve"> «Leyes 004, 1390, 1178, 393, UIF/ASFI»: la UIF y la ASFI no son leyes, son entidades. «Leyes N° 004, 1390, 1178 y 393 y normativa de la UIF y la ASFI».</w:t>
      </w:r>
    </w:p>
    <w:p>
      <w:pPr>
        <w:numPr>
          <w:ilvl w:val="0"/>
          <w:numId w:val="943"/>
        </w:numPr>
        <w:spacing w:before="0" w:after="160" w:line="240" w:lineRule="auto"/>
        <w:jc w:val="both"/>
      </w:pPr>
      <w:r>
        <w:rPr>
          <w:rFonts w:ascii="Century Gothic" w:hAnsi="Century Gothic" w:cs="Century Gothic" w:eastAsia="Century Gothic"/>
          <w:b/>
          <w:i w:val="0"/>
          <w:sz w:val="20"/>
        </w:rPr>
        <w:t>Marcas de saber, E1, Temas 1 a 10.</w:t>
      </w:r>
      <w:r>
        <w:rPr>
          <w:rFonts w:ascii="Century Gothic" w:hAnsi="Century Gothic" w:cs="Century Gothic" w:eastAsia="Century Gothic"/>
          <w:b w:val="0"/>
          <w:i w:val="0"/>
          <w:sz w:val="20"/>
        </w:rPr>
        <w:t xml:space="preserve"> De unos 45 contenidos, casi todos son solo (C); el elemento central de la asignatura es descriptivo y apenas tiene (P) y (T), aunque sus evidencias exigen rastreo, análisis de datos y entrevistas.</w:t>
      </w:r>
    </w:p>
    <w:p>
      <w:pPr>
        <w:numPr>
          <w:ilvl w:val="0"/>
          <w:numId w:val="943"/>
        </w:numPr>
        <w:spacing w:before="0" w:after="160" w:line="240" w:lineRule="auto"/>
        <w:jc w:val="both"/>
      </w:pPr>
      <w:r>
        <w:rPr>
          <w:rFonts w:ascii="Century Gothic" w:hAnsi="Century Gothic" w:cs="Century Gothic" w:eastAsia="Century Gothic"/>
          <w:b/>
          <w:i w:val="0"/>
          <w:sz w:val="20"/>
        </w:rPr>
        <w:t>Marcas de saber, E2, Temas 11 y 12.</w:t>
      </w:r>
      <w:r>
        <w:rPr>
          <w:rFonts w:ascii="Century Gothic" w:hAnsi="Century Gothic" w:cs="Century Gothic" w:eastAsia="Century Gothic"/>
          <w:b w:val="0"/>
          <w:i w:val="0"/>
          <w:sz w:val="20"/>
        </w:rPr>
        <w:t xml:space="preserve"> Los contenidos son solo los títulos de los apartados de la norma («Introducción (C)», «Hechos posteriores (C)», «Soporte (C, P)», «Operación (C, P)»), sin el punto concreto que se enseña.</w:t>
      </w:r>
    </w:p>
    <w:p>
      <w:pPr>
        <w:numPr>
          <w:ilvl w:val="0"/>
          <w:numId w:val="943"/>
        </w:numPr>
        <w:spacing w:before="0" w:after="160" w:line="240" w:lineRule="auto"/>
        <w:jc w:val="both"/>
      </w:pPr>
      <w:r>
        <w:rPr>
          <w:rFonts w:ascii="Century Gothic" w:hAnsi="Century Gothic" w:cs="Century Gothic" w:eastAsia="Century Gothic"/>
          <w:b/>
          <w:i w:val="0"/>
          <w:sz w:val="20"/>
        </w:rPr>
        <w:t>Marcas de saber, E1, «Decreto Supremo N° 214… (C, A)».</w:t>
      </w:r>
      <w:r>
        <w:rPr>
          <w:rFonts w:ascii="Century Gothic" w:hAnsi="Century Gothic" w:cs="Century Gothic" w:eastAsia="Century Gothic"/>
          <w:b w:val="0"/>
          <w:i w:val="0"/>
          <w:sz w:val="20"/>
        </w:rPr>
        <w:t xml:space="preserve"> Lleva (A), pero solo describe una norma, sin conducta esperada.</w:t>
      </w:r>
    </w:p>
    <w:p>
      <w:pPr>
        <w:numPr>
          <w:ilvl w:val="0"/>
          <w:numId w:val="943"/>
        </w:numPr>
        <w:spacing w:before="0" w:after="160" w:line="240" w:lineRule="auto"/>
        <w:jc w:val="both"/>
      </w:pPr>
      <w:r>
        <w:rPr>
          <w:rFonts w:ascii="Century Gothic" w:hAnsi="Century Gothic" w:cs="Century Gothic" w:eastAsia="Century Gothic"/>
          <w:b/>
          <w:i w:val="0"/>
          <w:sz w:val="20"/>
        </w:rPr>
        <w:t>Circunstanciales, E1, conocimientos circunstanciales.</w:t>
      </w:r>
      <w:r>
        <w:rPr>
          <w:rFonts w:ascii="Century Gothic" w:hAnsi="Century Gothic" w:cs="Century Gothic" w:eastAsia="Century Gothic"/>
          <w:b w:val="0"/>
          <w:i w:val="0"/>
          <w:sz w:val="20"/>
        </w:rPr>
        <w:t xml:space="preserve"> «Nociones de Auditoría Forense y la conducta del defraudador» son el contenido central de la propia asignatura (Tema 6, perfil del defraudador), no un conocimiento circunstancial.</w:t>
      </w:r>
    </w:p>
    <w:p>
      <w:pPr>
        <w:numPr>
          <w:ilvl w:val="0"/>
          <w:numId w:val="943"/>
        </w:numPr>
        <w:spacing w:before="0" w:after="160" w:line="240" w:lineRule="auto"/>
        <w:jc w:val="both"/>
      </w:pPr>
      <w:r>
        <w:rPr>
          <w:rFonts w:ascii="Century Gothic" w:hAnsi="Century Gothic" w:cs="Century Gothic" w:eastAsia="Century Gothic"/>
          <w:b/>
          <w:i w:val="0"/>
          <w:sz w:val="20"/>
        </w:rPr>
        <w:t>Incoherencia interna, Datos generales, nombre.</w:t>
      </w:r>
      <w:r>
        <w:rPr>
          <w:rFonts w:ascii="Century Gothic" w:hAnsi="Century Gothic" w:cs="Century Gothic" w:eastAsia="Century Gothic"/>
          <w:b w:val="0"/>
          <w:i w:val="0"/>
          <w:sz w:val="20"/>
        </w:rPr>
        <w:t xml:space="preserve"> El itinerario dice «Auditoría Forense y Prevención de Delitos Económicos» y omite «Peritaje», que figura en la malla («Auditoría Forense, Peritaje y Prevención de Delitos Económicos») y en el propio informe de la subcomisión. El contenido sí trata el peritaje (E4, criterio 1, Tema 17 y Productos 13 y 14, el 16 % de la nota), así que la omisión no tiene sustento. Restituir el nombre de la malla.</w:t>
      </w:r>
    </w:p>
    <w:p>
      <w:pPr>
        <w:numPr>
          <w:ilvl w:val="0"/>
          <w:numId w:val="943"/>
        </w:numPr>
        <w:spacing w:before="0" w:after="160" w:line="240" w:lineRule="auto"/>
        <w:jc w:val="both"/>
      </w:pPr>
      <w:r>
        <w:rPr>
          <w:rFonts w:ascii="Century Gothic" w:hAnsi="Century Gothic" w:cs="Century Gothic" w:eastAsia="Century Gothic"/>
          <w:b/>
          <w:i w:val="0"/>
          <w:sz w:val="20"/>
        </w:rPr>
        <w:t>Incoherencia interna, E2 y E3 frente al nombre de la asignatura.</w:t>
      </w:r>
      <w:r>
        <w:rPr>
          <w:rFonts w:ascii="Century Gothic" w:hAnsi="Century Gothic" w:cs="Century Gothic" w:eastAsia="Century Gothic"/>
          <w:b w:val="0"/>
          <w:i w:val="0"/>
          <w:sz w:val="20"/>
        </w:rPr>
        <w:t xml:space="preserve"> El 35 % de la nota (E2: NIEA 3000 e ISO 37001; E3: NISR 4400 procedimientos acordados y NISR 4410 compilación) no corresponde a auditoría forense, peritaje ni prevención de delitos. La compilación de estados financieros de una pequeña empresa (Productos 11 y 12) no tiene relación con el nombre, y la NISR 4400 se repite en CPA-507 y CPA-509 («Servicios Relacionados»). Trasladar el elemento 3 a CPA-509 o retirarlo, y ampliar el peritaje.</w:t>
      </w:r>
    </w:p>
    <w:p>
      <w:pPr>
        <w:numPr>
          <w:ilvl w:val="0"/>
          <w:numId w:val="943"/>
        </w:numPr>
        <w:spacing w:before="0" w:after="160" w:line="240" w:lineRule="auto"/>
        <w:jc w:val="both"/>
      </w:pPr>
      <w:r>
        <w:rPr>
          <w:rFonts w:ascii="Century Gothic" w:hAnsi="Century Gothic" w:cs="Century Gothic" w:eastAsia="Century Gothic"/>
          <w:b/>
          <w:i w:val="0"/>
          <w:sz w:val="20"/>
        </w:rPr>
        <w:t>Incoherencia interna, Numeración de temas.</w:t>
      </w:r>
      <w:r>
        <w:rPr>
          <w:rFonts w:ascii="Century Gothic" w:hAnsi="Century Gothic" w:cs="Century Gothic" w:eastAsia="Century Gothic"/>
          <w:b w:val="0"/>
          <w:i w:val="0"/>
          <w:sz w:val="20"/>
        </w:rPr>
        <w:t xml:space="preserve"> Los temas saltan del 12 al 15; no hay Temas 13 ni 14. Parece que se retiraron los temas de revisión (NIER 2400 y 2410), pero quedaron sus rúbricas en los Productos 7 y 8.</w:t>
      </w:r>
    </w:p>
    <w:p>
      <w:pPr>
        <w:numPr>
          <w:ilvl w:val="0"/>
          <w:numId w:val="943"/>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80 + 8 + 8 + 12 + 12 = 120. La guía pide dejarlas en blanco, y la malla fija 80 h/año.</w:t>
      </w:r>
    </w:p>
    <w:p>
      <w:pPr>
        <w:numPr>
          <w:ilvl w:val="0"/>
          <w:numId w:val="943"/>
        </w:numPr>
        <w:spacing w:before="0" w:after="160" w:line="240" w:lineRule="auto"/>
        <w:jc w:val="both"/>
      </w:pPr>
      <w:r>
        <w:rPr>
          <w:rFonts w:ascii="Century Gothic" w:hAnsi="Century Gothic" w:cs="Century Gothic" w:eastAsia="Century Gothic"/>
          <w:b/>
          <w:i w:val="0"/>
          <w:sz w:val="20"/>
        </w:rPr>
        <w:t>Incoherencia interna, E1 y E4 frente a CPA-504 y CPA-509.</w:t>
      </w:r>
      <w:r>
        <w:rPr>
          <w:rFonts w:ascii="Century Gothic" w:hAnsi="Century Gothic" w:cs="Century Gothic" w:eastAsia="Century Gothic"/>
          <w:b w:val="0"/>
          <w:i w:val="0"/>
          <w:sz w:val="20"/>
        </w:rPr>
        <w:t xml:space="preserve"> Las Normas de Auditoría de Cumplimiento de la Contraloría General del Estado y la determinación de responsabilidades se dictan en CPA-504. El sistema de prevención ante la UIF y el oficial de cumplimiento se repiten en CPA-509 (elemento 4).</w:t>
      </w:r>
    </w:p>
    <w:p>
      <w:pPr>
        <w:numPr>
          <w:ilvl w:val="0"/>
          <w:numId w:val="943"/>
        </w:numPr>
        <w:spacing w:before="0" w:after="200" w:line="240" w:lineRule="auto"/>
        <w:jc w:val="both"/>
      </w:pPr>
      <w:r>
        <w:rPr>
          <w:rFonts w:ascii="Century Gothic" w:hAnsi="Century Gothic" w:cs="Century Gothic" w:eastAsia="Century Gothic"/>
          <w:b/>
          <w:i w:val="0"/>
          <w:sz w:val="20"/>
        </w:rPr>
        <w:t>Incoherencia interna, Bibliografía básica.</w:t>
      </w:r>
      <w:r>
        <w:rPr>
          <w:rFonts w:ascii="Century Gothic" w:hAnsi="Century Gothic" w:cs="Century Gothic" w:eastAsia="Century Gothic"/>
          <w:b w:val="0"/>
          <w:i w:val="0"/>
          <w:sz w:val="20"/>
        </w:rPr>
        <w:t xml:space="preserve"> No está en orden alfabético y tiene entradas sin autor ni año («NIA 3000…», «Estándares Internacionales ISO 37001…», «Otras normas legales aplicables»).</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titula la asignatura con el nombre completo de la malla, «CPA 508 – Auditoría Forense, Peritaje y Prevención de Delitos Económicos». No menciona ni justifica que el itinerario haya quitado «Peritaje», y en realidad lo contradice. Tampoco registra modificaciones; solo usa la fórmula común de «consenso en cuanto a la denominación». Como el itinerario sí desarrolla el peritaje contable (Tema 17 y Productos 13 y 14), la omisión del nombre parece un error y debe corregirse. El informe marca «Sí» en «una rúbrica por producto», aunque las rúbricas de los Productos 7 y 8 corresponden a otros productos.</w:t>
      </w:r>
    </w:p>
    <w:p>
      <w:pPr>
        <w:spacing w:before="0" w:after="200" w:line="240" w:lineRule="auto"/>
        <w:jc w:val="both"/>
      </w:pPr>
      <w:r>
        <w:rPr>
          <w:rFonts w:ascii="Century Gothic" w:hAnsi="Century Gothic" w:cs="Century Gothic" w:eastAsia="Century Gothic"/>
          <w:b w:val="0"/>
          <w:i w:val="0"/>
          <w:sz w:val="20"/>
        </w:rPr>
        <w:t>Se aplicaron 9 correcciones ortográficas y de forma con control de cambios; el detalle figura en el Anexo 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7.42</w:t>
        <w:tab/>
      </w:r>
      <w:r>
        <w:rPr>
          <w:rFonts w:ascii="Century Gothic" w:hAnsi="Century Gothic" w:cs="Century Gothic" w:eastAsia="Century Gothic"/>
          <w:b/>
          <w:i w:val="0"/>
          <w:sz w:val="22"/>
        </w:rPr>
        <w:t>CPA-509 Auditoría de Entidades Financieras y Servicios Relacionados</w:t>
      </w:r>
    </w:p>
    <w:p>
      <w:pPr>
        <w:spacing w:before="0" w:after="200" w:line="240" w:lineRule="auto"/>
        <w:jc w:val="both"/>
      </w:pPr>
      <w:r>
        <w:rPr>
          <w:rFonts w:ascii="Century Gothic" w:hAnsi="Century Gothic" w:cs="Century Gothic" w:eastAsia="Century Gothic"/>
          <w:b w:val="0"/>
          <w:i w:val="0"/>
          <w:sz w:val="20"/>
        </w:rPr>
        <w:t xml:space="preserve">Archivo: CPA-509 Auditoria de Entidades Financieras y Servicios Relacionados vf (1).docx. Cumple 18 de 23 controles, 3 de forma parcial y no cumple 2. Estado: </w:t>
      </w:r>
      <w:r>
        <w:rPr>
          <w:rFonts w:ascii="Century Gothic" w:hAnsi="Century Gothic" w:cs="Century Gothic" w:eastAsia="Century Gothic"/>
          <w:b/>
          <w:i w:val="0"/>
          <w:sz w:val="20"/>
        </w:rPr>
        <w:t>ajustes menores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Es un itinerario técnicamente sólido y actualizado: normativa de la ASFI y del BCB, NIA 315, 540 y 600 revisadas, comparación con la NIIF 9, análisis de datos y TI. Su redacción está casi libre de errores. Conviene depurar las duplicaciones internas (Productos 9 y 11, criterio 2 del elemento 5), sacar el informe del auditor del criterio de la UIF, ajustar las rúbricas de los Productos 5, 7 y 18 y reducir la extensión de los productos para una asignatura de 2 h/semana.</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llenadas (24, 16, 24, 8, 8, 80)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básica fuera de orden alfabético (2 inversiones)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44"/>
        </w:numPr>
        <w:spacing w:before="0" w:after="160" w:line="240" w:lineRule="auto"/>
        <w:jc w:val="both"/>
      </w:pPr>
      <w:r>
        <w:rPr>
          <w:rFonts w:ascii="Century Gothic" w:hAnsi="Century Gothic" w:cs="Century Gothic" w:eastAsia="Century Gothic"/>
          <w:b/>
          <w:i w:val="0"/>
          <w:sz w:val="20"/>
        </w:rPr>
        <w:t>Coherencia, E3, Productos 9 y 11.</w:t>
      </w:r>
      <w:r>
        <w:rPr>
          <w:rFonts w:ascii="Century Gothic" w:hAnsi="Century Gothic" w:cs="Century Gothic" w:eastAsia="Century Gothic"/>
          <w:b w:val="0"/>
          <w:i w:val="0"/>
          <w:sz w:val="20"/>
        </w:rPr>
        <w:t xml:space="preserve"> Los dos productos son matrices de riesgos de incorrección material por aseveración: el 9 dentro del memorándum de planificación y el 11 como «Matriz de valoración de riesgos». El criterio 2 repite la valoración de riesgos del criterio 1 (NIA 315). Enfocar el criterio 2 en el riesgo de fraude, el incumplimiento regulatorio y la empresa en funcionamiento, con un producto distinto de la matriz general.</w:t>
      </w:r>
    </w:p>
    <w:p>
      <w:pPr>
        <w:numPr>
          <w:ilvl w:val="0"/>
          <w:numId w:val="944"/>
        </w:numPr>
        <w:spacing w:before="0" w:after="160" w:line="240" w:lineRule="auto"/>
        <w:jc w:val="both"/>
      </w:pPr>
      <w:r>
        <w:rPr>
          <w:rFonts w:ascii="Century Gothic" w:hAnsi="Century Gothic" w:cs="Century Gothic" w:eastAsia="Century Gothic"/>
          <w:b/>
          <w:i w:val="0"/>
          <w:sz w:val="20"/>
        </w:rPr>
        <w:t>Coherencia, E4, criterio 1, evidencia 1.2 / Producto 14.</w:t>
      </w:r>
      <w:r>
        <w:rPr>
          <w:rFonts w:ascii="Century Gothic" w:hAnsi="Century Gothic" w:cs="Century Gothic" w:eastAsia="Century Gothic"/>
          <w:b w:val="0"/>
          <w:i w:val="0"/>
          <w:sz w:val="20"/>
        </w:rPr>
        <w:t xml:space="preserve"> El informe del auditor sobre los estados financieros y las cuestiones clave de auditoría, que es el producto central de la unidad de competencia, queda dentro de un criterio sobre la normativa de la UIF y la seguridad de la información. Pasar el informe del auditor a un criterio propio de comunicación de resultados, como el Tema 10.</w:t>
      </w:r>
    </w:p>
    <w:p>
      <w:pPr>
        <w:numPr>
          <w:ilvl w:val="0"/>
          <w:numId w:val="944"/>
        </w:numPr>
        <w:spacing w:before="0" w:after="160" w:line="240" w:lineRule="auto"/>
        <w:jc w:val="both"/>
      </w:pPr>
      <w:r>
        <w:rPr>
          <w:rFonts w:ascii="Century Gothic" w:hAnsi="Century Gothic" w:cs="Century Gothic" w:eastAsia="Century Gothic"/>
          <w:b/>
          <w:i w:val="0"/>
          <w:sz w:val="20"/>
        </w:rPr>
        <w:t>Coherencia, E5, criterio 2.</w:t>
      </w:r>
      <w:r>
        <w:rPr>
          <w:rFonts w:ascii="Century Gothic" w:hAnsi="Century Gothic" w:cs="Century Gothic" w:eastAsia="Century Gothic"/>
          <w:b w:val="0"/>
          <w:i w:val="0"/>
          <w:sz w:val="20"/>
        </w:rPr>
        <w:t xml:space="preserve"> Un mismo criterio junta dos resultados que no tienen relación: los procedimientos acordados (NISR 4400) y la comunicación de deficiencias de control interno de la auditoría (NIA 265 y 260), unidos con «por separado». Dividirlos o trasladar la comunicación de deficiencias al elemento 4.</w:t>
      </w:r>
    </w:p>
    <w:p>
      <w:pPr>
        <w:numPr>
          <w:ilvl w:val="0"/>
          <w:numId w:val="944"/>
        </w:numPr>
        <w:spacing w:before="0" w:after="160" w:line="240" w:lineRule="auto"/>
        <w:jc w:val="both"/>
      </w:pPr>
      <w:r>
        <w:rPr>
          <w:rFonts w:ascii="Century Gothic" w:hAnsi="Century Gothic" w:cs="Century Gothic" w:eastAsia="Century Gothic"/>
          <w:b/>
          <w:i w:val="0"/>
          <w:sz w:val="20"/>
        </w:rPr>
        <w:t>Coherencia, Rúbricas de los Productos 5 y 7.</w:t>
      </w:r>
      <w:r>
        <w:rPr>
          <w:rFonts w:ascii="Century Gothic" w:hAnsi="Century Gothic" w:cs="Century Gothic" w:eastAsia="Century Gothic"/>
          <w:b w:val="0"/>
          <w:i w:val="0"/>
          <w:sz w:val="20"/>
        </w:rPr>
        <w:t xml:space="preserve"> El Producto 5 es un papel de trabajo de evaluación de estados financieros, pero su rúbrica evalúa cómo se elaboran («Expone los estados y sus notas», «Los estados son desordenados»). La rúbrica del Producto 7, que también es un papel de trabajo, habla de «El informe…».</w:t>
      </w:r>
    </w:p>
    <w:p>
      <w:pPr>
        <w:numPr>
          <w:ilvl w:val="0"/>
          <w:numId w:val="944"/>
        </w:numPr>
        <w:spacing w:before="0" w:after="160" w:line="240" w:lineRule="auto"/>
        <w:jc w:val="both"/>
      </w:pPr>
      <w:r>
        <w:rPr>
          <w:rFonts w:ascii="Century Gothic" w:hAnsi="Century Gothic" w:cs="Century Gothic" w:eastAsia="Century Gothic"/>
          <w:b/>
          <w:i w:val="0"/>
          <w:sz w:val="20"/>
        </w:rPr>
        <w:t>Coherencia, Rúbrica del Producto 18.</w:t>
      </w:r>
      <w:r>
        <w:rPr>
          <w:rFonts w:ascii="Century Gothic" w:hAnsi="Century Gothic" w:cs="Century Gothic" w:eastAsia="Century Gothic"/>
          <w:b w:val="0"/>
          <w:i w:val="0"/>
          <w:sz w:val="20"/>
        </w:rPr>
        <w:t xml:space="preserve"> Es un informe de aseguramiento conforme a la NIEA 3000, pero su rúbrica no evalúa el nivel de seguridad, los criterios aplicables ni la forma de la conclusión. Reemplazar el criterio «Trabajo en equipo» por «Conclusión y nivel de seguridad».</w:t>
      </w:r>
    </w:p>
    <w:p>
      <w:pPr>
        <w:numPr>
          <w:ilvl w:val="0"/>
          <w:numId w:val="944"/>
        </w:numPr>
        <w:spacing w:before="0" w:after="160" w:line="240" w:lineRule="auto"/>
        <w:jc w:val="both"/>
      </w:pPr>
      <w:r>
        <w:rPr>
          <w:rFonts w:ascii="Century Gothic" w:hAnsi="Century Gothic" w:cs="Century Gothic" w:eastAsia="Century Gothic"/>
          <w:b/>
          <w:i w:val="0"/>
          <w:sz w:val="20"/>
        </w:rPr>
        <w:t>Contenido técnico, Bibliografía complementaria.</w:t>
      </w:r>
      <w:r>
        <w:rPr>
          <w:rFonts w:ascii="Century Gothic" w:hAnsi="Century Gothic" w:cs="Century Gothic" w:eastAsia="Century Gothic"/>
          <w:b w:val="0"/>
          <w:i w:val="0"/>
          <w:sz w:val="20"/>
        </w:rPr>
        <w:t xml:space="preserve"> «Arens, A. y Loebbecke, J. (2022). Auditoría, un enfoque integral. 6a ed. … Prentice Hall Hispanoamericana»: la 6.ª edición en español de Arens y Loebbecke es de los años noventa (1996), no de 2022. Corregir el año o citar la edición vigente de Arens, Elder y Beasley.</w:t>
      </w:r>
    </w:p>
    <w:p>
      <w:pPr>
        <w:numPr>
          <w:ilvl w:val="0"/>
          <w:numId w:val="944"/>
        </w:numPr>
        <w:spacing w:before="0" w:after="160" w:line="240" w:lineRule="auto"/>
        <w:jc w:val="both"/>
      </w:pPr>
      <w:r>
        <w:rPr>
          <w:rFonts w:ascii="Century Gothic" w:hAnsi="Century Gothic" w:cs="Century Gothic" w:eastAsia="Century Gothic"/>
          <w:b/>
          <w:i w:val="0"/>
          <w:sz w:val="20"/>
        </w:rPr>
        <w:t>Contenido técnico, Bibliografía complementaria.</w:t>
      </w:r>
      <w:r>
        <w:rPr>
          <w:rFonts w:ascii="Century Gothic" w:hAnsi="Century Gothic" w:cs="Century Gothic" w:eastAsia="Century Gothic"/>
          <w:b w:val="0"/>
          <w:i w:val="0"/>
          <w:sz w:val="20"/>
        </w:rPr>
        <w:t xml:space="preserve"> «Whittington, R. y Pany, K. (2025). Principios de Auditoría. 14a ed.»: la 14.ª edición en español es de mediados de la década de 2000, así que el año 2025 no concuerda con esa edición. Verificar y corregir el año o la edición.</w:t>
      </w:r>
    </w:p>
    <w:p>
      <w:pPr>
        <w:numPr>
          <w:ilvl w:val="0"/>
          <w:numId w:val="944"/>
        </w:numPr>
        <w:spacing w:before="0" w:after="160" w:line="240" w:lineRule="auto"/>
        <w:jc w:val="both"/>
      </w:pPr>
      <w:r>
        <w:rPr>
          <w:rFonts w:ascii="Century Gothic" w:hAnsi="Century Gothic" w:cs="Century Gothic" w:eastAsia="Century Gothic"/>
          <w:b/>
          <w:i w:val="0"/>
          <w:sz w:val="20"/>
        </w:rPr>
        <w:t>Marcas de saber, E1, «Normas para la administración crediticia y la previsión para incobrabilidad. (C)» y «Reglamento de tasas de interés, normas sobre el encaje legal y norma sobre la suficiencia patrimonial. (C)».</w:t>
      </w:r>
      <w:r>
        <w:rPr>
          <w:rFonts w:ascii="Century Gothic" w:hAnsi="Century Gothic" w:cs="Century Gothic" w:eastAsia="Century Gothic"/>
          <w:b w:val="0"/>
          <w:i w:val="0"/>
          <w:sz w:val="20"/>
        </w:rPr>
        <w:t xml:space="preserve"> Solo llevan (C), aunque los Productos 3 y 4 exigen calcular la previsión, el encaje y el coeficiente de adecuación patrimonial. Deberían ser (C, P).</w:t>
      </w:r>
    </w:p>
    <w:p>
      <w:pPr>
        <w:numPr>
          <w:ilvl w:val="0"/>
          <w:numId w:val="944"/>
        </w:numPr>
        <w:spacing w:before="0" w:after="160" w:line="240" w:lineRule="auto"/>
        <w:jc w:val="both"/>
      </w:pPr>
      <w:r>
        <w:rPr>
          <w:rFonts w:ascii="Century Gothic" w:hAnsi="Century Gothic" w:cs="Century Gothic" w:eastAsia="Century Gothic"/>
          <w:b/>
          <w:i w:val="0"/>
          <w:sz w:val="20"/>
        </w:rPr>
        <w:t>Marcas de saber, E2, «Indicadores de solvencia, liquidez, calidad de cartera y rentabilidad utilizados en la supervisión. (C)».</w:t>
      </w:r>
      <w:r>
        <w:rPr>
          <w:rFonts w:ascii="Century Gothic" w:hAnsi="Century Gothic" w:cs="Century Gothic" w:eastAsia="Century Gothic"/>
          <w:b w:val="0"/>
          <w:i w:val="0"/>
          <w:sz w:val="20"/>
        </w:rPr>
        <w:t xml:space="preserve"> El Producto 7 calcula esos indicadores. Debería ser (C, P) o (P, T).</w:t>
      </w:r>
    </w:p>
    <w:p>
      <w:pPr>
        <w:numPr>
          <w:ilvl w:val="0"/>
          <w:numId w:val="944"/>
        </w:numPr>
        <w:spacing w:before="0" w:after="160" w:line="240" w:lineRule="auto"/>
        <w:jc w:val="both"/>
      </w:pPr>
      <w:r>
        <w:rPr>
          <w:rFonts w:ascii="Century Gothic" w:hAnsi="Century Gothic" w:cs="Century Gothic" w:eastAsia="Century Gothic"/>
          <w:b/>
          <w:i w:val="0"/>
          <w:sz w:val="20"/>
        </w:rPr>
        <w:t>Circunstanciales, E4, conocimientos circunstanciales.</w:t>
      </w:r>
      <w:r>
        <w:rPr>
          <w:rFonts w:ascii="Century Gothic" w:hAnsi="Century Gothic" w:cs="Century Gothic" w:eastAsia="Century Gothic"/>
          <w:b w:val="0"/>
          <w:i w:val="0"/>
          <w:sz w:val="20"/>
        </w:rPr>
        <w:t xml:space="preserve"> «Normativa de la Unidad de Investigaciones Financieras sobre prevención de la legitimación de ganancias ilícitas…» figura como circunstancial, aunque es contenido central del Tema 8 y también se dicta en CPA-508 (elemento 4).</w:t>
      </w:r>
    </w:p>
    <w:p>
      <w:pPr>
        <w:numPr>
          <w:ilvl w:val="0"/>
          <w:numId w:val="944"/>
        </w:numPr>
        <w:spacing w:before="0" w:after="160" w:line="240" w:lineRule="auto"/>
        <w:jc w:val="both"/>
      </w:pPr>
      <w:r>
        <w:rPr>
          <w:rFonts w:ascii="Century Gothic" w:hAnsi="Century Gothic" w:cs="Century Gothic" w:eastAsia="Century Gothic"/>
          <w:b/>
          <w:i w:val="0"/>
          <w:sz w:val="20"/>
        </w:rPr>
        <w:t>Circunstanciales, E5, conocimientos circunstanciales.</w:t>
      </w:r>
      <w:r>
        <w:rPr>
          <w:rFonts w:ascii="Century Gothic" w:hAnsi="Century Gothic" w:cs="Century Gothic" w:eastAsia="Century Gothic"/>
          <w:b w:val="0"/>
          <w:i w:val="0"/>
          <w:sz w:val="20"/>
        </w:rPr>
        <w:t xml:space="preserve"> El «Reglamento para la Realización del Trabajo de Auditoría Externa de la ASFI vigente» es la base de las evidencias 2.2 (E2) y del Tema 11, no un conocimiento circunstancial.</w:t>
      </w:r>
    </w:p>
    <w:p>
      <w:pPr>
        <w:numPr>
          <w:ilvl w:val="0"/>
          <w:numId w:val="944"/>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Las horas están llenas (HP 24, HAA 16, HTG 24, HIP 8, HE 8, TOTAL 80). HP 24 contradice las 2 h/semana de la malla (80 h presenciales al año), y la guía pide dejarlas en blanco.</w:t>
      </w:r>
    </w:p>
    <w:p>
      <w:pPr>
        <w:numPr>
          <w:ilvl w:val="0"/>
          <w:numId w:val="944"/>
        </w:numPr>
        <w:spacing w:before="0" w:after="160" w:line="240" w:lineRule="auto"/>
        <w:jc w:val="both"/>
      </w:pPr>
      <w:r>
        <w:rPr>
          <w:rFonts w:ascii="Century Gothic" w:hAnsi="Century Gothic" w:cs="Century Gothic" w:eastAsia="Century Gothic"/>
          <w:b/>
          <w:i w:val="0"/>
          <w:sz w:val="20"/>
        </w:rPr>
        <w:t>Incoherencia interna, E1 y E2 frente a CPA-303.</w:t>
      </w:r>
      <w:r>
        <w:rPr>
          <w:rFonts w:ascii="Century Gothic" w:hAnsi="Century Gothic" w:cs="Century Gothic" w:eastAsia="Century Gothic"/>
          <w:b w:val="0"/>
          <w:i w:val="0"/>
          <w:sz w:val="20"/>
        </w:rPr>
        <w:t xml:space="preserve"> La previsión para incobrabilidad, el encaje legal y el Manual de Cuentas para Entidades Financieras ya se dictan en CPA-303 Contabilidad de Bancos y Entidades Financieras. Aquí deberían tratarse solo desde la auditoría.</w:t>
      </w:r>
    </w:p>
    <w:p>
      <w:pPr>
        <w:numPr>
          <w:ilvl w:val="0"/>
          <w:numId w:val="944"/>
        </w:numPr>
        <w:spacing w:before="0" w:after="160" w:line="240" w:lineRule="auto"/>
        <w:jc w:val="both"/>
      </w:pPr>
      <w:r>
        <w:rPr>
          <w:rFonts w:ascii="Century Gothic" w:hAnsi="Century Gothic" w:cs="Century Gothic" w:eastAsia="Century Gothic"/>
          <w:b/>
          <w:i w:val="0"/>
          <w:sz w:val="20"/>
        </w:rPr>
        <w:t>Incoherencia interna, E4 frente a CPA-505 y CPA-508; E5 frente a CPA-507 y CPA-508.</w:t>
      </w:r>
      <w:r>
        <w:rPr>
          <w:rFonts w:ascii="Century Gothic" w:hAnsi="Century Gothic" w:cs="Century Gothic" w:eastAsia="Century Gothic"/>
          <w:b w:val="0"/>
          <w:i w:val="0"/>
          <w:sz w:val="20"/>
        </w:rPr>
        <w:t xml:space="preserve"> El entorno de TI, la ciberseguridad y COBIT se cruzan con CPA-505; la UIF, con CPA-508, y la NISR 4400, con CPA-507 y CPA-508.</w:t>
      </w:r>
    </w:p>
    <w:p>
      <w:pPr>
        <w:numPr>
          <w:ilvl w:val="0"/>
          <w:numId w:val="944"/>
        </w:numPr>
        <w:spacing w:before="0" w:after="160" w:line="240" w:lineRule="auto"/>
        <w:jc w:val="both"/>
      </w:pPr>
      <w:r>
        <w:rPr>
          <w:rFonts w:ascii="Century Gothic" w:hAnsi="Century Gothic" w:cs="Century Gothic" w:eastAsia="Century Gothic"/>
          <w:b/>
          <w:i w:val="0"/>
          <w:sz w:val="20"/>
        </w:rPr>
        <w:t>Incoherencia interna, E5, Tema 11 frente a E2, evidencia 2.2.</w:t>
      </w:r>
      <w:r>
        <w:rPr>
          <w:rFonts w:ascii="Century Gothic" w:hAnsi="Century Gothic" w:cs="Century Gothic" w:eastAsia="Century Gothic"/>
          <w:b w:val="0"/>
          <w:i w:val="0"/>
          <w:sz w:val="20"/>
        </w:rPr>
        <w:t xml:space="preserve"> El mismo reglamento de la ASFI aparece con dos nombres: «Reglamento para la Realización de Auditorías Externas» y «Reglamento para la Realización del Trabajo de Auditoría Externa».</w:t>
      </w:r>
    </w:p>
    <w:p>
      <w:pPr>
        <w:numPr>
          <w:ilvl w:val="0"/>
          <w:numId w:val="944"/>
        </w:numPr>
        <w:spacing w:before="0" w:after="160" w:line="240" w:lineRule="auto"/>
        <w:jc w:val="both"/>
      </w:pPr>
      <w:r>
        <w:rPr>
          <w:rFonts w:ascii="Century Gothic" w:hAnsi="Century Gothic" w:cs="Century Gothic" w:eastAsia="Century Gothic"/>
          <w:b/>
          <w:i w:val="0"/>
          <w:sz w:val="20"/>
        </w:rPr>
        <w:t>Incoherencia interna, Rúbrica del Producto 1.</w:t>
      </w:r>
      <w:r>
        <w:rPr>
          <w:rFonts w:ascii="Century Gothic" w:hAnsi="Century Gothic" w:cs="Century Gothic" w:eastAsia="Century Gothic"/>
          <w:b w:val="0"/>
          <w:i w:val="0"/>
          <w:sz w:val="20"/>
        </w:rPr>
        <w:t xml:space="preserve"> La rúbrica se titula «Matriz de servicios financieros autorizados», mientras la evidencia nombra el producto «Cuadro de los servicios financieros autorizados…».</w:t>
      </w:r>
    </w:p>
    <w:p>
      <w:pPr>
        <w:numPr>
          <w:ilvl w:val="0"/>
          <w:numId w:val="944"/>
        </w:numPr>
        <w:spacing w:before="0" w:after="160" w:line="240" w:lineRule="auto"/>
        <w:jc w:val="both"/>
      </w:pPr>
      <w:r>
        <w:rPr>
          <w:rFonts w:ascii="Century Gothic" w:hAnsi="Century Gothic" w:cs="Century Gothic" w:eastAsia="Century Gothic"/>
          <w:b/>
          <w:i w:val="0"/>
          <w:sz w:val="20"/>
        </w:rPr>
        <w:t>Incoherencia interna, Bibliografía básica.</w:t>
      </w:r>
      <w:r>
        <w:rPr>
          <w:rFonts w:ascii="Century Gothic" w:hAnsi="Century Gothic" w:cs="Century Gothic" w:eastAsia="Century Gothic"/>
          <w:b w:val="0"/>
          <w:i w:val="0"/>
          <w:sz w:val="20"/>
        </w:rPr>
        <w:t xml:space="preserve"> No está en orden alfabético: la Ley N° 393 va antes de una entrada de la ASFI, y siguen ISACA e ISO. Varias normas (COBIT, ISO/IEC 27001, Guías de la ASFI) no tienen año ni edición.</w:t>
      </w:r>
    </w:p>
    <w:p>
      <w:pPr>
        <w:numPr>
          <w:ilvl w:val="0"/>
          <w:numId w:val="944"/>
        </w:numPr>
        <w:spacing w:before="0" w:after="200" w:line="240" w:lineRule="auto"/>
        <w:jc w:val="both"/>
      </w:pPr>
      <w:r>
        <w:rPr>
          <w:rFonts w:ascii="Century Gothic" w:hAnsi="Century Gothic" w:cs="Century Gothic" w:eastAsia="Century Gothic"/>
          <w:b/>
          <w:i w:val="0"/>
          <w:sz w:val="20"/>
        </w:rPr>
        <w:t>Incoherencia interna, Extensión general.</w:t>
      </w:r>
      <w:r>
        <w:rPr>
          <w:rFonts w:ascii="Century Gothic" w:hAnsi="Century Gothic" w:cs="Century Gothic" w:eastAsia="Century Gothic"/>
          <w:b w:val="0"/>
          <w:i w:val="0"/>
          <w:sz w:val="20"/>
        </w:rPr>
        <w:t xml:space="preserve"> Para una asignatura de 2 h/semana tiene 5 elementos y 20 productos, cada uno descrito con enunciados muy largos (Productos 10, 11, 15 y 16). La carga de trabajo parece excesiva para 80 h.</w:t>
      </w:r>
    </w:p>
    <w:p>
      <w:pPr>
        <w:spacing w:before="0" w:after="200" w:line="240" w:lineRule="auto"/>
        <w:jc w:val="both"/>
      </w:pPr>
      <w:r>
        <w:rPr>
          <w:rFonts w:ascii="Century Gothic" w:hAnsi="Century Gothic" w:cs="Century Gothic" w:eastAsia="Century Gothic"/>
          <w:b/>
          <w:i w:val="0"/>
          <w:sz w:val="20"/>
        </w:rPr>
        <w:t>Informe de la subcomisión:</w:t>
      </w:r>
      <w:r>
        <w:rPr>
          <w:rFonts w:ascii="Century Gothic" w:hAnsi="Century Gothic" w:cs="Century Gothic" w:eastAsia="Century Gothic"/>
          <w:b w:val="0"/>
          <w:i w:val="0"/>
          <w:sz w:val="20"/>
        </w:rPr>
        <w:t xml:space="preserve"> El informe usa el nombre de la malla, aunque sin tilde («Auditoria de Entidades Financieras y Servicios Relacionados»), y coincide con el itinerario. No registra cambios ni justificaciones; solo usa la fórmula común de «consenso en cuanto a la denominación…», y marca «Sí» en carga horaria aunque las horas están llenas y HP no concuerda con la malla.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7.43</w:t>
        <w:tab/>
      </w:r>
      <w:r>
        <w:rPr>
          <w:rFonts w:ascii="Century Gothic" w:hAnsi="Century Gothic" w:cs="Century Gothic" w:eastAsia="Century Gothic"/>
          <w:b/>
          <w:i w:val="0"/>
          <w:sz w:val="22"/>
        </w:rPr>
        <w:t>CPA-510 Taller de Grado</w:t>
      </w:r>
    </w:p>
    <w:p>
      <w:pPr>
        <w:spacing w:before="0" w:after="200" w:line="240" w:lineRule="auto"/>
        <w:jc w:val="both"/>
      </w:pPr>
      <w:r>
        <w:rPr>
          <w:rFonts w:ascii="Century Gothic" w:hAnsi="Century Gothic" w:cs="Century Gothic" w:eastAsia="Century Gothic"/>
          <w:b w:val="0"/>
          <w:i w:val="0"/>
          <w:sz w:val="20"/>
        </w:rPr>
        <w:t xml:space="preserve">Archivo: TALLER DE GRADO (CPA-510) POR COMPETENCIAS 2027 _PRESENTACIÓN.docx. Cumple 13 de 23 controles, 6 de forma parcial y no cumple 4. Estado: </w:t>
      </w:r>
      <w:r>
        <w:rPr>
          <w:rFonts w:ascii="Century Gothic" w:hAnsi="Century Gothic" w:cs="Century Gothic" w:eastAsia="Century Gothic"/>
          <w:b/>
          <w:i w:val="0"/>
          <w:sz w:val="20"/>
        </w:rPr>
        <w:t>requiere ajustes</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El itinerario tiene rúbricas detalladas y una secuencia lógica hacia la presentación y defensa del perfil, pero solo es coherente con la tesis y el proyecto de grado. Deja sin producto el trabajo dirigido, que dicta en el Tema 12, y omite el diplomado y el PETAENG. El E2 (ensayo, artículo y monografía) pesa demasiado, repite CPA-204 y aporta poco a la graduación. Hay además numerosos errores de formato en las marcas y en la puntuación.</w:t>
      </w:r>
    </w:p>
    <w:tbl>
      <w:tblPr>
        <w:tblW w:type="auto" w:w="0"/>
        <w:jc w:val="center"/>
        <w:tblLayout w:type="fixed"/>
        <w:tblLook w:firstColumn="1" w:firstRow="1" w:lastColumn="0" w:lastRow="0" w:noHBand="0" w:noVBand="1" w:val="04A0"/>
      </w:tblPr>
      <w:tblGrid>
        <w:gridCol w:w="567"/>
        <w:gridCol w:w="1814"/>
        <w:gridCol w:w="1020"/>
        <w:gridCol w:w="5669"/>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siglas: HP, HAA, HTC, HIP, HE, TOTAL; horas llenadas (80, 10, 10, 10, 10, 120)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referencia al contexto boliviano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de desempeño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E3: 4 evidencias, sin numeración completa (numeración 2.2); E4: 5 evidencias, sin numeración completa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Marcas C, P, A, T</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de 55 contenidos sin marca C, P, A o T; 1 contenidos sin punto antes de la marca</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C12</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Circunstanciales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conocimientos circunstanciales observados en la revisión de contenido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Actividades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falta la columna «En clase» (dice «Clases»)</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 de 9 referencias básicas anteriores a 2016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C19</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expresiones a evitar: «mediante» (9)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Resaltado amarillo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 resaltado amarillo de lo incorporado</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C23</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Redacción de enunciados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evidencias de producto redactadas como acción</w:t>
            </w:r>
          </w:p>
        </w:tc>
      </w:tr>
    </w:tbl>
    <w:p>
      <w:pPr>
        <w:spacing w:before="0" w:after="120" w:line="240" w:lineRule="auto"/>
        <w:jc w:val="left"/>
      </w:pPr>
    </w:p>
    <w:p>
      <w:pPr>
        <w:spacing w:before="0" w:after="80" w:line="240" w:lineRule="auto"/>
        <w:jc w:val="both"/>
      </w:pPr>
      <w:r>
        <w:rPr>
          <w:rFonts w:ascii="Century Gothic" w:hAnsi="Century Gothic" w:cs="Century Gothic" w:eastAsia="Century Gothic"/>
          <w:b/>
          <w:i w:val="0"/>
          <w:sz w:val="20"/>
        </w:rPr>
        <w:t>Observaciones de coherencia y contenido:</w:t>
      </w:r>
    </w:p>
    <w:p>
      <w:pPr>
        <w:numPr>
          <w:ilvl w:val="0"/>
          <w:numId w:val="945"/>
        </w:numPr>
        <w:spacing w:before="0" w:after="160" w:line="240" w:lineRule="auto"/>
        <w:jc w:val="both"/>
      </w:pPr>
      <w:r>
        <w:rPr>
          <w:rFonts w:ascii="Century Gothic" w:hAnsi="Century Gothic" w:cs="Century Gothic" w:eastAsia="Century Gothic"/>
          <w:b/>
          <w:i w:val="0"/>
          <w:sz w:val="20"/>
        </w:rPr>
        <w:t>Coherencia, Unidad de competencia, E1 (criterio 2, 2.1 y 2.2) y E3-E4 frente a las modalidades de graduación.</w:t>
      </w:r>
      <w:r>
        <w:rPr>
          <w:rFonts w:ascii="Century Gothic" w:hAnsi="Century Gothic" w:cs="Century Gothic" w:eastAsia="Century Gothic"/>
          <w:b w:val="0"/>
          <w:i w:val="0"/>
          <w:sz w:val="20"/>
        </w:rPr>
        <w:t xml:space="preserve"> Los contenidos del E1 citan solo tesis, proyecto de grado, trabajo dirigido, examen de grado y excelencia. Omiten el diplomado y el PETAENG. La unidad y todos los productos del E3-E4 se limitan al perfil de tesis o de proyecto de grado: quien elija trabajo dirigido, examen de grado, excelencia, diplomado o PETAENG en la evidencia 2.2 no tiene un producto que hacer. Incluir diplomado y PETAENG en los contenidos del E1. Definir el Taller como preparación del perfil para las modalidades con investigación (tesis, proyecto, trabajo dirigido) y prever un producto equivalente (por ejemplo, el plan de trabajo dirigido) o una nota sobre el tratamiento de las demás modalidades.</w:t>
      </w:r>
    </w:p>
    <w:p>
      <w:pPr>
        <w:numPr>
          <w:ilvl w:val="0"/>
          <w:numId w:val="945"/>
        </w:numPr>
        <w:spacing w:before="0" w:after="160" w:line="240" w:lineRule="auto"/>
        <w:jc w:val="both"/>
      </w:pPr>
      <w:r>
        <w:rPr>
          <w:rFonts w:ascii="Century Gothic" w:hAnsi="Century Gothic" w:cs="Century Gothic" w:eastAsia="Century Gothic"/>
          <w:b/>
          <w:i w:val="0"/>
          <w:sz w:val="20"/>
        </w:rPr>
        <w:t>Coherencia, E3, Tema 12 'Trabajo dirigido o práctica pre-profesional'.</w:t>
      </w:r>
      <w:r>
        <w:rPr>
          <w:rFonts w:ascii="Century Gothic" w:hAnsi="Century Gothic" w:cs="Century Gothic" w:eastAsia="Century Gothic"/>
          <w:b w:val="0"/>
          <w:i w:val="0"/>
          <w:sz w:val="20"/>
        </w:rPr>
        <w:t xml:space="preserve"> Tiene tres contenidos, pero ningún criterio, evidencia ni producto. El elemento 1 sí diferencia el trabajo dirigido, que luego desaparece de la cadena. Añadir 'Perfil de Trabajo Dirigido' como alternativa en el E3 y el E4, o retirar el Tema 12.</w:t>
      </w:r>
    </w:p>
    <w:p>
      <w:pPr>
        <w:numPr>
          <w:ilvl w:val="0"/>
          <w:numId w:val="945"/>
        </w:numPr>
        <w:spacing w:before="0" w:after="160" w:line="240" w:lineRule="auto"/>
        <w:jc w:val="both"/>
      </w:pPr>
      <w:r>
        <w:rPr>
          <w:rFonts w:ascii="Century Gothic" w:hAnsi="Century Gothic" w:cs="Century Gothic" w:eastAsia="Century Gothic"/>
          <w:b/>
          <w:i w:val="0"/>
          <w:sz w:val="20"/>
        </w:rPr>
        <w:t>Coherencia, E3, Productos 9 y 11.</w:t>
      </w:r>
      <w:r>
        <w:rPr>
          <w:rFonts w:ascii="Century Gothic" w:hAnsi="Century Gothic" w:cs="Century Gothic" w:eastAsia="Century Gothic"/>
          <w:b w:val="0"/>
          <w:i w:val="0"/>
          <w:sz w:val="20"/>
        </w:rPr>
        <w:t xml:space="preserve"> Ambos construyen el modelo teórico o aplicado, y las dos rúbricas tienen el criterio 'Construcción del modelo'. El P9 (evidencia 1.1: identificar la temática) adelanta lo que pide el criterio 2. Limitar el P9 a la revisión de la literatura y la fundamentación del tema, y dejar el modelo en el P11.</w:t>
      </w:r>
    </w:p>
    <w:p>
      <w:pPr>
        <w:numPr>
          <w:ilvl w:val="0"/>
          <w:numId w:val="945"/>
        </w:numPr>
        <w:spacing w:before="0" w:after="160" w:line="240" w:lineRule="auto"/>
        <w:jc w:val="both"/>
      </w:pPr>
      <w:r>
        <w:rPr>
          <w:rFonts w:ascii="Century Gothic" w:hAnsi="Century Gothic" w:cs="Century Gothic" w:eastAsia="Century Gothic"/>
          <w:b/>
          <w:i w:val="0"/>
          <w:sz w:val="20"/>
        </w:rPr>
        <w:t>Coherencia, E3, Producto 10.</w:t>
      </w:r>
      <w:r>
        <w:rPr>
          <w:rFonts w:ascii="Century Gothic" w:hAnsi="Century Gothic" w:cs="Century Gothic" w:eastAsia="Century Gothic"/>
          <w:b w:val="0"/>
          <w:i w:val="0"/>
          <w:sz w:val="20"/>
        </w:rPr>
        <w:t xml:space="preserve"> Está redactado como acción ('Analiza y problematiza el objeto de estudio…'), igual en la tabla y en la rúbrica, que es un error frecuente según la guía. 'Planteamiento del problema con su delimitación temática, espacial y temporal y sus variables'.</w:t>
      </w:r>
    </w:p>
    <w:p>
      <w:pPr>
        <w:numPr>
          <w:ilvl w:val="0"/>
          <w:numId w:val="945"/>
        </w:numPr>
        <w:spacing w:before="0" w:after="160" w:line="240" w:lineRule="auto"/>
        <w:jc w:val="both"/>
      </w:pPr>
      <w:r>
        <w:rPr>
          <w:rFonts w:ascii="Century Gothic" w:hAnsi="Century Gothic" w:cs="Century Gothic" w:eastAsia="Century Gothic"/>
          <w:b/>
          <w:i w:val="0"/>
          <w:sz w:val="20"/>
        </w:rPr>
        <w:t>Coherencia, E3, contenidos de los Temas 9 y 11.</w:t>
      </w:r>
      <w:r>
        <w:rPr>
          <w:rFonts w:ascii="Century Gothic" w:hAnsi="Century Gothic" w:cs="Century Gothic" w:eastAsia="Century Gothic"/>
          <w:b w:val="0"/>
          <w:i w:val="0"/>
          <w:sz w:val="20"/>
        </w:rPr>
        <w:t xml:space="preserve"> Marco práctico, contrastación de hipótesis, resultados y conclusiones corresponden a la ejecución de la tesis o el proyecto, no al perfil, que es el alcance de la unidad de competencia. Tratarlos como orientación (C) o limitarlos a la estructura esperada.</w:t>
      </w:r>
    </w:p>
    <w:p>
      <w:pPr>
        <w:numPr>
          <w:ilvl w:val="0"/>
          <w:numId w:val="945"/>
        </w:numPr>
        <w:spacing w:before="0" w:after="160" w:line="240" w:lineRule="auto"/>
        <w:jc w:val="both"/>
      </w:pPr>
      <w:r>
        <w:rPr>
          <w:rFonts w:ascii="Century Gothic" w:hAnsi="Century Gothic" w:cs="Century Gothic" w:eastAsia="Century Gothic"/>
          <w:b/>
          <w:i w:val="0"/>
          <w:sz w:val="20"/>
        </w:rPr>
        <w:t>Contenido técnico, Bibliografía básica, 'Eco, H. (2006)'.</w:t>
      </w:r>
      <w:r>
        <w:rPr>
          <w:rFonts w:ascii="Century Gothic" w:hAnsi="Century Gothic" w:cs="Century Gothic" w:eastAsia="Century Gothic"/>
          <w:b w:val="0"/>
          <w:i w:val="0"/>
          <w:sz w:val="20"/>
        </w:rPr>
        <w:t xml:space="preserve"> El autor es Umberto Eco: la inicial es U. 'Eco, U. (2006)'.</w:t>
      </w:r>
    </w:p>
    <w:p>
      <w:pPr>
        <w:numPr>
          <w:ilvl w:val="0"/>
          <w:numId w:val="945"/>
        </w:numPr>
        <w:spacing w:before="0" w:after="160" w:line="240" w:lineRule="auto"/>
        <w:jc w:val="both"/>
      </w:pPr>
      <w:r>
        <w:rPr>
          <w:rFonts w:ascii="Century Gothic" w:hAnsi="Century Gothic" w:cs="Century Gothic" w:eastAsia="Century Gothic"/>
          <w:b/>
          <w:i w:val="0"/>
          <w:sz w:val="20"/>
        </w:rPr>
        <w:t>Contenido técnico, Bibliografía básica, 'Álvarez de Sayas, C.'.</w:t>
      </w:r>
      <w:r>
        <w:rPr>
          <w:rFonts w:ascii="Century Gothic" w:hAnsi="Century Gothic" w:cs="Century Gothic" w:eastAsia="Century Gothic"/>
          <w:b w:val="0"/>
          <w:i w:val="0"/>
          <w:sz w:val="20"/>
        </w:rPr>
        <w:t xml:space="preserve"> El apellido del autor cubano es Álvarez de Zayas. 'Álvarez de Zayas, C.'</w:t>
      </w:r>
    </w:p>
    <w:p>
      <w:pPr>
        <w:numPr>
          <w:ilvl w:val="0"/>
          <w:numId w:val="945"/>
        </w:numPr>
        <w:spacing w:before="0" w:after="160" w:line="240" w:lineRule="auto"/>
        <w:jc w:val="both"/>
      </w:pPr>
      <w:r>
        <w:rPr>
          <w:rFonts w:ascii="Century Gothic" w:hAnsi="Century Gothic" w:cs="Century Gothic" w:eastAsia="Century Gothic"/>
          <w:b/>
          <w:i w:val="0"/>
          <w:sz w:val="20"/>
        </w:rPr>
        <w:t>Contenido técnico, Bibliografía complementaria, 'Zorrilla, S. y Tórrez, M.' y 'Universidad Privada de Ciencias Aplicadas'.</w:t>
      </w:r>
      <w:r>
        <w:rPr>
          <w:rFonts w:ascii="Century Gothic" w:hAnsi="Century Gothic" w:cs="Century Gothic" w:eastAsia="Century Gothic"/>
          <w:b w:val="0"/>
          <w:i w:val="0"/>
          <w:sz w:val="20"/>
        </w:rPr>
        <w:t xml:space="preserve"> Los autores son Zorrilla Arena y Torres Xammar. La editorial de Alayza y otros es la Universidad Peruana de Ciencias Aplicadas (UPC). Corregir los nombres.</w:t>
      </w:r>
    </w:p>
    <w:p>
      <w:pPr>
        <w:numPr>
          <w:ilvl w:val="0"/>
          <w:numId w:val="945"/>
        </w:numPr>
        <w:spacing w:before="0" w:after="160" w:line="240" w:lineRule="auto"/>
        <w:jc w:val="both"/>
      </w:pPr>
      <w:r>
        <w:rPr>
          <w:rFonts w:ascii="Century Gothic" w:hAnsi="Century Gothic" w:cs="Century Gothic" w:eastAsia="Century Gothic"/>
          <w:b/>
          <w:i w:val="0"/>
          <w:sz w:val="20"/>
        </w:rPr>
        <w:t>Contenido técnico, Bibliografía básica, 'Reglamento General de Tipos y Modalidades de Graduación…'.</w:t>
      </w:r>
      <w:r>
        <w:rPr>
          <w:rFonts w:ascii="Century Gothic" w:hAnsi="Century Gothic" w:cs="Century Gothic" w:eastAsia="Century Gothic"/>
          <w:b w:val="0"/>
          <w:i w:val="0"/>
          <w:sz w:val="20"/>
        </w:rPr>
        <w:t xml:space="preserve"> No tiene emisor (CEUB), año ni número de aprobación, aunque es la norma base de la asignatura. Tampoco se cita la normativa de la Carrera o de la Facultad sobre diplomado y PETAENG. Completar la referencia y añadir los reglamentos de la UMSA y de la Carrera.</w:t>
      </w:r>
    </w:p>
    <w:p>
      <w:pPr>
        <w:numPr>
          <w:ilvl w:val="0"/>
          <w:numId w:val="945"/>
        </w:numPr>
        <w:spacing w:before="0" w:after="160" w:line="240" w:lineRule="auto"/>
        <w:jc w:val="both"/>
      </w:pPr>
      <w:r>
        <w:rPr>
          <w:rFonts w:ascii="Century Gothic" w:hAnsi="Century Gothic" w:cs="Century Gothic" w:eastAsia="Century Gothic"/>
          <w:b/>
          <w:i w:val="0"/>
          <w:sz w:val="20"/>
        </w:rPr>
        <w:t>Marcas de saber, E1, contenidos.</w:t>
      </w:r>
      <w:r>
        <w:rPr>
          <w:rFonts w:ascii="Century Gothic" w:hAnsi="Century Gothic" w:cs="Century Gothic" w:eastAsia="Century Gothic"/>
          <w:b w:val="0"/>
          <w:i w:val="0"/>
          <w:sz w:val="20"/>
        </w:rPr>
        <w:t xml:space="preserve"> 'Descripción y aplicabilidad del Reglamento… (P)' y 'Diferencias entre la tesis de grado, el trabajo dirigido y el proyecto de grado. (P)' son cognitivos (C). 'Pensamiento crítico… (A)' no describe una conducta observable.</w:t>
      </w:r>
    </w:p>
    <w:p>
      <w:pPr>
        <w:numPr>
          <w:ilvl w:val="0"/>
          <w:numId w:val="945"/>
        </w:numPr>
        <w:spacing w:before="0" w:after="160" w:line="240" w:lineRule="auto"/>
        <w:jc w:val="both"/>
      </w:pPr>
      <w:r>
        <w:rPr>
          <w:rFonts w:ascii="Century Gothic" w:hAnsi="Century Gothic" w:cs="Century Gothic" w:eastAsia="Century Gothic"/>
          <w:b/>
          <w:i w:val="0"/>
          <w:sz w:val="20"/>
        </w:rPr>
        <w:t>Marcas de saber, E4, contenidos.</w:t>
      </w:r>
      <w:r>
        <w:rPr>
          <w:rFonts w:ascii="Century Gothic" w:hAnsi="Century Gothic" w:cs="Century Gothic" w:eastAsia="Century Gothic"/>
          <w:b w:val="0"/>
          <w:i w:val="0"/>
          <w:sz w:val="20"/>
        </w:rPr>
        <w:t xml:space="preserve"> 'Integridad académica: plagio, plagio IA… (A, T)' no opera ninguna herramienta (sería C, A). 'Descripción de los medios de exposición oral. (P)' es (C).</w:t>
      </w:r>
    </w:p>
    <w:p>
      <w:pPr>
        <w:numPr>
          <w:ilvl w:val="0"/>
          <w:numId w:val="945"/>
        </w:numPr>
        <w:spacing w:before="0" w:after="160" w:line="240" w:lineRule="auto"/>
        <w:jc w:val="both"/>
      </w:pPr>
      <w:r>
        <w:rPr>
          <w:rFonts w:ascii="Century Gothic" w:hAnsi="Century Gothic" w:cs="Century Gothic" w:eastAsia="Century Gothic"/>
          <w:b/>
          <w:i w:val="0"/>
          <w:sz w:val="20"/>
        </w:rPr>
        <w:t>Marcas de saber, E3, contenidos.</w:t>
      </w:r>
      <w:r>
        <w:rPr>
          <w:rFonts w:ascii="Century Gothic" w:hAnsi="Century Gothic" w:cs="Century Gothic" w:eastAsia="Century Gothic"/>
          <w:b w:val="0"/>
          <w:i w:val="0"/>
          <w:sz w:val="20"/>
        </w:rPr>
        <w:t xml:space="preserve"> Casi todos llevan solo (P), incluidos enunciados conceptuales como 'Estructura general de la Tesis de Grado…'. Ningún contenido del E3 tiene (T), aunque se trabaja con bases de datos y gestores de referencias.</w:t>
      </w:r>
    </w:p>
    <w:p>
      <w:pPr>
        <w:numPr>
          <w:ilvl w:val="0"/>
          <w:numId w:val="945"/>
        </w:numPr>
        <w:spacing w:before="0" w:after="160" w:line="240" w:lineRule="auto"/>
        <w:jc w:val="both"/>
      </w:pPr>
      <w:r>
        <w:rPr>
          <w:rFonts w:ascii="Century Gothic" w:hAnsi="Century Gothic" w:cs="Century Gothic" w:eastAsia="Century Gothic"/>
          <w:b/>
          <w:i w:val="0"/>
          <w:sz w:val="20"/>
        </w:rPr>
        <w:t>Circunstanciales, E1 y E3, conocimientos circunstanciales.</w:t>
      </w:r>
      <w:r>
        <w:rPr>
          <w:rFonts w:ascii="Century Gothic" w:hAnsi="Century Gothic" w:cs="Century Gothic" w:eastAsia="Century Gothic"/>
          <w:b w:val="0"/>
          <w:i w:val="0"/>
          <w:sz w:val="20"/>
        </w:rPr>
        <w:t xml:space="preserve"> 'Reglamento General de Tipos y Modalidades de Graduación', 'Modalidades de graduación reconocidas por la Carrera' y 'Líneas de investigación institucionales' repiten contenidos de la misma asignatura (Temas 2 y 6). Las líneas de investigación ya figuran en CPA-204 (E2).</w:t>
      </w:r>
    </w:p>
    <w:p>
      <w:pPr>
        <w:numPr>
          <w:ilvl w:val="0"/>
          <w:numId w:val="945"/>
        </w:numPr>
        <w:spacing w:before="0" w:after="160" w:line="240" w:lineRule="auto"/>
        <w:jc w:val="both"/>
      </w:pPr>
      <w:r>
        <w:rPr>
          <w:rFonts w:ascii="Century Gothic" w:hAnsi="Century Gothic" w:cs="Century Gothic" w:eastAsia="Century Gothic"/>
          <w:b/>
          <w:i w:val="0"/>
          <w:sz w:val="20"/>
        </w:rPr>
        <w:t>Circunstanciales, E2 (ensayo, artículo y monografía).</w:t>
      </w:r>
      <w:r>
        <w:rPr>
          <w:rFonts w:ascii="Century Gothic" w:hAnsi="Century Gothic" w:cs="Century Gothic" w:eastAsia="Century Gothic"/>
          <w:b w:val="0"/>
          <w:i w:val="0"/>
          <w:sz w:val="20"/>
        </w:rPr>
        <w:t xml:space="preserve"> La redacción técnico-científica y la lectura de artículos ya se dictan en CPA-204 (Tema 3). El propio elemento los llama 'conocimientos complementarios'.</w:t>
      </w:r>
    </w:p>
    <w:p>
      <w:pPr>
        <w:numPr>
          <w:ilvl w:val="0"/>
          <w:numId w:val="945"/>
        </w:numPr>
        <w:spacing w:before="0" w:after="160" w:line="240" w:lineRule="auto"/>
        <w:jc w:val="both"/>
      </w:pPr>
      <w:r>
        <w:rPr>
          <w:rFonts w:ascii="Century Gothic" w:hAnsi="Century Gothic" w:cs="Century Gothic" w:eastAsia="Century Gothic"/>
          <w:b/>
          <w:i w:val="0"/>
          <w:sz w:val="20"/>
        </w:rPr>
        <w:t>Incoherencia interna, Carga horaria.</w:t>
      </w:r>
      <w:r>
        <w:rPr>
          <w:rFonts w:ascii="Century Gothic" w:hAnsi="Century Gothic" w:cs="Century Gothic" w:eastAsia="Century Gothic"/>
          <w:b w:val="0"/>
          <w:i w:val="0"/>
          <w:sz w:val="20"/>
        </w:rPr>
        <w:t xml:space="preserve"> Usa la sigla antigua 'HTC' en lugar de 'HTG'. Las horas están llenadas (HP 80, TOTAL 120) y contradicen la malla (80 h/año).</w:t>
      </w:r>
    </w:p>
    <w:p>
      <w:pPr>
        <w:numPr>
          <w:ilvl w:val="0"/>
          <w:numId w:val="945"/>
        </w:numPr>
        <w:spacing w:before="0" w:after="160" w:line="240" w:lineRule="auto"/>
        <w:jc w:val="both"/>
      </w:pPr>
      <w:r>
        <w:rPr>
          <w:rFonts w:ascii="Century Gothic" w:hAnsi="Century Gothic" w:cs="Century Gothic" w:eastAsia="Century Gothic"/>
          <w:b/>
          <w:i w:val="0"/>
          <w:sz w:val="20"/>
        </w:rPr>
        <w:t>Incoherencia interna, E2 y pesos.</w:t>
      </w:r>
      <w:r>
        <w:rPr>
          <w:rFonts w:ascii="Century Gothic" w:hAnsi="Century Gothic" w:cs="Century Gothic" w:eastAsia="Century Gothic"/>
          <w:b w:val="0"/>
          <w:i w:val="0"/>
          <w:sz w:val="20"/>
        </w:rPr>
        <w:t xml:space="preserve"> El E2 (ensayo, artículo y monografía, ajeno a las modalidades de graduación) pesa 25 % y el E1 solo 10 %. Sus verbos (identifica, reconoce, describe) son de bajo nivel para quinto año.</w:t>
      </w:r>
    </w:p>
    <w:p>
      <w:pPr>
        <w:numPr>
          <w:ilvl w:val="0"/>
          <w:numId w:val="945"/>
        </w:numPr>
        <w:spacing w:before="0" w:after="160" w:line="240" w:lineRule="auto"/>
        <w:jc w:val="both"/>
      </w:pPr>
      <w:r>
        <w:rPr>
          <w:rFonts w:ascii="Century Gothic" w:hAnsi="Century Gothic" w:cs="Century Gothic" w:eastAsia="Century Gothic"/>
          <w:b/>
          <w:i w:val="0"/>
          <w:sz w:val="20"/>
        </w:rPr>
        <w:t>Incoherencia interna, Contenidos y actividades.</w:t>
      </w:r>
      <w:r>
        <w:rPr>
          <w:rFonts w:ascii="Century Gothic" w:hAnsi="Century Gothic" w:cs="Century Gothic" w:eastAsia="Century Gothic"/>
          <w:b w:val="0"/>
          <w:i w:val="0"/>
          <w:sz w:val="20"/>
        </w:rPr>
        <w:t xml:space="preserve"> La columna de contenidos no tiene la leyenda C/P/A/T. Las actividades usan el rótulo 'Clases' en lugar de 'En clase'. Los criterios y evidencias de E1 a E3 están parcialmente sin numerar.</w:t>
      </w:r>
    </w:p>
    <w:p>
      <w:pPr>
        <w:numPr>
          <w:ilvl w:val="0"/>
          <w:numId w:val="945"/>
        </w:numPr>
        <w:spacing w:before="0" w:after="200" w:line="240" w:lineRule="auto"/>
        <w:jc w:val="both"/>
      </w:pPr>
      <w:r>
        <w:rPr>
          <w:rFonts w:ascii="Century Gothic" w:hAnsi="Century Gothic" w:cs="Century Gothic" w:eastAsia="Century Gothic"/>
          <w:b/>
          <w:i w:val="0"/>
          <w:sz w:val="20"/>
        </w:rPr>
        <w:t>Incoherencia interna, Elemento de competencia 4.</w:t>
      </w:r>
      <w:r>
        <w:rPr>
          <w:rFonts w:ascii="Century Gothic" w:hAnsi="Century Gothic" w:cs="Century Gothic" w:eastAsia="Century Gothic"/>
          <w:b w:val="0"/>
          <w:i w:val="0"/>
          <w:sz w:val="20"/>
        </w:rPr>
        <w:t xml:space="preserve"> 'Presenta el Perfil… presentando y fundamentando sus componentes' repite el verbo y le faltan los dos puntos tras el número.</w:t>
      </w:r>
    </w:p>
    <w:p>
      <w:pPr>
        <w:spacing w:before="0" w:after="200" w:line="240" w:lineRule="auto"/>
        <w:jc w:val="both"/>
      </w:pPr>
      <w:r>
        <w:rPr>
          <w:rFonts w:ascii="Century Gothic" w:hAnsi="Century Gothic" w:cs="Century Gothic" w:eastAsia="Century Gothic"/>
          <w:b w:val="0"/>
          <w:i w:val="0"/>
          <w:sz w:val="20"/>
        </w:rPr>
        <w:t>Se aplicaron 18 correcciones ortográficas y de forma con control de cambios; el detalle figura en el Anexo A.</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8.</w:t>
        <w:tab/>
      </w:r>
      <w:r>
        <w:rPr>
          <w:rFonts w:ascii="Century Gothic" w:hAnsi="Century Gothic" w:cs="Century Gothic" w:eastAsia="Century Gothic"/>
          <w:b/>
          <w:i w:val="0"/>
          <w:sz w:val="24"/>
        </w:rPr>
        <w:t>Observaciones transversales</w:t>
      </w:r>
    </w:p>
    <w:p>
      <w:pPr>
        <w:numPr>
          <w:ilvl w:val="0"/>
          <w:numId w:val="946"/>
        </w:numPr>
        <w:spacing w:before="0" w:after="160" w:line="240" w:lineRule="auto"/>
        <w:jc w:val="both"/>
      </w:pPr>
      <w:r>
        <w:rPr>
          <w:rFonts w:ascii="Century Gothic" w:hAnsi="Century Gothic" w:cs="Century Gothic" w:eastAsia="Century Gothic"/>
          <w:b/>
          <w:i w:val="0"/>
          <w:sz w:val="20"/>
        </w:rPr>
        <w:t>Resaltado de lo incorporado.</w:t>
      </w:r>
      <w:r>
        <w:rPr>
          <w:rFonts w:ascii="Century Gothic" w:hAnsi="Century Gothic" w:cs="Century Gothic" w:eastAsia="Century Gothic"/>
          <w:b w:val="0"/>
          <w:i w:val="0"/>
          <w:sz w:val="20"/>
        </w:rPr>
        <w:t xml:space="preserve"> La guía pide resaltar en amarillo lo que añadió la comisión. Solo 4 itinerarios lo hacen; sin ese resaltado no es posible verificar qué cambió respecto del plan anterior.</w:t>
      </w:r>
    </w:p>
    <w:p>
      <w:pPr>
        <w:numPr>
          <w:ilvl w:val="0"/>
          <w:numId w:val="946"/>
        </w:numPr>
        <w:spacing w:before="0" w:after="160" w:line="240" w:lineRule="auto"/>
        <w:jc w:val="both"/>
      </w:pPr>
      <w:r>
        <w:rPr>
          <w:rFonts w:ascii="Century Gothic" w:hAnsi="Century Gothic" w:cs="Century Gothic" w:eastAsia="Century Gothic"/>
          <w:b/>
          <w:i w:val="0"/>
          <w:sz w:val="20"/>
        </w:rPr>
        <w:t>Repetición de contenidos entre asignaturas.</w:t>
      </w:r>
      <w:r>
        <w:rPr>
          <w:rFonts w:ascii="Century Gothic" w:hAnsi="Century Gothic" w:cs="Century Gothic" w:eastAsia="Century Gothic"/>
          <w:b w:val="0"/>
          <w:i w:val="0"/>
          <w:sz w:val="20"/>
        </w:rPr>
        <w:t xml:space="preserve"> Los mismos temas se dictan en varias asignaturas sin diferenciar la profundidad: COSO e ISO 31000 (CPA-408, CPA-501, CPA-504, CPA-505 y CPA-507), la Ley N° 1178 (CPA-304, CPA-504, CPA-408 y ADM-201), el muestreo de auditoría (MAT-301, CPA-407, CPA-408 y CPA-502), la depreciación (MAT-102, MAT-201 y CPA-201), el proceso administrativo (ADM-101, ADM-201 y ADM-301) y la investigación (CPA-204 y CPA-510). Conviene que las áreas acuerden qué asignatura enseña cada tema y que las demás lo citen como conocimiento circunstancial.</w:t>
      </w:r>
    </w:p>
    <w:p>
      <w:pPr>
        <w:numPr>
          <w:ilvl w:val="0"/>
          <w:numId w:val="946"/>
        </w:numPr>
        <w:spacing w:before="0" w:after="160" w:line="240" w:lineRule="auto"/>
        <w:jc w:val="both"/>
      </w:pPr>
      <w:r>
        <w:rPr>
          <w:rFonts w:ascii="Century Gothic" w:hAnsi="Century Gothic" w:cs="Century Gothic" w:eastAsia="Century Gothic"/>
          <w:b/>
          <w:i w:val="0"/>
          <w:sz w:val="20"/>
        </w:rPr>
        <w:t>Conocimientos circunstanciales.</w:t>
      </w:r>
      <w:r>
        <w:rPr>
          <w:rFonts w:ascii="Century Gothic" w:hAnsi="Century Gothic" w:cs="Century Gothic" w:eastAsia="Century Gothic"/>
          <w:b w:val="0"/>
          <w:i w:val="0"/>
          <w:sz w:val="20"/>
        </w:rPr>
        <w:t xml:space="preserve"> En muchos itinerarios la columna incluye el contenido central del propio elemento o temas que se dictan en otra asignatura del plan, en lugar de los conocimientos previos que el elemento necesita.</w:t>
      </w:r>
    </w:p>
    <w:p>
      <w:pPr>
        <w:numPr>
          <w:ilvl w:val="0"/>
          <w:numId w:val="946"/>
        </w:numPr>
        <w:spacing w:before="0" w:after="160" w:line="240" w:lineRule="auto"/>
        <w:jc w:val="both"/>
      </w:pPr>
      <w:r>
        <w:rPr>
          <w:rFonts w:ascii="Century Gothic" w:hAnsi="Century Gothic" w:cs="Century Gothic" w:eastAsia="Century Gothic"/>
          <w:b/>
          <w:i w:val="0"/>
          <w:sz w:val="20"/>
        </w:rPr>
        <w:t>Marcas de saber.</w:t>
      </w:r>
      <w:r>
        <w:rPr>
          <w:rFonts w:ascii="Century Gothic" w:hAnsi="Century Gothic" w:cs="Century Gothic" w:eastAsia="Century Gothic"/>
          <w:b w:val="0"/>
          <w:i w:val="0"/>
          <w:sz w:val="20"/>
        </w:rPr>
        <w:t xml:space="preserve"> Las marcas (A) y (T) se asignan de forma mecánica: (A) en contenidos que solo describen una norma, sin conducta observable, y (T) en contenidos que mencionan una herramienta sin operarla. En las asignaturas de cálculo predomina (C) en contenidos que se resuelven, que deberían llevar (P).</w:t>
      </w:r>
    </w:p>
    <w:p>
      <w:pPr>
        <w:numPr>
          <w:ilvl w:val="0"/>
          <w:numId w:val="946"/>
        </w:numPr>
        <w:spacing w:before="0" w:after="160" w:line="240" w:lineRule="auto"/>
        <w:jc w:val="both"/>
      </w:pPr>
      <w:r>
        <w:rPr>
          <w:rFonts w:ascii="Century Gothic" w:hAnsi="Century Gothic" w:cs="Century Gothic" w:eastAsia="Century Gothic"/>
          <w:b/>
          <w:i w:val="0"/>
          <w:sz w:val="20"/>
        </w:rPr>
        <w:t>Rúbricas.</w:t>
      </w:r>
      <w:r>
        <w:rPr>
          <w:rFonts w:ascii="Century Gothic" w:hAnsi="Century Gothic" w:cs="Century Gothic" w:eastAsia="Century Gothic"/>
          <w:b w:val="0"/>
          <w:i w:val="0"/>
          <w:sz w:val="20"/>
        </w:rPr>
        <w:t xml:space="preserve"> Además de los incumplimientos de forma, varias rúbricas no corresponden a su producto porque se copiaron de otro (ADM-201, CPA-407, CPA-506, CPA-508, MAT-201, MAT-401 y CPA-305). CPA-408 y CPA-507 usan la escala de 0 a 50 en lugar de 1 a 50.</w:t>
      </w:r>
    </w:p>
    <w:p>
      <w:pPr>
        <w:numPr>
          <w:ilvl w:val="0"/>
          <w:numId w:val="946"/>
        </w:numPr>
        <w:spacing w:before="0" w:after="160" w:line="240" w:lineRule="auto"/>
        <w:jc w:val="both"/>
      </w:pPr>
      <w:r>
        <w:rPr>
          <w:rFonts w:ascii="Century Gothic" w:hAnsi="Century Gothic" w:cs="Century Gothic" w:eastAsia="Century Gothic"/>
          <w:b/>
          <w:i w:val="0"/>
          <w:sz w:val="20"/>
        </w:rPr>
        <w:t>Normas con títulos anteriores.</w:t>
      </w:r>
      <w:r>
        <w:rPr>
          <w:rFonts w:ascii="Century Gothic" w:hAnsi="Century Gothic" w:cs="Century Gothic" w:eastAsia="Century Gothic"/>
          <w:b w:val="0"/>
          <w:i w:val="0"/>
          <w:sz w:val="20"/>
        </w:rPr>
        <w:t xml:space="preserve"> Varias bibliografías citan el manual del IAASB como «Control de Calidad» o «Quality Control» y el código del IESBA como «Código de Ética para Contadores Profesionales». Los títulos vigentes son «Gestión de la Calidad» («Quality Management») y «Código Internacional de Ética para Profesionales de la Contabilidad».</w:t>
      </w:r>
    </w:p>
    <w:p>
      <w:pPr>
        <w:numPr>
          <w:ilvl w:val="0"/>
          <w:numId w:val="946"/>
        </w:numPr>
        <w:spacing w:before="0" w:after="160" w:line="240" w:lineRule="auto"/>
        <w:jc w:val="both"/>
      </w:pPr>
      <w:r>
        <w:rPr>
          <w:rFonts w:ascii="Century Gothic" w:hAnsi="Century Gothic" w:cs="Century Gothic" w:eastAsia="Century Gothic"/>
          <w:b/>
          <w:i w:val="0"/>
          <w:sz w:val="20"/>
        </w:rPr>
        <w:t>Nivel de los verbos.</w:t>
      </w:r>
      <w:r>
        <w:rPr>
          <w:rFonts w:ascii="Century Gothic" w:hAnsi="Century Gothic" w:cs="Century Gothic" w:eastAsia="Century Gothic"/>
          <w:b w:val="0"/>
          <w:i w:val="0"/>
          <w:sz w:val="20"/>
        </w:rPr>
        <w:t xml:space="preserve"> En cuarto y quinto año se usan verbos de comprensión («conoce», «comprende», «describe», «revisa») en unidades, elementos y criterios (CPA-408, CPA-501, CPA-504, CPA-505 y CPA-510), cuando la guía espera análisis, evaluación y creación.</w:t>
      </w:r>
    </w:p>
    <w:p>
      <w:pPr>
        <w:numPr>
          <w:ilvl w:val="0"/>
          <w:numId w:val="946"/>
        </w:numPr>
        <w:spacing w:before="0" w:after="200" w:line="240" w:lineRule="auto"/>
        <w:jc w:val="both"/>
      </w:pPr>
      <w:r>
        <w:rPr>
          <w:rFonts w:ascii="Century Gothic" w:hAnsi="Century Gothic" w:cs="Century Gothic" w:eastAsia="Century Gothic"/>
          <w:b/>
          <w:i w:val="0"/>
          <w:sz w:val="20"/>
        </w:rPr>
        <w:t>Informes de las subcomisiones.</w:t>
      </w:r>
      <w:r>
        <w:rPr>
          <w:rFonts w:ascii="Century Gothic" w:hAnsi="Century Gothic" w:cs="Century Gothic" w:eastAsia="Century Gothic"/>
          <w:b w:val="0"/>
          <w:i w:val="0"/>
          <w:sz w:val="20"/>
        </w:rPr>
        <w:t xml:space="preserve"> Los informes de Servicios de Aseguramiento marcan «Sí» en todos los puntos de control aunque las horas están llenas o las rúbricas no corresponden. No se recibieron informes de Administración, Derecho, Matemáticas, Sistemas ni Metodología de la Investigación.</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9.</w:t>
        <w:tab/>
      </w:r>
      <w:r>
        <w:rPr>
          <w:rFonts w:ascii="Century Gothic" w:hAnsi="Century Gothic" w:cs="Century Gothic" w:eastAsia="Century Gothic"/>
          <w:b/>
          <w:i w:val="0"/>
          <w:sz w:val="24"/>
        </w:rPr>
        <w:t>Conclusiones y recomendaciones</w:t>
      </w:r>
    </w:p>
    <w:p>
      <w:pPr>
        <w:numPr>
          <w:ilvl w:val="0"/>
          <w:numId w:val="947"/>
        </w:numPr>
        <w:spacing w:before="0" w:after="160" w:line="240" w:lineRule="auto"/>
        <w:jc w:val="both"/>
      </w:pPr>
      <w:r>
        <w:rPr>
          <w:rFonts w:ascii="Century Gothic" w:hAnsi="Century Gothic" w:cs="Century Gothic" w:eastAsia="Century Gothic"/>
          <w:b w:val="0"/>
          <w:i w:val="0"/>
          <w:sz w:val="20"/>
        </w:rPr>
        <w:t>Ningún itinerario cumple íntegramente la guía de llenado. Los incumplimientos más extendidos son de forma (horas y créditos llenados, resaltado amarillo, expresiones a evitar) y pueden subsanarse en poco tiempo.</w:t>
      </w:r>
    </w:p>
    <w:p>
      <w:pPr>
        <w:numPr>
          <w:ilvl w:val="0"/>
          <w:numId w:val="947"/>
        </w:numPr>
        <w:spacing w:before="0" w:after="160" w:line="240" w:lineRule="auto"/>
        <w:jc w:val="both"/>
      </w:pPr>
      <w:r>
        <w:rPr>
          <w:rFonts w:ascii="Century Gothic" w:hAnsi="Century Gothic" w:cs="Century Gothic" w:eastAsia="Century Gothic"/>
          <w:b w:val="0"/>
          <w:i w:val="0"/>
          <w:sz w:val="20"/>
        </w:rPr>
        <w:t>Los problemas de fondo se concentran en la cadena de coherencia: rúbricas que no corresponden a su producto, productos que no resultan de su evidencia y elementos que no se reflejan en sus contenidos. Los itinerarios clasificados como «requiere reformulación parcial» y los que tienen rúbricas copiadas deben revisarse antes de su aprobación.</w:t>
      </w:r>
    </w:p>
    <w:p>
      <w:pPr>
        <w:numPr>
          <w:ilvl w:val="0"/>
          <w:numId w:val="947"/>
        </w:numPr>
        <w:spacing w:before="0" w:after="160" w:line="240" w:lineRule="auto"/>
        <w:jc w:val="both"/>
      </w:pPr>
      <w:r>
        <w:rPr>
          <w:rFonts w:ascii="Century Gothic" w:hAnsi="Century Gothic" w:cs="Century Gothic" w:eastAsia="Century Gothic"/>
          <w:b w:val="0"/>
          <w:i w:val="0"/>
          <w:sz w:val="20"/>
        </w:rPr>
        <w:t>La comisión debe decidir sobre los nombres distintos de la malla. Si acepta alguno, debe actualizar la malla y el mapa de competencias del punto 4.4; si no, el itinerario debe volver al nombre aprobado.</w:t>
      </w:r>
    </w:p>
    <w:p>
      <w:pPr>
        <w:numPr>
          <w:ilvl w:val="0"/>
          <w:numId w:val="947"/>
        </w:numPr>
        <w:spacing w:before="0" w:after="160" w:line="240" w:lineRule="auto"/>
        <w:jc w:val="both"/>
      </w:pPr>
      <w:r>
        <w:rPr>
          <w:rFonts w:ascii="Century Gothic" w:hAnsi="Century Gothic" w:cs="Century Gothic" w:eastAsia="Century Gothic"/>
          <w:b w:val="0"/>
          <w:i w:val="0"/>
          <w:sz w:val="20"/>
        </w:rPr>
        <w:t>Los docentes de cada asignatura deben revisar y aceptar o rechazar las correcciones aplicadas con control de cambios en la carpeta «Itinerarios corregidos». El área de Administración debe entregar sus itinerarios en Word e incorporar las correcciones del Anexo A.</w:t>
      </w:r>
    </w:p>
    <w:p>
      <w:pPr>
        <w:numPr>
          <w:ilvl w:val="0"/>
          <w:numId w:val="947"/>
        </w:numPr>
        <w:spacing w:before="0" w:after="200" w:line="240" w:lineRule="auto"/>
        <w:jc w:val="both"/>
      </w:pPr>
      <w:r>
        <w:rPr>
          <w:rFonts w:ascii="Century Gothic" w:hAnsi="Century Gothic" w:cs="Century Gothic" w:eastAsia="Century Gothic"/>
          <w:b w:val="0"/>
          <w:i w:val="0"/>
          <w:sz w:val="20"/>
        </w:rPr>
        <w:t>Se recomienda una reunión de coordinación entre áreas para eliminar las repeticiones de contenidos y asignar cada tema a una sola asignatura, y que cada subcomisión entregue su informe con la justificación de los cambios realizados.</w:t>
      </w:r>
    </w:p>
    <w:p>
      <w:r>
        <w:br w:type="page"/>
      </w:r>
    </w:p>
    <w:p>
      <w:pPr>
        <w:keepNext/>
        <w:spacing w:before="160" w:after="200" w:line="240" w:lineRule="auto"/>
        <w:jc w:val="left"/>
      </w:pPr>
      <w:r>
        <w:rPr>
          <w:rFonts w:ascii="Century Gothic" w:hAnsi="Century Gothic" w:cs="Century Gothic" w:eastAsia="Century Gothic"/>
          <w:b/>
          <w:i w:val="0"/>
          <w:sz w:val="24"/>
        </w:rPr>
        <w:t>Anexo A. Correcciones ortográficas y de forma por asignatura</w:t>
      </w:r>
    </w:p>
    <w:p>
      <w:pPr>
        <w:spacing w:before="0" w:after="200" w:line="240" w:lineRule="auto"/>
        <w:jc w:val="both"/>
      </w:pPr>
      <w:r>
        <w:rPr>
          <w:rFonts w:ascii="Century Gothic" w:hAnsi="Century Gothic" w:cs="Century Gothic" w:eastAsia="Century Gothic"/>
          <w:b w:val="0"/>
          <w:i w:val="0"/>
          <w:sz w:val="20"/>
        </w:rPr>
        <w:t>Las correcciones de los itinerarios en Word se aplicaron como cambios controlados en los archivos de la carpeta «Itinerarios corregidos». Las de Administración deben aplicarse en la versión en Word de esos itinerarios.</w:t>
      </w:r>
    </w:p>
    <w:p>
      <w:pPr>
        <w:keepNext/>
        <w:spacing w:before="40" w:after="200" w:line="240" w:lineRule="auto"/>
        <w:jc w:val="left"/>
      </w:pPr>
      <w:r>
        <w:rPr>
          <w:rFonts w:ascii="Century Gothic" w:hAnsi="Century Gothic" w:cs="Century Gothic" w:eastAsia="Century Gothic"/>
          <w:b/>
          <w:i w:val="0"/>
          <w:sz w:val="22"/>
        </w:rPr>
        <w:t>CPA-101 Contabilidad Básica</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 P, 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Producto13</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Producto 13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 práctico. (C,P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 práctico. (C,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 C,P)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tico. (C,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integra confiable</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íntegra, confiable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clasificadas en transacciones, permutativas, modificativas y mixta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clasificadas en transacciones permutativas, modificativas y mixtas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código, titulo, concepto, movimiento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código, título, concepto, movimiento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Detecta en equipo, errores de registro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Detecta en equipo errores de registro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tanto por naturaleza de las cuentas y por tiempo de realización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tanto por la naturaleza de las cuentas como por el tiempo de realización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 Estados de Resultados por función de gastos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 Estado de Resultados por función de gastos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1.Ejecuta el cierre del sistema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Ejecuta el cierre del sistema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empresa comercial y Efectúa la reapertura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empresa comercial y efectúa la reapertura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CPA-102 Tecnologías de Información y Herramientas Digitales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hojas de cálculo contable - financieras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hojas de cálculo contable-financieras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datos, información, procesos de negocio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gestión de datos, información y procesos de negocio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 fórmulas, tablas dinámicas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 fórmulas y tablas dinámicas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Define atajos basados en el uso de teclado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Define atajos basados en el uso del teclado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 modelo conceptual y lógico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Formula el modelo conceptual y lógico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DER-101 Derecho Comercial y Corporativo</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revisiòn y lista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revisión y lista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Expone ante el curso la estructura y de los participantes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Expone ante el curso la estructura y los participantes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sociedades comerciales, Elementos que configuran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sociedades comerciales; elementos que configuran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constitutivo, Requisitos y trámite</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constitutivo, requisitos y trámite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Adquisición de personalidad jurídica, Estipulaciones nulas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adquisición de personalidad jurídica, estipulaciones nulas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causas de creación y Constitución.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causas de creación y constitución.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Distintas modalidades de Contrato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Distintas modalidades de contrato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endoso y sus clases. (C, 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endoso y sus clases. (C,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DER-102 Derecho Laboral y Seguridad Social</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comprensible, ordenado y completo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comprensible, ordenada y completa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Distingue entre un despido justificado (o legal) del injustificado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Distingue el despido justificado (o legal) del injustificado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 y características.( C )</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 y características.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Aguinaldo de navidad</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Aguinaldo de Navidad</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socio-laboral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sociolaboral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ECO-101 Microeconomía</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agentes económicos consumidores, empresas y gobierno y el Funcionamiento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agentes económicos (consumidores, empresas y gobierno) y el funcionamiento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problemas de información la interdependencia estratégica con rigor</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problemas de información y la interdependencia estratégica, con rigor</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MAT-101 Cálculo</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teorema del algebra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teorema del álgebra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Práctico de cálculo de derivadas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Práctico de cálculo de derivadas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 la resolución de un problema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 la resolución de un problema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MAT-102 Matemáticas Financieras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de valores: Concepto, función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mercado de valores: concepto, función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Simulador de inversiones en bolsa, (T)</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Simulador de inversiones en bolsa. (T)</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Tema10:Valoración de bonos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 10: Valoración de bonos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CPA-201 Contabilidad Intermedia</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(P,T)</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 T)</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una Entidad boliviana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una entidad boliviana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Liquidación de comisión, de consignación con sus registros contables, estado de costo de mercadería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Liquidación de comisión y de consignación con sus registros contables y estado de costo de la mercadería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Producto 13: Cuadro devengamiento de pagos anticipados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Producto 13: Cuadro de devengamiento de pagos anticipados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venta, baja, retiro donación de bienes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venta, baja, retiro y donación de bienes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revalorización técnica, u la pérdida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revalorización técnica, o la pérdida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créditos diferidos de un caso,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créditos diferidos de un caso.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 de evolución del patrimonio., registrando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 de evolución del patrimonio, registrando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CPA-202 Contabilidad de Sociedades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(colectivos y comanditarios), la distribución de resultados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(colectivos y comanditarios) y la distribución de resultados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Registra los aumentos, y las disminuciones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Registra los aumentos y las disminuciones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varias clases de acciones diferente al valor nominal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varias clases de acciones a un valor diferente del nominal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CPA-203 Contabilidad de Tributos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Administracion Tributaria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Tributaria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determinando su objeto, sujeto. Conforme a la normativa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determinando su objeto y su sujeto conforme a la normativa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inmuebles y vehículos. Y tasas, patentes aplicables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inmuebles y vehículos, y las tasas y patentes aplicables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registros contables y Sujetos no obligados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registros contables y sujetos no obligados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 Resto de Contribuyentes (Sujetos pasivos)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 resto de contribuyentes (sujetos pasivos)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liquidación de tributos nacionales departamentales y municipales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liquidación de tributos nacionales, departamentales y municipales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tributaria, Aportes Patronales y Beneficios Sociales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tributaria, aportes patronales y beneficios sociales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CPA-204 Métodos y Técnicas de Investigación</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cuantitativo, cualitativo y mixto y con el enfoque cualitativo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cuantitativo, cualitativo y mixto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modalidades de graduación con investigación (C)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modalidades de graduación con investigación.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contable o financiero y, explica el procedimiento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contable o financiero, y explica el procedimiento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sustenta las conclusiones ante el curso.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sustentan las conclusiones ante el curso.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ADM-201 Administración de Sistemas Gerenciales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donde el explica, mediante</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donde explica, mediante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la que el evalúa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la que evalúa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donde el expone y argumenta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donde expone y argumenta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controlada, real o simulado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controlada, real o simulada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donde el utiliza herramientas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donde utiliza herramientas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Integración De Recursos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Integración de Recursos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Administración Y Control Gubernamentales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Administración y Control Gubernamentales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DER-201 Derecho Tributario y Legislación Aduanera</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ilicito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ilícito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sancion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sanción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via administrativa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vía administrativa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valoración aduanera y la deuda razonable</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valoración aduanera y la duda razonable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 Características y Contenido del Derecho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 características y contenido del derecho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 Contenido y Fuentes de Derecho Tributario Internacional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 contenido y fuentes del derecho tributario internacional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la Administración Tributaria y Mixta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la Administración Tributaria y mixta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Clases de contravenciones: Omisión de inscripción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Clases de contravenciones: omisión de inscripción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Confunde evasión de elusión.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Confunde la evasión con la elusión.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subsumidos en la Norma Tributaria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subsumidos en la norma tributaria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ECO-201 Macroeconomía</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Macroeconomia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Bogotá</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Gregorio, Jose</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Gregorio, José</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Larrain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Larraín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evaluando los efectos política fiscal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evaluando los efectos de la política fiscal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modelo Mundell-Fleming.</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modelo Mundell-Fleming.</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Equilibrio Macro Económico Abierto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Equilibrio Macroeconómico Abierto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Prentice,Hall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Prentice Hall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MAT-201 Álgebra Lineal y Programación Operativa Aplicada a los Negocios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HTC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HTG</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una micro empresa textil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una microempresa textil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Analiza en equipo, el problema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Analiza en equipo el problema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Resuelve en aula, diversos problemas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Resuelve en aula diversos problemas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Teoría de la dualidad (C)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Teoría de la dualidad.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aplicando el método simplex, la teoría de la dualidad.</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aplicando el método simplex y la teoría de la dualidad.</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Resolución por le método simplex</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Resolución por el método simplex</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obtiene una solución valida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obtiene una solución válida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 la solución optima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 la solución óptima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Relaciona las solución óptima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Relaciona la solución óptima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Practico de cálculo de variaciones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Práctico de cálculo de variaciones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presenta algunos desordenes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presenta algunos desórdenes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algunos errores de calculo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algunos errores de cálculo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establece conclusiones validas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establece conclusiones válidas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fundamenta adecuadamente sus relevancia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fundamenta adecuadamente su relevancia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limites inferiores y superiores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límites inferiores y superiores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CPA-301 Contabilidad Internacional</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Cálculo y aplica el reconocimiento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Calcula y aplica el reconocimiento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Hechos posteriors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Hechos posteriores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applicable</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Marco aplicable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NIIF para ls PYMES en Bolivia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NIIF para las PYMES en Bolivia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Presentación del estado de flujo de efectivo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Presentación del estado de flujos de efectivo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CPA-302 Contabilidad de Costos y Gestión</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estandares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estándares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evalúa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deciones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decisiones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una empresa de industrial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una empresa industrial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 la gestora publica de la seguridad social de Corto y Largo Plazo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 la Gestora Pública de la Seguridad Social de Corto y Largo Plazo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Salario mínimo nacional, de como costo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Salario mínimo nacional como costo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sobre las Utilidades de las Empresas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Impuesto sobre las Utilidades de las Empresas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aplicados por empresas industrial y de servicios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aplicados por empresas industriales y de servicios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costos5 por procesos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de costos por procesos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CPA-303 Contabilidad de Bancos y Entidades Financieras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Desarrolla en equipo aula prácticas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Desarrolla en equipo, en aula, prácticas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cálculo de el encaje legal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cálculo del encaje legal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cálculo de el excedente</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cálculo del excedente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 del sistema financiero (C)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 del sistema financiero.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Clasificación de las entidades (C)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Clasificación de las entidades.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cuentas corrientes, en caja de ahorros, calculando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cuentas corrientes y en caja de ahorros, calculando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cajas de ahorro, a plazo fijo y calcula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cajas de ahorro y a plazo fijo, y calcula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para la elaboración de Estados Financieros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para la elaboración de estados financieros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los Bancos y las Entidades Financieras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los bancos y las entidades financieras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CPA-304 Contabilidad y Presupuestos Gubernamental</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 de Operaciones Anual y Prepuesto General del Estado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 de Operaciones Anual y Presupuesto General del Estado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de análisis de compresión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Esquema de análisis de comprensión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interinstitucionales, intrainstitucionales y adicional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interinstitucionales, intrainstitucionales y adicionales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gestión de recursos humanos, relacionada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gestión de recursos humanos, relacionado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contratación de bienes y servicios, relacionada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contratación de bienes y servicios, relacionado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acuerdo políticas, normas e instructivas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acuerdo con las políticas, normas e instructivos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acuerdo políticas y normas del Órgano Rector</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acuerdo con las políticas y normas del Órgano Rector</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 las normas internacionales contable</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 las normas internacionales contables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Compara las normas de contabilidad integrada, con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Compara las normas de contabilidad integrada con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Información Financiera complementaria. (P).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información financiera complementaria.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concurrentes y exclusivas (C)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concurrentes y exclusivas.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Presupuesto (C)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Presupuesto.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CPA-305 Sistemas Contables ERP y Análisis de Datos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tributarios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tributarias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Revisa, selecciona sistemas contables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Revisa y selecciona sistemas contables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una nueva gestión, (C, T)</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una nueva gestión. (C, T)</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normativa contable y tributaria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normativa contable y tributaria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Inventarios y Control de tomas Físicas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inventarios y control de tomas físicas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Selecciona, identifica sistemas para el registra las entradas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Selecciona e identifica sistemas para registrar las entradas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emite el kardex físico valorado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emite el kárdex físico valorado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una nueva gestión (C, T)</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una nueva gestión. (C, T)</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recursos humamos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recursos humanos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Registro y validacon de compras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Registro y validación de compras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ECO-301 Preparación y Evaluación de Proyectos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normativa vigente de inversión pública, Con uso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normativa vigente de inversión pública, con uso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básico de inversión publica.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 básico de inversión pública.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para la inversión pública.(P)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para la inversión pública.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tasa interna de retorno, la razón beneficio costo.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tasa interna de retorno y la razón beneficio-costo.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Diseña la organización, estimación de costos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Diseña la organización, la estimación de costos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MAT-301 Estadística</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Producto18</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Producto 18</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 el uso de paquetes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 el uso de paquetes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Calculo de límites de error</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de límites de error</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potencial , inversa y exponencial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potencial, inversa y exponencial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la forma de la distribuciones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la forma de las distribuciones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Conjunto Partición de un espacio muestral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Partición de un espacio muestral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los resultados arribados u obtenidos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los resultados obtenidos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Unidades Monetarias estados financieros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Unidades Monetarias en estados financieros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Video tutoriales del uso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Videotutoriales del uso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CPA-401 Contabilidad Minera y Petrolera</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tiva CEDEIM (C,P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tiva CEDEIM (C,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para un toma de decisiones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para una toma de decisiones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Secciónales Interior Mina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Seccionales Interior Mina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Ingenio: Costos Secciónales Ingenio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Ingenio: Costos Seccionales Ingenio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sobre que empresas mineras se tiene</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sobre qué empresas mineras se tiene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sobre que empresas petroleras se tiene</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sobre qué empresas petroleras se tiene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 que tipo de decisiones se toman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 qué tipo de decisiones se toman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 a cuanto alcanza los costos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 a cuánto alcanzan los costos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 a cuanto alcanza la participación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 a cuánto alcanza la participación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una vez deducido la renta estatal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una vez deducida la renta estatal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de calculo de regalías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de cálculo de regalías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cada derivado del petroleo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cada derivado del petróleo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actividades hidrocarburiferas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actividades hidrocarburíferas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cadena Hidrocarburifera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cadena hidrocarburífera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Supervisión e Ingeniaría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Supervisión e Ingeniería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y Gastos Instalaciones Domiciliaras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Costos y Gastos de Instalaciones Domiciliarias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costo total, esfuerzo exitoso. Así como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costo total y del esfuerzo exitoso, así como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Expone en equipo, sobre la importancia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Expone en equipo la importancia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pago de regalías participación TGN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pago de regalías, participación TGN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CPA-402 Contabilidad Agrícola y Ganadera</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activos biológicos consumibles medido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activos biológicos consumibles medidos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Categorización y proyección del hato ganado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Categorización y proyección del hato ganadero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 el costo de producción productos agropecuarios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Determina el costo de producción de productos agropecuarios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de los costos de agropecuarios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de los costos agropecuarios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 agrícola y ganadero determinación de los costos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costo agrícola y ganadero; determinación de los costos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Identifica los riesgos climáticos, sanitario y de precio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Identifica los riesgos climáticos, sanitarios y de precio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CPA-403 Contabilidad de Seguros: Privado y Social</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TEMAS 3: Clasificación de los Seguros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TEMA 3: Clasificación de los Seguros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Producto 12: I Informe de análisis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Producto 12: Informe de análisis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Mapa conceptual y descriptiva de la estructura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Mapa conceptual y descriptivo de la estructura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Límites de Inversión para Compañías Aseguradoras (C, P, T)</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Límites de inversión para compañías aseguradoras. (C, P, T)</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Registra correctamente las Operaciones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Registra correctamente las operaciones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Registra con Precisión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Registra con precisión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Consideraciones Generales NIIF 17 Contratos de Seguros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Consideraciones generales de la NIIF 17 Contratos de Seguro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CPA-404 Diseño e Implantación de Sistemas de Contabilidad</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procesos y estados financieros (C)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organización, procesos y estados financieros.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CPA-405 Finanzas Corporativas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CPA-406</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datos generales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análisis situacional financiera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análisis situacional financiero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 los métodos horizontal, vertical, de razones financieras, considerando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 los métodos horizontal, vertical y de razones financieras, considerando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inflación y variación tipo de cambio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inflación y variación del tipo de cambio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análisis horizontal, vertical, de razones financieras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de análisis horizontal, vertical y de razones financieras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 proyección de ventas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 la proyección de ventas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CPA-406 Ética e Independencia Profesional</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ctuariales. (C, 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ctuariales. (C, 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conforme a las normas de auditoría..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conforme a las normas de auditoría.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ámbitos de actuación del profesional..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ámbitos de actuación del profesional.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1.Independencia de hecho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Independencia de hecho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casos de entidades reales..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casos de entidades reales.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CPA-407 Auditoría Financiera</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dopción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proceso de adopción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profesional, civil) y penal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profesional, civil y penal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opinión profesión a partir</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opinión profesional a partir</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corregidas un caso práctico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corregidas de un caso práctico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del Auditoria.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enfoque de la auditoría.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 la Auditoría con base</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 la auditoría con base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Valoración del Riesgo de Auditoría;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Valoración del riesgo de auditoría.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riesgos identificados, con las partidas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riesgos identificados con las partidas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riesgos inherentes (P)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riesgos inherentes.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 de control interno (P)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 de control interno.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 aplicar (P)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a aplicar.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redacción del Informe del auditor</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redacción del informe del auditor</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CPA-408 Auditoría Interna, Control Interno y Gestión de Riesgos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comparativo de la e organizativa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comparativo de la estructura organizativa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Unidad de Auditoría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Auditoría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Documento ded Memorándum</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Documento de Memorándum</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 valorando los riesgos, para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 valora los riesgos para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auditoria interna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y auditoría interna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COSO -ERM</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COSO-ERM</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tecnologías: inteligencia Artificial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tecnologías: inteligencia artificial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riesgos: Probabilidad de ocurrencia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riesgos: probabilidad de ocurrencia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recomendaciones, sustentado en evidencias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recomendaciones, sustentados en evidencias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Seguimiento a cumplimiento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Informe de seguimiento al cumplimiento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COSO, y otros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control interno: COSO y otros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prioridades, y asignación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prioridades y asignación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MAT-401 Matemáticas Actuariales y Técnicas Financieras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Excel y/o Crystal Ball (P, T)</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Excel y/o Crystal Ball. (P, T)</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derivados financieros: Forwards, Swaps.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derivados financieros: forwards y swaps.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siniestros: Causalidad, Independencia, Estabilidad, Masa, Homogeneidad</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siniestros: causalidad, independencia, estabilidad, masa y homogeneidad</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Planilla de simulación Actuarial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Planilla de simulación actuarial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Planilla de Simulación de Monte Carlo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Planilla de simulación de Monte Carlo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CPA-501 Auditoría Operativa</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independencia profesional..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independencia profesional.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de mando integral Interactivo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de mando integral interactivo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trabajo interactivo en Tecnologías Emergentes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trabajo interactivo en tecnologías emergentes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Definición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 definición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Defensa en la plataforma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Defensa en la plataforma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CPA-502 Gabinete de Auditoría Financiera</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Auditoria NIA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Auditoría NIA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aula o el centro de computo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aula o en el centro de cómputo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escepticismo profesional..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escepticismo profesional.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rige cada fase.”</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rige cada fase.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“Producto 5:</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Producto 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Repaso del Proceso de auditoría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Repaso del proceso de auditoría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CPA-503 Auditoría Tributaria</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Liquidación de deuda tributariaS.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Liquidación de deuda tributaria.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1.Interpreta el marco conceptual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Interpreta el marco conceptual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 en aula la vista de Cargo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 en aula la Vista de Cargo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situación Fiscal del Sujeto Pasivo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situación fiscal del sujeto pasivo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funciones y condiciones y valores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funciones, condiciones y valores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Modalidades de Fiscalización aplicadas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Modalidades de fiscalización aplicadas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CPA-504 Auditoría Gubernamental</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los de los sistemas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los sistemas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sus componentes y característica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sus componentes y características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preliminar, ampliatoria y complementario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preliminar, ampliatorio y complementario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incluido los procedimientos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incluidos los procedimientos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incluido una matriz</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incluida una matriz</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condición criterio, causa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condición, criterio, causa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ley N° 1178</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Ley N° 1178</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integral del estado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planificación integral del Estado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componentes de Sistema de Control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componentes del Sistema de Control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comparativo de Tipo de Auditoría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comparativo de los tipos de auditoría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civil, penal, administrativo, ejecutivo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civil, penal, administrativa y ejecutiva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la INTOSAI</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internacionales de la INTOSAI</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Nociones sobre sobre evidencia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Nociones sobre evidencia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confiden-cialidad</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confidencialidad</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instructivos. de la Contraloría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instructivos de la Contraloría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Estatuto del funcionario Público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Estatuto del Funcionario Público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Informes, conclusiones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Elaboración de informes, conclusiones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verifica sus resultados y asumiendo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verificando sus resultados y asumiendo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CPA-505 Auditoría Digital, Ciberseguridad y Tecnologías Emergentes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requerimientos de los STAKEHOLDERS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requerimientos de los stakeholders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considerando un FRAMEWORK como COBIT</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considerando un framework como COBIT</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extremo a extremo de la Organización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extremo a extremo de la organización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comunicando los resultados con informe Preliminar</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comunicando los resultados con un informe preliminar</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Software de auditoría generalizados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Software de auditoría generalizado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 el marco del NIST y compartiendo con CMMI</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 el marco del NIST y comparando con CMMI</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recuerda pasos de Infraestructura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recuerda los pasos de la infraestructura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CPA-506 Reportes y Aseguramiento de Sostenibilidad y Auditoría Ambiental</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 las a las organizaciones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 las organizaciones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Auditorias Sociales Externas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Auditorías Sociales Externas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conforme a la Normas Internacionales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conforme a las Normas Internacionales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 físicas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evidencias físicas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INTOSA.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INTOSAI.</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 normativa..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base normativa.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emitido por la IESBA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emitido por el IESBA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Lectura de las ODS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Lectura de los ODS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Objetivos del Desarrollo Sostenible</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Objetivos de Desarrollo Sostenible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superiores (C, P, 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superiores. (C, P, 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sectoriales (C)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sectoriales.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conforme normas emitidas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conforme a normas emitidas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CPA-507 Auditoría de Proyectos Público y Privado</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nacionales e internacionales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nacionales e internacionales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sus proyectos que los administran y ejecutan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proyectos que administran y ejecutan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encargo auditoría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 encargo de auditoría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de gastos) y ruta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estados de gastos y ruta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financiadoras externos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financiadores externos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CPA-508 Auditoría Forense, Peritaje y Prevención de Delitos Económicos</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Tipos de auditoria (C)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Tipos de auditoría.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 la Auditoria Financiera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y la auditoría financiera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Auditoria Gubernamental</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Normas de Auditoría Gubernamental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Aspectos General y Aspectos específicos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Aspectos generales y aspectos específicos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delito de delito informático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delito informático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Fraude en Nomina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Fraude en nómina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Definiciones(C)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Definiciones.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estimaciones contables, (C)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estimaciones contables.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Origen del término forense e Historia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Origen del término forense e historia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CPA-510 Taller de Grado</w:t>
      </w:r>
    </w:p>
    <w:tbl>
      <w:tblPr>
        <w:tblW w:type="auto" w:w="0"/>
        <w:jc w:val="center"/>
        <w:tblLayout w:type="fixed"/>
        <w:tblLook w:firstColumn="1" w:firstRow="1" w:lastColumn="0" w:lastRow="0" w:noHBand="0" w:noVBand="1" w:val="04A0"/>
      </w:tblPr>
      <w:tblGrid>
        <w:gridCol w:w="3515"/>
        <w:gridCol w:w="3515"/>
        <w:gridCol w:w="1134"/>
        <w:gridCol w:w="907"/>
      </w:tblGrid>
      <w:tr>
        <w:trPr>
          <w:tblHeader/>
        </w:trPr>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(A,T)</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 T)</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 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HTC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HTG</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formato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 y dimensiones de la realidad; la práctica social.(C)</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Concepto y dimensiones de la realidad; la práctica social.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 y 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 P, 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artículo científico o académico. (C )</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artículo científico o académico. (C)</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 partir Revisión Literaria y Modelo teórico/modelo aplicado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 partir de la revisión literaria y del modelo teórico o modelo aplicado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 base a revisión literaria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 base en la revisión literaria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contenido de la tesis de grado su naturaleza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contenido de la tesis de grado: su naturaleza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contrastación de hipótesis, (cuando corresponda).(P)</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contrastación de hipótesis (cuando corresponda). (P)</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relacionada con él tema de investigación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relacionada con el tema de investigación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Producto 4: Informe de justificación</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Producto 4: Informe de justificación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Omite observaciones o la consigna de forma imprecisa.</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Omite observaciones o las consigna de forma imprecisa.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r>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redactar monografías y otros trabajos académicos?.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redactar monografías y otros trabajos académicos?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ortografía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r>
    </w:tbl>
    <w:p>
      <w:pPr>
        <w:spacing w:before="0" w:after="120" w:line="240" w:lineRule="auto"/>
        <w:jc w:val="left"/>
      </w:pP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2"/>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0"/>
    <w:lvlOverride w:ilvl="0">
      <w:startOverride w:val="1"/>
    </w:lvlOverride>
  </w:num>
  <w:num w:numId="905">
    <w:abstractNumId w:val="900"/>
    <w:lvlOverride w:ilvl="0">
      <w:startOverride w:val="1"/>
    </w:lvlOverride>
  </w:num>
  <w:num w:numId="906">
    <w:abstractNumId w:val="900"/>
    <w:lvlOverride w:ilvl="0">
      <w:startOverride w:val="1"/>
    </w:lvlOverride>
  </w:num>
  <w:num w:numId="907">
    <w:abstractNumId w:val="900"/>
    <w:lvlOverride w:ilvl="0">
      <w:startOverride w:val="1"/>
    </w:lvlOverride>
  </w:num>
  <w:num w:numId="908">
    <w:abstractNumId w:val="900"/>
    <w:lvlOverride w:ilvl="0">
      <w:startOverride w:val="1"/>
    </w:lvlOverride>
  </w:num>
  <w:num w:numId="909">
    <w:abstractNumId w:val="900"/>
    <w:lvlOverride w:ilvl="0">
      <w:startOverride w:val="1"/>
    </w:lvlOverride>
  </w:num>
  <w:num w:numId="910">
    <w:abstractNumId w:val="900"/>
    <w:lvlOverride w:ilvl="0">
      <w:startOverride w:val="1"/>
    </w:lvlOverride>
  </w:num>
  <w:num w:numId="911">
    <w:abstractNumId w:val="900"/>
    <w:lvlOverride w:ilvl="0">
      <w:startOverride w:val="1"/>
    </w:lvlOverride>
  </w:num>
  <w:num w:numId="912">
    <w:abstractNumId w:val="900"/>
    <w:lvlOverride w:ilvl="0">
      <w:startOverride w:val="1"/>
    </w:lvlOverride>
  </w:num>
  <w:num w:numId="913">
    <w:abstractNumId w:val="900"/>
    <w:lvlOverride w:ilvl="0">
      <w:startOverride w:val="1"/>
    </w:lvlOverride>
  </w:num>
  <w:num w:numId="914">
    <w:abstractNumId w:val="900"/>
    <w:lvlOverride w:ilvl="0">
      <w:startOverride w:val="1"/>
    </w:lvlOverride>
  </w:num>
  <w:num w:numId="915">
    <w:abstractNumId w:val="900"/>
    <w:lvlOverride w:ilvl="0">
      <w:startOverride w:val="1"/>
    </w:lvlOverride>
  </w:num>
  <w:num w:numId="916">
    <w:abstractNumId w:val="900"/>
    <w:lvlOverride w:ilvl="0">
      <w:startOverride w:val="1"/>
    </w:lvlOverride>
  </w:num>
  <w:num w:numId="917">
    <w:abstractNumId w:val="900"/>
    <w:lvlOverride w:ilvl="0">
      <w:startOverride w:val="1"/>
    </w:lvlOverride>
  </w:num>
  <w:num w:numId="918">
    <w:abstractNumId w:val="900"/>
    <w:lvlOverride w:ilvl="0">
      <w:startOverride w:val="1"/>
    </w:lvlOverride>
  </w:num>
  <w:num w:numId="919">
    <w:abstractNumId w:val="900"/>
    <w:lvlOverride w:ilvl="0">
      <w:startOverride w:val="1"/>
    </w:lvlOverride>
  </w:num>
  <w:num w:numId="920">
    <w:abstractNumId w:val="900"/>
    <w:lvlOverride w:ilvl="0">
      <w:startOverride w:val="1"/>
    </w:lvlOverride>
  </w:num>
  <w:num w:numId="921">
    <w:abstractNumId w:val="900"/>
    <w:lvlOverride w:ilvl="0">
      <w:startOverride w:val="1"/>
    </w:lvlOverride>
  </w:num>
  <w:num w:numId="922">
    <w:abstractNumId w:val="900"/>
    <w:lvlOverride w:ilvl="0">
      <w:startOverride w:val="1"/>
    </w:lvlOverride>
  </w:num>
  <w:num w:numId="923">
    <w:abstractNumId w:val="900"/>
    <w:lvlOverride w:ilvl="0">
      <w:startOverride w:val="1"/>
    </w:lvlOverride>
  </w:num>
  <w:num w:numId="924">
    <w:abstractNumId w:val="900"/>
    <w:lvlOverride w:ilvl="0">
      <w:startOverride w:val="1"/>
    </w:lvlOverride>
  </w:num>
  <w:num w:numId="925">
    <w:abstractNumId w:val="900"/>
    <w:lvlOverride w:ilvl="0">
      <w:startOverride w:val="1"/>
    </w:lvlOverride>
  </w:num>
  <w:num w:numId="926">
    <w:abstractNumId w:val="900"/>
    <w:lvlOverride w:ilvl="0">
      <w:startOverride w:val="1"/>
    </w:lvlOverride>
  </w:num>
  <w:num w:numId="927">
    <w:abstractNumId w:val="900"/>
    <w:lvlOverride w:ilvl="0">
      <w:startOverride w:val="1"/>
    </w:lvlOverride>
  </w:num>
  <w:num w:numId="928">
    <w:abstractNumId w:val="900"/>
    <w:lvlOverride w:ilvl="0">
      <w:startOverride w:val="1"/>
    </w:lvlOverride>
  </w:num>
  <w:num w:numId="929">
    <w:abstractNumId w:val="900"/>
    <w:lvlOverride w:ilvl="0">
      <w:startOverride w:val="1"/>
    </w:lvlOverride>
  </w:num>
  <w:num w:numId="930">
    <w:abstractNumId w:val="900"/>
    <w:lvlOverride w:ilvl="0">
      <w:startOverride w:val="1"/>
    </w:lvlOverride>
  </w:num>
  <w:num w:numId="931">
    <w:abstractNumId w:val="900"/>
    <w:lvlOverride w:ilvl="0">
      <w:startOverride w:val="1"/>
    </w:lvlOverride>
  </w:num>
  <w:num w:numId="932">
    <w:abstractNumId w:val="900"/>
    <w:lvlOverride w:ilvl="0">
      <w:startOverride w:val="1"/>
    </w:lvlOverride>
  </w:num>
  <w:num w:numId="933">
    <w:abstractNumId w:val="900"/>
    <w:lvlOverride w:ilvl="0">
      <w:startOverride w:val="1"/>
    </w:lvlOverride>
  </w:num>
  <w:num w:numId="934">
    <w:abstractNumId w:val="900"/>
    <w:lvlOverride w:ilvl="0">
      <w:startOverride w:val="1"/>
    </w:lvlOverride>
  </w:num>
  <w:num w:numId="935">
    <w:abstractNumId w:val="900"/>
    <w:lvlOverride w:ilvl="0">
      <w:startOverride w:val="1"/>
    </w:lvlOverride>
  </w:num>
  <w:num w:numId="936">
    <w:abstractNumId w:val="900"/>
    <w:lvlOverride w:ilvl="0">
      <w:startOverride w:val="1"/>
    </w:lvlOverride>
  </w:num>
  <w:num w:numId="937">
    <w:abstractNumId w:val="900"/>
    <w:lvlOverride w:ilvl="0">
      <w:startOverride w:val="1"/>
    </w:lvlOverride>
  </w:num>
  <w:num w:numId="938">
    <w:abstractNumId w:val="900"/>
    <w:lvlOverride w:ilvl="0">
      <w:startOverride w:val="1"/>
    </w:lvlOverride>
  </w:num>
  <w:num w:numId="939">
    <w:abstractNumId w:val="900"/>
    <w:lvlOverride w:ilvl="0">
      <w:startOverride w:val="1"/>
    </w:lvlOverride>
  </w:num>
  <w:num w:numId="940">
    <w:abstractNumId w:val="900"/>
    <w:lvlOverride w:ilvl="0">
      <w:startOverride w:val="1"/>
    </w:lvlOverride>
  </w:num>
  <w:num w:numId="941">
    <w:abstractNumId w:val="900"/>
    <w:lvlOverride w:ilvl="0">
      <w:startOverride w:val="1"/>
    </w:lvlOverride>
  </w:num>
  <w:num w:numId="942">
    <w:abstractNumId w:val="900"/>
    <w:lvlOverride w:ilvl="0">
      <w:startOverride w:val="1"/>
    </w:lvlOverride>
  </w:num>
  <w:num w:numId="943">
    <w:abstractNumId w:val="900"/>
    <w:lvlOverride w:ilvl="0">
      <w:startOverride w:val="1"/>
    </w:lvlOverride>
  </w:num>
  <w:num w:numId="944">
    <w:abstractNumId w:val="900"/>
    <w:lvlOverride w:ilvl="0">
      <w:startOverride w:val="1"/>
    </w:lvlOverride>
  </w:num>
  <w:num w:numId="945">
    <w:abstractNumId w:val="900"/>
    <w:lvlOverride w:ilvl="0">
      <w:startOverride w:val="1"/>
    </w:lvlOverride>
  </w:num>
  <w:num w:numId="946">
    <w:abstractNumId w:val="900"/>
    <w:lvlOverride w:ilvl="0">
      <w:startOverride w:val="1"/>
    </w:lvlOverride>
  </w:num>
  <w:num w:numId="947">
    <w:abstractNumId w:val="9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