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EDITAL-jp.pdf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  CONCORRÊNCIA Nº 07.012/2017, cujo objeto trata-se da Contratação de uma empresa deengenharia para a Execução de Serviços de Pavimentação com Capeamento Asfáltico (CBUQ) em 43Ruas/Avenidas, com valor previsto de R$ 6.357.657,96 e prazo de execução previsto de 09 (nove) meses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11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JORODO RIO DO PEIXE e FFJ CONSTRUTORA LTDA, estabelecido em 28 de Janeiro de 2020 no valor de R$ 479.375, com o objetivo de CONTRATAÇÃO DE EMPRESA JURIDICA ESPECIALIZADA PARA CONSTRUÇÃO DE DIVERSAS PRAÇAS NO NUNICÍPIO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