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 4.pdf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  CONCORRÊNCIA Nº. 08/2019-CEL, cujo objeto trata-se da contratação de empresa de engenharia especializada para execução de obra referente àConservação Rotineira (Pavimentação) na Malha Rodoviária Pavimentada do Estado da Paraíba, com valor previsto de RS 10.904.524,92 e prazo de execução previsto de 720 (setecentos e vinte) dias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20/10/2013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JORODO RIO DO PEIXE e FFJ CONSTRUTORA LTDA, estabelecido em 28 de Janeiro de 2020 no valor de R$ 479.375, com o objetivo de CONTRATAÇÃO DE EMPRESA JURIDICA ESPECIALIZADA PARA CONSTRUÇÃO DE DIVERSAS PRAÇAS NO NUNICÍPIO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