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HELIO EDUARDO PIRES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