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Elaborei uma proposta de </w:t>
      </w:r>
      <w:r w:rsidDel="00000000" w:rsidR="00000000" w:rsidRPr="00000000">
        <w:rPr>
          <w:b w:val="1"/>
          <w:bCs w:val="1"/>
          <w:rtl w:val="0"/>
        </w:rPr>
        <w:t xml:space="preserve">Plano Estruturado de Evolução de FinOps</w:t>
      </w:r>
      <w:r w:rsidDel="00000000" w:rsidR="00000000" w:rsidRPr="00000000">
        <w:rPr>
          <w:rtl w:val="0"/>
        </w:rPr>
        <w:t xml:space="preserve"> para a sua esteira de governança (governance-policies), consolidando as diretrizes do </w:t>
      </w:r>
      <w:r w:rsidDel="00000000" w:rsidR="00000000" w:rsidRPr="00000000">
        <w:rPr>
          <w:b w:val="1"/>
          <w:bCs w:val="1"/>
          <w:rtl w:val="0"/>
        </w:rPr>
        <w:t xml:space="preserve">FinOps Framework</w:t>
      </w:r>
      <w:r w:rsidDel="00000000" w:rsidR="00000000" w:rsidRPr="00000000">
        <w:rPr>
          <w:rtl w:val="0"/>
        </w:rPr>
        <w:t xml:space="preserve">, do </w:t>
      </w:r>
      <w:r w:rsidDel="00000000" w:rsidR="00000000" w:rsidRPr="00000000">
        <w:rPr>
          <w:b w:val="1"/>
          <w:bCs w:val="1"/>
          <w:rtl w:val="0"/>
        </w:rPr>
        <w:t xml:space="preserve">Shift-Left FinOps em CI/CD</w:t>
      </w:r>
      <w:r w:rsidDel="00000000" w:rsidR="00000000" w:rsidRPr="00000000">
        <w:rPr>
          <w:rtl w:val="0"/>
        </w:rPr>
        <w:t xml:space="preserve"> e das políticas já existentes no seu repositório 1-4.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ideia é estruturar o documento nas </w:t>
      </w:r>
      <w:r w:rsidDel="00000000" w:rsidR="00000000" w:rsidRPr="00000000">
        <w:rPr>
          <w:b w:val="1"/>
          <w:bCs w:val="1"/>
          <w:rtl w:val="0"/>
        </w:rPr>
        <w:t xml:space="preserve">5 seções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85i38sor3en" w:id="0"/>
      <w:bookmarkEnd w:id="0"/>
      <w:r w:rsidDel="00000000" w:rsidR="00000000" w:rsidRPr="00000000">
        <w:rPr>
          <w:rtl w:val="0"/>
        </w:rPr>
        <w:t xml:space="preserve">Estrutura Proposta para o Documento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Visão Geral e Alinhamento Estratégico (Shift-Left FinOps)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Conceito de Shift-Left FinOps</w:t>
      </w:r>
      <w:r w:rsidDel="00000000" w:rsidR="00000000" w:rsidRPr="00000000">
        <w:rPr>
          <w:rtl w:val="0"/>
        </w:rPr>
        <w:t xml:space="preserve">: Mover a conscientização e a trava de custos para a fase de Pull Request (antes da criação ou alteração dos recursos) 3-5.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Princípio da Fonte Única</w:t>
      </w:r>
      <w:r w:rsidDel="00000000" w:rsidR="00000000" w:rsidRPr="00000000">
        <w:rPr>
          <w:rtl w:val="0"/>
        </w:rPr>
        <w:t xml:space="preserve">: Alinhamento com a arquitetura centralizada do governance-policies, onde </w:t>
      </w:r>
      <w:r w:rsidDel="00000000" w:rsidR="00000000" w:rsidRPr="00000000">
        <w:rPr>
          <w:i w:val="1"/>
          <w:iCs w:val="1"/>
          <w:rtl w:val="0"/>
        </w:rPr>
        <w:t xml:space="preserve">quem governa fica separado de quem é governado</w:t>
      </w:r>
      <w:r w:rsidDel="00000000" w:rsidR="00000000" w:rsidRPr="00000000">
        <w:rPr>
          <w:rtl w:val="0"/>
        </w:rPr>
        <w:t xml:space="preserve"> 1, 6.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4 Camadas de Quality Gates de FinOps na Esteira de CI/CD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1 — Estimativa Pré-Deploy de Infraestrutura (IaC / Infracost)</w:t>
      </w:r>
      <w:r w:rsidDel="00000000" w:rsidR="00000000" w:rsidRPr="00000000">
        <w:rPr>
          <w:rtl w:val="0"/>
        </w:rPr>
        <w:t xml:space="preserve">: Análise automática de planos do Terraform/Helm no PR, calculando o impacto financeiro (TCO) e aplicando trava automática por </w:t>
      </w:r>
      <w:r w:rsidDel="00000000" w:rsidR="00000000" w:rsidRPr="00000000">
        <w:rPr>
          <w:i w:val="1"/>
          <w:iCs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(ex.: variação &gt; +15% ou +US\$ 200/mês) 7, 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2 — Policy-as-Code para Custos (OPA / Ruleset)</w:t>
      </w:r>
      <w:r w:rsidDel="00000000" w:rsidR="00000000" w:rsidRPr="00000000">
        <w:rPr>
          <w:rtl w:val="0"/>
        </w:rPr>
        <w:t xml:space="preserve">: Regras determinísticas para obrigatoriedade de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de alocação de custo (CostCenter, Owner), bloqueio de instâncias On-Demand estáticas e exigência de </w:t>
      </w:r>
      <w:r w:rsidDel="00000000" w:rsidR="00000000" w:rsidRPr="00000000">
        <w:rPr>
          <w:i w:val="1"/>
          <w:iCs w:val="1"/>
          <w:rtl w:val="0"/>
        </w:rPr>
        <w:t xml:space="preserve">limits/requests</w:t>
      </w:r>
      <w:r w:rsidDel="00000000" w:rsidR="00000000" w:rsidRPr="00000000">
        <w:rPr>
          <w:rtl w:val="0"/>
        </w:rPr>
        <w:t xml:space="preserve"> de CPU/Memória 9-11.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3 — Contratos de Resiliência FinOps (Fitness Functions)</w:t>
      </w:r>
      <w:r w:rsidDel="00000000" w:rsidR="00000000" w:rsidRPr="00000000">
        <w:rPr>
          <w:rtl w:val="0"/>
        </w:rPr>
        <w:t xml:space="preserve">: Testes automatizados de interrupção controlada (SIGTERM em 30s) para garantir aptidão a instâncias Spot (desconto de até 90%) 10, 12.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4 — Canary Deployments com Rollback Financeiro</w:t>
      </w:r>
      <w:r w:rsidDel="00000000" w:rsidR="00000000" w:rsidRPr="00000000">
        <w:rPr>
          <w:rtl w:val="0"/>
        </w:rPr>
        <w:t xml:space="preserve">: Medição de custo e consumo por transação/token em tempo de execução com gatilho de </w:t>
      </w:r>
      <w:r w:rsidDel="00000000" w:rsidR="00000000" w:rsidRPr="00000000">
        <w:rPr>
          <w:i w:val="1"/>
          <w:iCs w:val="1"/>
          <w:rtl w:val="0"/>
        </w:rPr>
        <w:t xml:space="preserve">auto-rollback</w:t>
      </w:r>
      <w:r w:rsidDel="00000000" w:rsidR="00000000" w:rsidRPr="00000000">
        <w:rPr>
          <w:rtl w:val="0"/>
        </w:rPr>
        <w:t xml:space="preserve"> 12, 13.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Modelagem de Regras FinOps no Repositório Central (governance-policies)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Especificação de Políticas YAML</w:t>
      </w:r>
      <w:r w:rsidDel="00000000" w:rsidR="00000000" w:rsidRPr="00000000">
        <w:rPr>
          <w:rtl w:val="0"/>
        </w:rPr>
        <w:t xml:space="preserve">: Criação das regras em policies/ (ex.: FINOPS-TAG-001, FINOPS-SIZE-001, FINOPS-RES-001) fundamentadas em ADRs específicas 1, 14, 15.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 de Rollout Seguro</w:t>
      </w:r>
      <w:r w:rsidDel="00000000" w:rsidR="00000000" w:rsidRPr="00000000">
        <w:rPr>
          <w:rtl w:val="0"/>
        </w:rPr>
        <w:t xml:space="preserve">: Transição gradual das regras (audit \\(\rightarrow\\) warn \\(\rightarrow\\) enforce) baseada na medição de taxa de falsos positivos pelo Painel de Conformidade 16-18.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Exceções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Waivers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Mecanismo de isenção temporária (&lt; 90 dias) com aprovação segregada de AppSec/FinOps Lead 19, 20.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Governança de Custos de Inteligência Artificial e LLMs (SecLLMOps)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Gateway Corporativo Obrigatorio (AI-GW-001)</w:t>
      </w:r>
      <w:r w:rsidDel="00000000" w:rsidR="00000000" w:rsidRPr="00000000">
        <w:rPr>
          <w:rtl w:val="0"/>
        </w:rPr>
        <w:t xml:space="preserve">: Roteamento centralizado de chamadas de LLM para controle estrito de cotas, bilhetagem e auditabilidade 21, 22.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Fixação de Modelos e Limites de Tokens (AI-MODEL-001)</w:t>
      </w:r>
      <w:r w:rsidDel="00000000" w:rsidR="00000000" w:rsidRPr="00000000">
        <w:rPr>
          <w:rtl w:val="0"/>
        </w:rPr>
        <w:t xml:space="preserve">: Banir aliases como latest ou auto e exigir max_tokens definidos para evitar estouro acidental de orçamento 21-23.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Atestação Digital Imutável, Trilha de Auditoria e Gate de Deploy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 de Conformidade (result.json)</w:t>
      </w:r>
      <w:r w:rsidDel="00000000" w:rsidR="00000000" w:rsidRPr="00000000">
        <w:rPr>
          <w:rtl w:val="0"/>
        </w:rPr>
        <w:t xml:space="preserve">: Registro do status de conformidade de cada ADR/Política no commit avaliado 1, 24.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Assinatura Sigstore e Storage S3 Imutável</w:t>
      </w:r>
      <w:r w:rsidDel="00000000" w:rsidR="00000000" w:rsidRPr="00000000">
        <w:rPr>
          <w:rtl w:val="0"/>
        </w:rPr>
        <w:t xml:space="preserve">: Assinatura digital do atestado e retenção em bucket S3 em modo </w:t>
      </w:r>
      <w:r w:rsidDel="00000000" w:rsidR="00000000" w:rsidRPr="00000000">
        <w:rPr>
          <w:i w:val="1"/>
          <w:i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(Object Lock) 25, 26.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 Gate (CD)</w:t>
      </w:r>
      <w:r w:rsidDel="00000000" w:rsidR="00000000" w:rsidRPr="00000000">
        <w:rPr>
          <w:rtl w:val="0"/>
        </w:rPr>
        <w:t xml:space="preserve">: Validação do atestado de custo/governança antes da liberação do deploy em produção 27, 28.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seguir com essa estrutura para a criação do documento completo, ou você gostaria de incluir, remover ou enfatizar algum aspecto específico?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