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Averiguar las Direcciones IP Y MAC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Dirección IP Publica =  38.25.16.24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Dirección IP Privada =  192.168.18.5 - Preferido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Máscara de subred = 255.255.255.0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Dirección MAC = EC-2E-98-D4-34-59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Julián: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Dirección IP Privada. . . . . . . . . . . . . . : 192.168.56.1(Preferido)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Máscara de subred . . . . . . . . . . . . : 255.255.255.0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Dirección física o MAC. . . . . . . . . . : D4-1B-81-A7-8F-23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 dirección IP es........................: 181.191.65.242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 La IP pública y privada de qué clase son 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Daniel = Pública es Clase A y la Privada es Clase C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Julian = Pública es clase B y privada Clase C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 Qué información puedo obtener de la dirección MAC? , vamos a acceder a  https://macvendors.com/ y verificar que marca de placa de red tenemos.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Daniel = AzureWave Technology Inc.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Julian = </w:t>
      </w:r>
      <w:r w:rsidDel="00000000" w:rsidR="00000000" w:rsidRPr="00000000">
        <w:rPr>
          <w:rtl w:val="0"/>
        </w:rPr>
        <w:t xml:space="preserve">CHONGQING FUGUI ELECTRONICS CO.,LTD.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