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apt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debian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3667125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Opcional: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9.8614501953125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Con el usuario root, utilizar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rm -r / --no-preserve-root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Identificar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qué sucedió con la Máquina Virtual.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MDQgIIw6cgyTmTqUZolVdEVAzrY8Bpj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