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De forma individual ejecutamos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6410325" cy="1228725"/>
            <wp:effectExtent b="0" l="0" r="0" t="0"/>
            <wp:wrapNone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puente o bridge.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657475" cy="447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266700</wp:posOffset>
            </wp:positionV>
            <wp:extent cx="6521288" cy="33337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-2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288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0425" cy="323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git clone https://github.com/lpasteris/Mochila-0521TDIIFT1C1LAED.git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639600</wp:posOffset>
            </wp:positionH>
            <wp:positionV relativeFrom="paragraph">
              <wp:posOffset>228600</wp:posOffset>
            </wp:positionV>
            <wp:extent cx="6447000" cy="2066925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-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0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clase_1</w:t>
      </w:r>
      <w:r w:rsidDel="00000000" w:rsidR="00000000" w:rsidRPr="00000000">
        <w:rPr>
          <w:color w:val="434343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czsi389xs935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escriban con sus palabras lo que acaban de hacer.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“apt-get”.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“su”.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 resultó familiar esta forma de conectarse a un equipo?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314325</wp:posOffset>
            </wp:positionV>
            <wp:extent cx="6286500" cy="1905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581025</wp:posOffset>
            </wp:positionV>
            <wp:extent cx="6311738" cy="447675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16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738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