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publica  192.168.1.4 -- Clase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Máscara de Subred 255.255.255.0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privada  192.168.1.1-- Clase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Máscara de Subred 255.255.255.0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 80-30-49-02-0D-C9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Marca de placa de Red: Liteon Technology Corporation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