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Realiza una copia pirata del DVD para sacar provecho de los conocimientos y contentar a su empresa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jefe le pide a un profesional para que entre en los mails de sus empleados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Usa sus conocimientos para sacar información que no se le brindó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es justo con sus colegas, ya que al encontrar las fallas aprovecha para sacar información de estos.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76" w:lineRule="auto"/>
              <w:ind w:left="0" w:firstLine="0"/>
              <w:rPr>
                <w:rFonts w:ascii="Open Sans" w:cs="Open Sans" w:eastAsia="Open Sans" w:hAnsi="Open Sans"/>
                <w:sz w:val="10"/>
                <w:szCs w:val="10"/>
              </w:rPr>
            </w:pPr>
            <w:r w:rsidDel="00000000" w:rsidR="00000000" w:rsidRPr="00000000">
              <w:rPr>
                <w:rFonts w:ascii="Open Sans" w:cs="Open Sans" w:eastAsia="Open Sans" w:hAnsi="Open Sans"/>
                <w:color w:val="000000"/>
                <w:sz w:val="20"/>
                <w:szCs w:val="20"/>
                <w:rtl w:val="0"/>
              </w:rPr>
              <w:t xml:space="preserve">Como profesional debe elegir realizar su trabajo con integridad y mantener la reputación de su rol dentro del hospital y no divulgar los datos de los pacientes sin su consentimiento.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76" w:lineRule="auto"/>
              <w:ind w:left="0" w:firstLine="0"/>
              <w:rPr>
                <w:rFonts w:ascii="Open Sans" w:cs="Open Sans" w:eastAsia="Open Sans" w:hAnsi="Open Sans"/>
                <w:sz w:val="10"/>
                <w:szCs w:val="10"/>
              </w:rPr>
            </w:pPr>
            <w:r w:rsidDel="00000000" w:rsidR="00000000" w:rsidRPr="00000000">
              <w:rPr>
                <w:rFonts w:ascii="Open Sans" w:cs="Open Sans" w:eastAsia="Open Sans" w:hAnsi="Open Sans"/>
                <w:color w:val="000000"/>
                <w:sz w:val="20"/>
                <w:szCs w:val="20"/>
                <w:rtl w:val="0"/>
              </w:rPr>
              <w:t xml:space="preserve">Como profesional se hace responsable del producto que desarrolla comprometiéndose a entregar un producto que funcione y cumpla con estándares profesionales altos.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Sociedad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La emisión de gases contaminantes afecta de forma general a la sociedad por lo cual se debería velar por el bien común sobre el particular de la empresa.</w:t>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1.png"/>
          <a:graphic>
            <a:graphicData uri="http://schemas.openxmlformats.org/drawingml/2006/picture">
              <pic:pic>
                <pic:nvPicPr>
                  <pic:cNvPr id="0" name="image1.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3.png"/>
          <a:graphic>
            <a:graphicData uri="http://schemas.openxmlformats.org/drawingml/2006/picture">
              <pic:pic>
                <pic:nvPicPr>
                  <pic:cNvPr id="0" name="image3.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AWUbIEN6u2VDfuiYBK27puMmw==">AMUW2mUQq7R0MLwjMXvJqR7CPL/WL8Et+Fty1u+E1JrUQxOIS50Wmty5CU84WvGeNsEfyj2Fqd5vf3wHCo5IvYd7tHT07+Be+Zr+wrt/dNqNHs98303eE+9wejvfLV9TyizBoTPDUUKTaXT1kkWejQcSU52Fpa1yJiB9MyMGj0ihrtRcWGb4gAR1wmLJAIA+Q+BFeEJGpdd+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