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Realiza una copia pirata del DVD para sacar provecho de los conocimientos y contentar a su empresa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jefe le pide a un profesional para que entre en los mails de sus empleados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Usa sus conocimientos para sacar información que no se le brindó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No es justo con sus colegas, ya que al encontrar las fallas aprovecha para sacar información de estos.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76" w:lineRule="auto"/>
              <w:ind w:left="0" w:firstLine="0"/>
              <w:rPr>
                <w:rFonts w:ascii="Open Sans" w:cs="Open Sans" w:eastAsia="Open Sans" w:hAnsi="Open Sans"/>
                <w:sz w:val="10"/>
                <w:szCs w:val="10"/>
              </w:rPr>
            </w:pPr>
            <w:r w:rsidDel="00000000" w:rsidR="00000000" w:rsidRPr="00000000">
              <w:rPr>
                <w:rFonts w:ascii="Open Sans" w:cs="Open Sans" w:eastAsia="Open Sans" w:hAnsi="Open Sans"/>
                <w:color w:val="000000"/>
                <w:sz w:val="20"/>
                <w:szCs w:val="20"/>
                <w:rtl w:val="0"/>
              </w:rPr>
              <w:t xml:space="preserve">Como profesional debe elegir realizar su trabajo con integridad y mantener la reputación de su rol dentro del hospital y no divulgar los datos de los pacientes sin su consentimiento.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76" w:lineRule="auto"/>
              <w:ind w:left="0" w:firstLine="0"/>
              <w:rPr>
                <w:rFonts w:ascii="Open Sans" w:cs="Open Sans" w:eastAsia="Open Sans" w:hAnsi="Open Sans"/>
                <w:sz w:val="10"/>
                <w:szCs w:val="10"/>
              </w:rPr>
            </w:pPr>
            <w:r w:rsidDel="00000000" w:rsidR="00000000" w:rsidRPr="00000000">
              <w:rPr>
                <w:rFonts w:ascii="Open Sans" w:cs="Open Sans" w:eastAsia="Open Sans" w:hAnsi="Open Sans"/>
                <w:color w:val="000000"/>
                <w:sz w:val="20"/>
                <w:szCs w:val="20"/>
                <w:rtl w:val="0"/>
              </w:rPr>
              <w:t xml:space="preserve">Como profesional se hace responsable del producto que desarrolla comprometiéndose a entregar un producto que funcione y cumpla con estándares profesionales altos.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Sociedad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La emisión de gases contaminantes afecta de forma general a la sociedad por lo cual se debería velar por el bien común sobre el particular de la empresa.</w:t>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WUbIEN6u2VDfuiYBK27puMmw==">AMUW2mWZgmb+9pp/ho2ddgBdrBkWGWkHf5zUyhEo2Ac8CBiXvWpPity0DFd0IXynGTU8I2b3kBkr6+WTYVsqBPTPRBYm9Yilb4N9xbFgd1T2ej6mI0b4QWayo1w9/S3RJg9sU6FwyMOvCNtfNVjiB614zkfHjgoLmzEmWFpoXNhcPZ/R43vNYBMkR1A3rZ5hiCxXW6T1xxmy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