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Clase 17.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Dirección ip publica: 168.197.202.44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Dirección ip privada:192.168.56.1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Máscara de subred: 255.255.255.0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 MAC: C0-06-C3-70-59-13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IP publica es de Clase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IP privada es de Clase 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