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F96F80A" w14:paraId="5C1A07E2" wp14:textId="11501E3B">
      <w:pPr>
        <w:rPr>
          <w:b w:val="1"/>
          <w:bCs w:val="1"/>
          <w:sz w:val="32"/>
          <w:szCs w:val="32"/>
          <w:u w:val="single"/>
        </w:rPr>
      </w:pPr>
      <w:bookmarkStart w:name="_GoBack" w:id="0"/>
      <w:bookmarkEnd w:id="0"/>
      <w:r w:rsidRPr="5F96F80A" w:rsidR="5F96F80A">
        <w:rPr>
          <w:b w:val="1"/>
          <w:bCs w:val="1"/>
          <w:sz w:val="32"/>
          <w:szCs w:val="32"/>
          <w:u w:val="single"/>
        </w:rPr>
        <w:t>Clase 18, Puertos y Protocolos</w:t>
      </w:r>
    </w:p>
    <w:p w:rsidR="5F96F80A" w:rsidP="5F96F80A" w:rsidRDefault="5F96F80A" w14:paraId="566F8361" w14:textId="176E2E21">
      <w:pPr>
        <w:pStyle w:val="Normal"/>
      </w:pPr>
    </w:p>
    <w:p w:rsidR="5F96F80A" w:rsidP="5F96F80A" w:rsidRDefault="5F96F80A" w14:paraId="0DE69598" w14:textId="47C65339">
      <w:pPr>
        <w:pStyle w:val="Normal"/>
      </w:pPr>
    </w:p>
    <w:p w:rsidR="5F96F80A" w:rsidP="5F96F80A" w:rsidRDefault="5F96F80A" w14:paraId="62CF542F" w14:textId="61A50CC8">
      <w:pPr>
        <w:pStyle w:val="Normal"/>
      </w:pPr>
      <w:r>
        <w:drawing>
          <wp:inline wp14:editId="790A0C97" wp14:anchorId="0FC82A46">
            <wp:extent cx="9239250" cy="6029325"/>
            <wp:effectExtent l="0" t="0" r="0" b="0"/>
            <wp:docPr id="1169772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a81d70d85c42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01688EC"/>
    <w:rsid w:val="5F96F80A"/>
    <w:rsid w:val="60168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688EC"/>
  <w15:chartTrackingRefBased/>
  <w15:docId w15:val="{B832B760-AD84-43AA-A2A8-05DB9D05DD5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7a81d70d85c421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2022-04-03T01:56:53.2714098Z</dcterms:created>
  <dcterms:modified xsi:type="dcterms:W3CDTF">2022-04-03T01:58:00.0075347Z</dcterms:modified>
  <dc:creator>martin dellugo</dc:creator>
  <lastModifiedBy>martin dellugo</lastModifiedBy>
</coreProperties>
</file>