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Calibri" w:cs="Calibri" w:eastAsia="Calibri" w:hAnsi="Calibri"/>
          <w:b/>
          <w:bCs/>
          <w:color w:val="1F3864"/>
          <w:sz w:val="64"/>
          <w:szCs w:val="64"/>
        </w:rPr>
        <w:t xml:space="preserve">SCHOLAIA</w:t>
      </w:r>
    </w:p>
    <w:p>
      <w:pPr>
        <w:spacing w:after="400"/>
        <w:jc w:val="center"/>
      </w:pPr>
      <w:r>
        <w:rPr>
          <w:rFonts w:ascii="Calibri" w:cs="Calibri" w:eastAsia="Calibri" w:hAnsi="Calibri"/>
          <w:b/>
          <w:bCs/>
          <w:color w:val="B08D57"/>
          <w:sz w:val="30"/>
          <w:szCs w:val="30"/>
        </w:rPr>
        <w:t xml:space="preserve">Mapa Legal y de Cumplimiento Normativo</w:t>
      </w:r>
    </w:p>
    <w:p>
      <w:pPr>
        <w:spacing w:after="100"/>
        <w:jc w:val="center"/>
      </w:pPr>
      <w:r>
        <w:rPr>
          <w:rFonts w:ascii="Calibri" w:cs="Calibri" w:eastAsia="Calibri" w:hAnsi="Calibri"/>
          <w:i/>
          <w:iCs/>
          <w:color w:val="595959"/>
          <w:sz w:val="21"/>
          <w:szCs w:val="21"/>
        </w:rPr>
        <w:t xml:space="preserve">Todo lo que la empresa necesita cumplir: protección de datos, IA, contratación pública, fiscal y propiedad intelectual</w:t>
      </w:r>
    </w:p>
    <w:p>
      <w:pPr>
        <w:spacing w:before="600"/>
        <w:jc w:val="center"/>
      </w:pPr>
      <w:r>
        <w:rPr>
          <w:rFonts w:ascii="Calibri" w:cs="Calibri" w:eastAsia="Calibri" w:hAnsi="Calibri"/>
          <w:color w:val="595959"/>
          <w:sz w:val="20"/>
          <w:szCs w:val="20"/>
        </w:rPr>
        <w:t xml:space="preserve">Fecha de elaboración: 15 de agosto de 2026</w:t>
      </w:r>
    </w:p>
    <w:p>
      <w:pPr>
        <w:pageBreakBefore/>
      </w:pPr>
      <w:r>
        <w:br/>
        <w:t xml:space="preserve"/>
      </w:r>
    </w:p>
    <w:p>
      <w:pPr>
        <w:pBdr>
          <w:left w:val="single" w:color="1F3864" w:sz="24" w:space="8"/>
        </w:pBdr>
        <w:shd w:fill="F2F2F2" w:val="clear"/>
        <w:spacing w:after="250" w:before="150" w:line="280"/>
        <w:ind w:left="150"/>
      </w:pPr>
      <w:r>
        <w:rPr>
          <w:rFonts w:ascii="Calibri" w:cs="Calibri" w:eastAsia="Calibri" w:hAnsi="Calibri"/>
          <w:b/>
          <w:bCs/>
          <w:color w:val="1F3864"/>
          <w:sz w:val="21"/>
          <w:szCs w:val="21"/>
        </w:rPr>
        <w:t xml:space="preserve">Aviso importante:  </w:t>
      </w:r>
      <w:r>
        <w:rPr>
          <w:rFonts w:ascii="Calibri" w:cs="Calibri" w:eastAsia="Calibri" w:hAnsi="Calibri"/>
          <w:color w:val="262626"/>
          <w:sz w:val="21"/>
          <w:szCs w:val="21"/>
        </w:rPr>
        <w:t xml:space="preserve"> este documento es un mapa orientativo de obligaciones legales, elaborado con información verificada en fuentes oficiales y jurídicas a fecha de agosto de 2026. No sustituye el asesoramiento de un abogado ni de una gestoría — antes de publicar textos legales definitivos o firmar contratos, conviene una revisión final por un profesional colegiado.</w:t>
      </w:r>
    </w:p>
    <w:p>
      <w:pPr>
        <w:pStyle w:val="Heading1"/>
        <w:pBdr>
          <w:bottom w:val="single" w:color="B08D57" w:sz="12" w:space="4"/>
        </w:pBdr>
        <w:spacing w:after="200" w:before="400"/>
      </w:pPr>
      <w:r>
        <w:rPr>
          <w:rFonts w:ascii="Calibri" w:cs="Calibri" w:eastAsia="Calibri" w:hAnsi="Calibri"/>
          <w:b/>
          <w:bCs/>
          <w:color w:val="1F3864"/>
          <w:sz w:val="30"/>
          <w:szCs w:val="30"/>
        </w:rPr>
        <w:t xml:space="preserve">1. Textos Legales de la Web Corporativa (LSSICE)</w:t>
      </w:r>
    </w:p>
    <w:p>
      <w:pPr>
        <w:spacing w:after="160" w:line="300"/>
      </w:pPr>
      <w:r>
        <w:rPr>
          <w:rFonts w:ascii="Calibri" w:cs="Calibri" w:eastAsia="Calibri" w:hAnsi="Calibri"/>
          <w:color w:val="262626"/>
          <w:sz w:val="22"/>
          <w:szCs w:val="22"/>
        </w:rPr>
        <w:t xml:space="preserve">Obligatorios para cualquier web que opere en España, conforme a la Ley 34/2002 de Servicios de la Sociedad de la Información.</w:t>
      </w:r>
    </w:p>
    <w:p>
      <w:pPr>
        <w:pStyle w:val="ListParagraph"/>
        <w:numPr>
          <w:ilvl w:val="0"/>
          <w:numId w:val="2"/>
        </w:numPr>
        <w:spacing w:after="100" w:line="280"/>
      </w:pPr>
      <w:r>
        <w:rPr>
          <w:rFonts w:ascii="Calibri" w:cs="Calibri" w:eastAsia="Calibri" w:hAnsi="Calibri"/>
          <w:b/>
          <w:bCs/>
          <w:color w:val="1F3864"/>
          <w:sz w:val="22"/>
          <w:szCs w:val="22"/>
        </w:rPr>
        <w:t xml:space="preserve">Aviso Legal — </w:t>
      </w:r>
      <w:r>
        <w:rPr>
          <w:rFonts w:ascii="Calibri" w:cs="Calibri" w:eastAsia="Calibri" w:hAnsi="Calibri"/>
          <w:color w:val="262626"/>
          <w:sz w:val="22"/>
          <w:szCs w:val="22"/>
        </w:rPr>
        <w:t xml:space="preserve">identificación del titular del sitio web (denominación, NIF, domicilio, contacto, actividad). Ya redactado.</w:t>
      </w:r>
    </w:p>
    <w:p>
      <w:pPr>
        <w:pStyle w:val="ListParagraph"/>
        <w:numPr>
          <w:ilvl w:val="0"/>
          <w:numId w:val="2"/>
        </w:numPr>
        <w:spacing w:after="100" w:line="280"/>
      </w:pPr>
      <w:r>
        <w:rPr>
          <w:rFonts w:ascii="Calibri" w:cs="Calibri" w:eastAsia="Calibri" w:hAnsi="Calibri"/>
          <w:b/>
          <w:bCs/>
          <w:color w:val="1F3864"/>
          <w:sz w:val="22"/>
          <w:szCs w:val="22"/>
        </w:rPr>
        <w:t xml:space="preserve">Política de Privacidad del sitio corporativo — </w:t>
      </w:r>
      <w:r>
        <w:rPr>
          <w:rFonts w:ascii="Calibri" w:cs="Calibri" w:eastAsia="Calibri" w:hAnsi="Calibri"/>
          <w:color w:val="262626"/>
          <w:sz w:val="22"/>
          <w:szCs w:val="22"/>
        </w:rPr>
        <w:t xml:space="preserve">para quien rellena formularios de contacto o solicita demo. Ya redactada.</w:t>
      </w:r>
    </w:p>
    <w:p>
      <w:pPr>
        <w:pStyle w:val="ListParagraph"/>
        <w:numPr>
          <w:ilvl w:val="0"/>
          <w:numId w:val="2"/>
        </w:numPr>
        <w:spacing w:after="100" w:line="280"/>
      </w:pPr>
      <w:r>
        <w:rPr>
          <w:rFonts w:ascii="Calibri" w:cs="Calibri" w:eastAsia="Calibri" w:hAnsi="Calibri"/>
          <w:b/>
          <w:bCs/>
          <w:color w:val="1F3864"/>
          <w:sz w:val="22"/>
          <w:szCs w:val="22"/>
        </w:rPr>
        <w:t xml:space="preserve">Política de Cookies — </w:t>
      </w:r>
      <w:r>
        <w:rPr>
          <w:rFonts w:ascii="Calibri" w:cs="Calibri" w:eastAsia="Calibri" w:hAnsi="Calibri"/>
          <w:color w:val="262626"/>
          <w:sz w:val="22"/>
          <w:szCs w:val="22"/>
        </w:rPr>
        <w:t xml:space="preserve">informa sobre las cookies técnicas utilizadas y el derecho a configurarlas. Ya redactada.</w:t>
      </w:r>
    </w:p>
    <w:p>
      <w:pPr>
        <w:pStyle w:val="Heading1"/>
        <w:pBdr>
          <w:bottom w:val="single" w:color="B08D57" w:sz="12" w:space="4"/>
        </w:pBdr>
        <w:spacing w:after="200" w:before="400"/>
      </w:pPr>
      <w:r>
        <w:rPr>
          <w:rFonts w:ascii="Calibri" w:cs="Calibri" w:eastAsia="Calibri" w:hAnsi="Calibri"/>
          <w:b/>
          <w:bCs/>
          <w:color w:val="1F3864"/>
          <w:sz w:val="30"/>
          <w:szCs w:val="30"/>
        </w:rPr>
        <w:t xml:space="preserve">2. Protección de Datos Personales (RGPD / LOPDGDD)</w:t>
      </w:r>
    </w:p>
    <w:p>
      <w:pPr>
        <w:spacing w:after="160" w:line="300"/>
      </w:pPr>
      <w:r>
        <w:rPr>
          <w:rFonts w:ascii="Calibri" w:cs="Calibri" w:eastAsia="Calibri" w:hAnsi="Calibri"/>
          <w:color w:val="262626"/>
          <w:sz w:val="22"/>
          <w:szCs w:val="22"/>
        </w:rPr>
        <w:t xml:space="preserve">Marco legal: Reglamento (UE) 2016/679 y Ley Orgánica 3/2018. Aplica de forma directa por tratar datos del alumnado, familias y personal de los centros.</w:t>
      </w:r>
    </w:p>
    <w:p>
      <w:pPr>
        <w:pStyle w:val="ListParagraph"/>
        <w:numPr>
          <w:ilvl w:val="0"/>
          <w:numId w:val="2"/>
        </w:numPr>
        <w:spacing w:after="100" w:line="280"/>
      </w:pPr>
      <w:r>
        <w:rPr>
          <w:rFonts w:ascii="Calibri" w:cs="Calibri" w:eastAsia="Calibri" w:hAnsi="Calibri"/>
          <w:b/>
          <w:bCs/>
          <w:color w:val="1F3864"/>
          <w:sz w:val="22"/>
          <w:szCs w:val="22"/>
        </w:rPr>
        <w:t xml:space="preserve">Contrato de Encargado del Tratamiento (Art. 28 RGPD) — </w:t>
      </w:r>
      <w:r>
        <w:rPr>
          <w:rFonts w:ascii="Calibri" w:cs="Calibri" w:eastAsia="Calibri" w:hAnsi="Calibri"/>
          <w:color w:val="262626"/>
          <w:sz w:val="22"/>
          <w:szCs w:val="22"/>
        </w:rPr>
        <w:t xml:space="preserve">anexo obligatorio a firmar con cada colegio, definiendo el reparto de responsabilidades. Ya redactado.</w:t>
      </w:r>
    </w:p>
    <w:p>
      <w:pPr>
        <w:pStyle w:val="ListParagraph"/>
        <w:numPr>
          <w:ilvl w:val="0"/>
          <w:numId w:val="2"/>
        </w:numPr>
        <w:spacing w:after="100" w:line="280"/>
      </w:pPr>
      <w:r>
        <w:rPr>
          <w:rFonts w:ascii="Calibri" w:cs="Calibri" w:eastAsia="Calibri" w:hAnsi="Calibri"/>
          <w:b/>
          <w:bCs/>
          <w:color w:val="1F3864"/>
          <w:sz w:val="22"/>
          <w:szCs w:val="22"/>
        </w:rPr>
        <w:t xml:space="preserve">Política de Privacidad del widget/chatbot — </w:t>
      </w:r>
      <w:r>
        <w:rPr>
          <w:rFonts w:ascii="Calibri" w:cs="Calibri" w:eastAsia="Calibri" w:hAnsi="Calibri"/>
          <w:color w:val="262626"/>
          <w:sz w:val="22"/>
          <w:szCs w:val="22"/>
        </w:rPr>
        <w:t xml:space="preserve">distinta de la política de la web corporativa: debe informar a quien usa el asistente dentro de la web del colegio (alumnado, familias, profesorado) sobre qué datos se tratan y con qué fin. Pendiente de redactar.</w:t>
      </w:r>
    </w:p>
    <w:p>
      <w:pPr>
        <w:pStyle w:val="ListParagraph"/>
        <w:numPr>
          <w:ilvl w:val="0"/>
          <w:numId w:val="2"/>
        </w:numPr>
        <w:spacing w:after="100" w:line="280"/>
      </w:pPr>
      <w:r>
        <w:rPr>
          <w:rFonts w:ascii="Calibri" w:cs="Calibri" w:eastAsia="Calibri" w:hAnsi="Calibri"/>
          <w:b/>
          <w:bCs/>
          <w:color w:val="1F3864"/>
          <w:sz w:val="22"/>
          <w:szCs w:val="22"/>
        </w:rPr>
        <w:t xml:space="preserve">Registro de Actividades de Tratamiento (RAT, Art. 30 RGPD) — </w:t>
      </w:r>
      <w:r>
        <w:rPr>
          <w:rFonts w:ascii="Calibri" w:cs="Calibri" w:eastAsia="Calibri" w:hAnsi="Calibri"/>
          <w:color w:val="262626"/>
          <w:sz w:val="22"/>
          <w:szCs w:val="22"/>
        </w:rPr>
        <w:t xml:space="preserve">documento interno (no público) que detalla qué datos se tratan, con qué finalidad, durante cuánto tiempo y con qué medidas de seguridad. Obligatorio para toda empresa que trate datos personales de forma sistemática.</w:t>
      </w:r>
    </w:p>
    <w:p>
      <w:pPr>
        <w:pStyle w:val="ListParagraph"/>
        <w:numPr>
          <w:ilvl w:val="0"/>
          <w:numId w:val="2"/>
        </w:numPr>
        <w:spacing w:after="100" w:line="280"/>
      </w:pPr>
      <w:r>
        <w:rPr>
          <w:rFonts w:ascii="Calibri" w:cs="Calibri" w:eastAsia="Calibri" w:hAnsi="Calibri"/>
          <w:b/>
          <w:bCs/>
          <w:color w:val="1F3864"/>
          <w:sz w:val="22"/>
          <w:szCs w:val="22"/>
        </w:rPr>
        <w:t xml:space="preserve">Evaluación de Impacto en Protección de Datos (EIPD/DPIA, Art. 35 RGPD) — </w:t>
      </w:r>
      <w:r>
        <w:rPr>
          <w:rFonts w:ascii="Calibri" w:cs="Calibri" w:eastAsia="Calibri" w:hAnsi="Calibri"/>
          <w:color w:val="262626"/>
          <w:sz w:val="22"/>
          <w:szCs w:val="22"/>
        </w:rPr>
        <w:t xml:space="preserve">recomendable, y probablemente exigible, para el módulo de Orientación de 4º ESO, al tratarse de datos de menores con un elemento de perfilado, aunque sea anonimizado.</w:t>
      </w:r>
    </w:p>
    <w:p>
      <w:pPr>
        <w:pStyle w:val="ListParagraph"/>
        <w:numPr>
          <w:ilvl w:val="0"/>
          <w:numId w:val="2"/>
        </w:numPr>
        <w:spacing w:after="100" w:line="280"/>
      </w:pPr>
      <w:r>
        <w:rPr>
          <w:rFonts w:ascii="Calibri" w:cs="Calibri" w:eastAsia="Calibri" w:hAnsi="Calibri"/>
          <w:b/>
          <w:bCs/>
          <w:color w:val="1F3864"/>
          <w:sz w:val="22"/>
          <w:szCs w:val="22"/>
        </w:rPr>
        <w:t xml:space="preserve">Consentimiento de menores (Art. 7 LOPDGDD) — </w:t>
      </w:r>
      <w:r>
        <w:rPr>
          <w:rFonts w:ascii="Calibri" w:cs="Calibri" w:eastAsia="Calibri" w:hAnsi="Calibri"/>
          <w:color w:val="262626"/>
          <w:sz w:val="22"/>
          <w:szCs w:val="22"/>
        </w:rPr>
        <w:t xml:space="preserve">verificado — en España, un menor de 14 años o más puede consentir por sí mismo el tratamiento de sus datos personales; por debajo de esa edad se requiere el consentimiento de quien ostente la patria potestad. Como el alumnado de 4º de la ESO tiene habitualmente 15-16 años, puede prestar su propio consentimiento, aunque se recomienda igualmente informar a las familias del funcionamiento del módulo.</w:t>
      </w:r>
    </w:p>
    <w:p>
      <w:pPr>
        <w:pStyle w:val="ListParagraph"/>
        <w:numPr>
          <w:ilvl w:val="0"/>
          <w:numId w:val="2"/>
        </w:numPr>
        <w:spacing w:after="100" w:line="280"/>
      </w:pPr>
      <w:r>
        <w:rPr>
          <w:rFonts w:ascii="Calibri" w:cs="Calibri" w:eastAsia="Calibri" w:hAnsi="Calibri"/>
          <w:b/>
          <w:bCs/>
          <w:color w:val="1F3864"/>
          <w:sz w:val="22"/>
          <w:szCs w:val="22"/>
        </w:rPr>
        <w:t xml:space="preserve">Delegado de Protección de Datos (DPO) — </w:t>
      </w:r>
      <w:r>
        <w:rPr>
          <w:rFonts w:ascii="Calibri" w:cs="Calibri" w:eastAsia="Calibri" w:hAnsi="Calibri"/>
          <w:color w:val="262626"/>
          <w:sz w:val="22"/>
          <w:szCs w:val="22"/>
        </w:rPr>
        <w:t xml:space="preserve">no resulta obligatorio con carácter general para una empresa de este tamaño, pero es recomendable designar una persona de contacto en materia de protección de datos, aunque sea de forma informal al inicio.</w:t>
      </w:r>
    </w:p>
    <w:p>
      <w:pPr>
        <w:pStyle w:val="ListParagraph"/>
        <w:numPr>
          <w:ilvl w:val="0"/>
          <w:numId w:val="2"/>
        </w:numPr>
        <w:spacing w:after="100" w:line="280"/>
      </w:pPr>
      <w:r>
        <w:rPr>
          <w:rFonts w:ascii="Calibri" w:cs="Calibri" w:eastAsia="Calibri" w:hAnsi="Calibri"/>
          <w:b/>
          <w:bCs/>
          <w:color w:val="1F3864"/>
          <w:sz w:val="22"/>
          <w:szCs w:val="22"/>
        </w:rPr>
        <w:t xml:space="preserve">Política de retención y borrado de datos — </w:t>
      </w:r>
      <w:r>
        <w:rPr>
          <w:rFonts w:ascii="Calibri" w:cs="Calibri" w:eastAsia="Calibri" w:hAnsi="Calibri"/>
          <w:color w:val="262626"/>
          <w:sz w:val="22"/>
          <w:szCs w:val="22"/>
        </w:rPr>
        <w:t xml:space="preserve">debe fijarse un plazo concreto de conservación y borrado automático de las conversaciones, en lugar de la fórmula genérica «mientras dure la relación comercial».</w:t>
      </w:r>
    </w:p>
    <w:p>
      <w:pPr>
        <w:pStyle w:val="Heading1"/>
        <w:pBdr>
          <w:bottom w:val="single" w:color="B08D57" w:sz="12" w:space="4"/>
        </w:pBdr>
        <w:spacing w:after="200" w:before="400"/>
      </w:pPr>
      <w:r>
        <w:rPr>
          <w:rFonts w:ascii="Calibri" w:cs="Calibri" w:eastAsia="Calibri" w:hAnsi="Calibri"/>
          <w:b/>
          <w:bCs/>
          <w:color w:val="1F3864"/>
          <w:sz w:val="30"/>
          <w:szCs w:val="30"/>
        </w:rPr>
        <w:t xml:space="preserve">3. Reglamento Europeo de Inteligencia Artificial</w:t>
      </w:r>
    </w:p>
    <w:p>
      <w:pPr>
        <w:pBdr>
          <w:left w:val="single" w:color="A61B29" w:sz="24" w:space="8"/>
        </w:pBdr>
        <w:shd w:fill="F2F2F2" w:val="clear"/>
        <w:spacing w:after="250" w:before="150" w:line="280"/>
        <w:ind w:left="150"/>
      </w:pPr>
      <w:r>
        <w:rPr>
          <w:rFonts w:ascii="Calibri" w:cs="Calibri" w:eastAsia="Calibri" w:hAnsi="Calibri"/>
          <w:b/>
          <w:bCs/>
          <w:color w:val="A61B29"/>
          <w:sz w:val="21"/>
          <w:szCs w:val="21"/>
        </w:rPr>
        <w:t xml:space="preserve">Hallazgo importante:  </w:t>
      </w:r>
      <w:r>
        <w:rPr>
          <w:rFonts w:ascii="Calibri" w:cs="Calibri" w:eastAsia="Calibri" w:hAnsi="Calibri"/>
          <w:color w:val="262626"/>
          <w:sz w:val="21"/>
          <w:szCs w:val="21"/>
        </w:rPr>
        <w:t xml:space="preserve"> el Reglamento (UE) 2024/1689 («Ley de IA») es de aplicación general desde el 2 de agosto de 2026 — es decir, ya está en vigor. Su Anexo III, punto 3, letra c), clasifica como sistema de IA de ALTO RIESGO a los sistemas «destinados a ser utilizados para evaluar el nivel de educación adecuado que recibirá una persona o al que podrá acceder» en centros educativos. Esto encaja directamente con la función del Módulo de Orientación Vocacional (Bachillerato vs. FP).</w:t>
      </w:r>
    </w:p>
    <w:p>
      <w:pPr>
        <w:spacing w:after="160" w:line="300"/>
      </w:pPr>
      <w:r>
        <w:rPr>
          <w:rFonts w:ascii="Calibri" w:cs="Calibri" w:eastAsia="Calibri" w:hAnsi="Calibri"/>
          <w:color w:val="262626"/>
          <w:sz w:val="22"/>
          <w:szCs w:val="22"/>
        </w:rPr>
        <w:t xml:space="preserve">Qué implica que un sistema sea de «alto riesgo» (si aplicara sin excepción): obligaciones de gestión de riesgos, documentación técnica, supervisión humana demostrable, gobernanza de datos y registro en una base de datos europea — con sanciones que pueden llegar a 15 millones de euros o el 3% de la facturación anual mundial.</w:t>
      </w:r>
    </w:p>
    <w:p>
      <w:pPr>
        <w:pStyle w:val="ListParagraph"/>
        <w:numPr>
          <w:ilvl w:val="0"/>
          <w:numId w:val="2"/>
        </w:numPr>
        <w:spacing w:after="100" w:line="280"/>
      </w:pPr>
      <w:r>
        <w:rPr>
          <w:rFonts w:ascii="Calibri" w:cs="Calibri" w:eastAsia="Calibri" w:hAnsi="Calibri"/>
          <w:b/>
          <w:bCs/>
          <w:color w:val="1F3864"/>
          <w:sz w:val="22"/>
          <w:szCs w:val="22"/>
        </w:rPr>
        <w:t xml:space="preserve">Posible vía de excepción (Art. 6.3 del Reglamento) — </w:t>
      </w:r>
      <w:r>
        <w:rPr>
          <w:rFonts w:ascii="Calibri" w:cs="Calibri" w:eastAsia="Calibri" w:hAnsi="Calibri"/>
          <w:color w:val="262626"/>
          <w:sz w:val="22"/>
          <w:szCs w:val="22"/>
        </w:rPr>
        <w:t xml:space="preserve">un sistema de este tipo puede NO considerarse de alto riesgo si realiza una tarea puramente preparatoria o de apoyo, sin influir de forma sustancial en la decisión final. Esto encaja con el diseño ya previsto del proyecto: el bot genera un informe orientativo, pero es el orientador humano quien toma la decisión final con el alumno.</w:t>
      </w:r>
    </w:p>
    <w:p>
      <w:pPr>
        <w:pStyle w:val="ListParagraph"/>
        <w:numPr>
          <w:ilvl w:val="0"/>
          <w:numId w:val="2"/>
        </w:numPr>
        <w:spacing w:after="100" w:line="280"/>
      </w:pPr>
      <w:r>
        <w:rPr>
          <w:rFonts w:ascii="Calibri" w:cs="Calibri" w:eastAsia="Calibri" w:hAnsi="Calibri"/>
          <w:b/>
          <w:bCs/>
          <w:color w:val="1F3864"/>
          <w:sz w:val="22"/>
          <w:szCs w:val="22"/>
        </w:rPr>
        <w:t xml:space="preserve">Condición para poder acogerse a la excepción — </w:t>
      </w:r>
      <w:r>
        <w:rPr>
          <w:rFonts w:ascii="Calibri" w:cs="Calibri" w:eastAsia="Calibri" w:hAnsi="Calibri"/>
          <w:color w:val="262626"/>
          <w:sz w:val="22"/>
          <w:szCs w:val="22"/>
        </w:rPr>
        <w:t xml:space="preserve">la supervisión humana real debe quedar demostrada y documentada: el informe del bot debe presentarse expresamente como apoyo, nunca como una recomendación vinculante o automática, y el orientador debe poder revisar, modificar o descartar la conclusión del sistema.</w:t>
      </w:r>
    </w:p>
    <w:p>
      <w:pPr>
        <w:pStyle w:val="ListParagraph"/>
        <w:numPr>
          <w:ilvl w:val="0"/>
          <w:numId w:val="2"/>
        </w:numPr>
        <w:spacing w:after="100" w:line="280"/>
      </w:pPr>
      <w:r>
        <w:rPr>
          <w:rFonts w:ascii="Calibri" w:cs="Calibri" w:eastAsia="Calibri" w:hAnsi="Calibri"/>
          <w:b/>
          <w:bCs/>
          <w:color w:val="1F3864"/>
          <w:sz w:val="22"/>
          <w:szCs w:val="22"/>
        </w:rPr>
        <w:t xml:space="preserve">Recomendación — </w:t>
      </w:r>
      <w:r>
        <w:rPr>
          <w:rFonts w:ascii="Calibri" w:cs="Calibri" w:eastAsia="Calibri" w:hAnsi="Calibri"/>
          <w:color w:val="262626"/>
          <w:sz w:val="22"/>
          <w:szCs w:val="22"/>
        </w:rPr>
        <w:t xml:space="preserve">documentar por escrito, desde ya, que el módulo de orientación no decide de forma autónoma y que la decisión final corresponde siempre al departamento de orientación del centro. Es aconsejable una consulta puntual con un especialista en la Ley de IA antes de escalar este módulo a muchos colegios, dado lo reciente de la norma y su interpretación aún en desarrollo.</w:t>
      </w:r>
    </w:p>
    <w:p>
      <w:pPr>
        <w:pStyle w:val="Heading1"/>
        <w:pBdr>
          <w:bottom w:val="single" w:color="B08D57" w:sz="12" w:space="4"/>
        </w:pBdr>
        <w:spacing w:after="200" w:before="400"/>
      </w:pPr>
      <w:r>
        <w:rPr>
          <w:rFonts w:ascii="Calibri" w:cs="Calibri" w:eastAsia="Calibri" w:hAnsi="Calibri"/>
          <w:b/>
          <w:bCs/>
          <w:color w:val="1F3864"/>
          <w:sz w:val="30"/>
          <w:szCs w:val="30"/>
        </w:rPr>
        <w:t xml:space="preserve">4. Contratación con los Centros Educativos</w:t>
      </w:r>
    </w:p>
    <w:p>
      <w:pPr>
        <w:pStyle w:val="ListParagraph"/>
        <w:numPr>
          <w:ilvl w:val="0"/>
          <w:numId w:val="2"/>
        </w:numPr>
        <w:spacing w:after="100" w:line="280"/>
      </w:pPr>
      <w:r>
        <w:rPr>
          <w:rFonts w:ascii="Calibri" w:cs="Calibri" w:eastAsia="Calibri" w:hAnsi="Calibri"/>
          <w:b/>
          <w:bCs/>
          <w:color w:val="1F3864"/>
          <w:sz w:val="22"/>
          <w:szCs w:val="22"/>
        </w:rPr>
        <w:t xml:space="preserve">Términos y Condiciones del Servicio — </w:t>
      </w:r>
      <w:r>
        <w:rPr>
          <w:rFonts w:ascii="Calibri" w:cs="Calibri" w:eastAsia="Calibri" w:hAnsi="Calibri"/>
          <w:color w:val="262626"/>
          <w:sz w:val="22"/>
          <w:szCs w:val="22"/>
        </w:rPr>
        <w:t xml:space="preserve">contrato marco «comercial», distinto del anexo de protección de datos: debe incluir precio, duración, nivel de servicio (SLA), causas de baja y límites de responsabilidad en caso de fallo del sistema. Pendiente de redactar.</w:t>
      </w:r>
    </w:p>
    <w:p>
      <w:pPr>
        <w:pStyle w:val="ListParagraph"/>
        <w:numPr>
          <w:ilvl w:val="0"/>
          <w:numId w:val="2"/>
        </w:numPr>
        <w:spacing w:after="100" w:line="280"/>
      </w:pPr>
      <w:r>
        <w:rPr>
          <w:rFonts w:ascii="Calibri" w:cs="Calibri" w:eastAsia="Calibri" w:hAnsi="Calibri"/>
          <w:b/>
          <w:bCs/>
          <w:color w:val="1F3864"/>
          <w:sz w:val="22"/>
          <w:szCs w:val="22"/>
        </w:rPr>
        <w:t xml:space="preserve">Protocolo de notificación de incidentes de seguridad — </w:t>
      </w:r>
      <w:r>
        <w:rPr>
          <w:rFonts w:ascii="Calibri" w:cs="Calibri" w:eastAsia="Calibri" w:hAnsi="Calibri"/>
          <w:color w:val="262626"/>
          <w:sz w:val="22"/>
          <w:szCs w:val="22"/>
        </w:rPr>
        <w:t xml:space="preserve">procedimiento interno ante fugas de datos o caídas del sistema, con plazos de notificación (72 horas a la AEPD si hay riesgo real para los afectados). Ya elaborado.</w:t>
      </w:r>
    </w:p>
    <w:p>
      <w:pPr>
        <w:pStyle w:val="Heading1"/>
        <w:pBdr>
          <w:bottom w:val="single" w:color="B08D57" w:sz="12" w:space="4"/>
        </w:pBdr>
        <w:spacing w:after="200" w:before="400"/>
      </w:pPr>
      <w:r>
        <w:rPr>
          <w:rFonts w:ascii="Calibri" w:cs="Calibri" w:eastAsia="Calibri" w:hAnsi="Calibri"/>
          <w:b/>
          <w:bCs/>
          <w:color w:val="1F3864"/>
          <w:sz w:val="30"/>
          <w:szCs w:val="30"/>
        </w:rPr>
        <w:t xml:space="preserve">5. Contratación con Centros Públicos (IES)</w:t>
      </w:r>
    </w:p>
    <w:p>
      <w:pPr>
        <w:pStyle w:val="ListParagraph"/>
        <w:numPr>
          <w:ilvl w:val="0"/>
          <w:numId w:val="2"/>
        </w:numPr>
        <w:spacing w:after="100" w:line="280"/>
      </w:pPr>
      <w:r>
        <w:rPr>
          <w:rFonts w:ascii="Calibri" w:cs="Calibri" w:eastAsia="Calibri" w:hAnsi="Calibri"/>
          <w:b/>
          <w:bCs/>
          <w:color w:val="1F3864"/>
          <w:sz w:val="22"/>
          <w:szCs w:val="22"/>
        </w:rPr>
        <w:t xml:space="preserve">Contrato Menor de Servicios — </w:t>
      </w:r>
      <w:r>
        <w:rPr>
          <w:rFonts w:ascii="Calibri" w:cs="Calibri" w:eastAsia="Calibri" w:hAnsi="Calibri"/>
          <w:color w:val="262626"/>
          <w:sz w:val="22"/>
          <w:szCs w:val="22"/>
        </w:rPr>
        <w:t xml:space="preserve">vía de contratación con institutos públicos hasta 15.000€/año, sin necesidad de licitación compleja, aprobable por la dirección del centro en pocos días. Ya identificado.</w:t>
      </w:r>
    </w:p>
    <w:p>
      <w:pPr>
        <w:pStyle w:val="ListParagraph"/>
        <w:numPr>
          <w:ilvl w:val="0"/>
          <w:numId w:val="2"/>
        </w:numPr>
        <w:spacing w:after="100" w:line="280"/>
      </w:pPr>
      <w:r>
        <w:rPr>
          <w:rFonts w:ascii="Calibri" w:cs="Calibri" w:eastAsia="Calibri" w:hAnsi="Calibri"/>
          <w:b/>
          <w:bCs/>
          <w:color w:val="1F3864"/>
          <w:sz w:val="22"/>
          <w:szCs w:val="22"/>
        </w:rPr>
        <w:t xml:space="preserve">Facturación electrónica vía FACe — </w:t>
      </w:r>
      <w:r>
        <w:rPr>
          <w:rFonts w:ascii="Calibri" w:cs="Calibri" w:eastAsia="Calibri" w:hAnsi="Calibri"/>
          <w:color w:val="262626"/>
          <w:sz w:val="22"/>
          <w:szCs w:val="22"/>
        </w:rPr>
        <w:t xml:space="preserve">las facturas a la administración pública se emiten a través de este portal oficial, con los códigos DIR3 del centro. Ya identificado.</w:t>
      </w:r>
    </w:p>
    <w:p>
      <w:pPr>
        <w:pStyle w:val="ListParagraph"/>
        <w:numPr>
          <w:ilvl w:val="0"/>
          <w:numId w:val="2"/>
        </w:numPr>
        <w:spacing w:after="100" w:line="280"/>
      </w:pPr>
      <w:r>
        <w:rPr>
          <w:rFonts w:ascii="Calibri" w:cs="Calibri" w:eastAsia="Calibri" w:hAnsi="Calibri"/>
          <w:b/>
          <w:bCs/>
          <w:color w:val="1F3864"/>
          <w:sz w:val="22"/>
          <w:szCs w:val="22"/>
        </w:rPr>
        <w:t xml:space="preserve">Accesibilidad web (Real Decreto 1112/2018) — </w:t>
      </w:r>
      <w:r>
        <w:rPr>
          <w:rFonts w:ascii="Calibri" w:cs="Calibri" w:eastAsia="Calibri" w:hAnsi="Calibri"/>
          <w:color w:val="262626"/>
          <w:sz w:val="22"/>
          <w:szCs w:val="22"/>
        </w:rPr>
        <w:t xml:space="preserve">los servicios digitales contratados por la administración pública deben cumplir determinados criterios de accesibilidad (compatibilidad con lectores de pantalla, contraste, navegación por teclado, etc.), conforme a la norma UNE-EN 301549. Conviene verificar que el widget cumple estos criterios básicos antes de vender a un IES público.</w:t>
      </w:r>
    </w:p>
    <w:p>
      <w:pPr>
        <w:pStyle w:val="ListParagraph"/>
        <w:numPr>
          <w:ilvl w:val="0"/>
          <w:numId w:val="2"/>
        </w:numPr>
        <w:spacing w:after="100" w:line="280"/>
      </w:pPr>
      <w:r>
        <w:rPr>
          <w:rFonts w:ascii="Calibri" w:cs="Calibri" w:eastAsia="Calibri" w:hAnsi="Calibri"/>
          <w:b/>
          <w:bCs/>
          <w:color w:val="1F3864"/>
          <w:sz w:val="22"/>
          <w:szCs w:val="22"/>
        </w:rPr>
        <w:t xml:space="preserve">Esquema Nacional de Seguridad (ENS) — </w:t>
      </w:r>
      <w:r>
        <w:rPr>
          <w:rFonts w:ascii="Calibri" w:cs="Calibri" w:eastAsia="Calibri" w:hAnsi="Calibri"/>
          <w:color w:val="262626"/>
          <w:sz w:val="22"/>
          <w:szCs w:val="22"/>
        </w:rPr>
        <w:t xml:space="preserve">marco de seguridad aplicable a los sistemas de información que prestan servicio a las administraciones públicas. Con un solo instituto público como cliente no suele exigirse la certificación completa, pero conviene tenerlo presente si la cartera de centros públicos crece de forma relevante.</w:t>
      </w:r>
    </w:p>
    <w:p>
      <w:pPr>
        <w:pStyle w:val="Heading1"/>
        <w:pBdr>
          <w:bottom w:val="single" w:color="B08D57" w:sz="12" w:space="4"/>
        </w:pBdr>
        <w:spacing w:after="200" w:before="400"/>
      </w:pPr>
      <w:r>
        <w:rPr>
          <w:rFonts w:ascii="Calibri" w:cs="Calibri" w:eastAsia="Calibri" w:hAnsi="Calibri"/>
          <w:b/>
          <w:bCs/>
          <w:color w:val="1F3864"/>
          <w:sz w:val="30"/>
          <w:szCs w:val="30"/>
        </w:rPr>
        <w:t xml:space="preserve">6. Fiscal, Facturación y Constitución</w:t>
      </w:r>
    </w:p>
    <w:p>
      <w:pPr>
        <w:pStyle w:val="ListParagraph"/>
        <w:numPr>
          <w:ilvl w:val="0"/>
          <w:numId w:val="2"/>
        </w:numPr>
        <w:spacing w:after="100" w:line="280"/>
      </w:pPr>
      <w:r>
        <w:rPr>
          <w:rFonts w:ascii="Calibri" w:cs="Calibri" w:eastAsia="Calibri" w:hAnsi="Calibri"/>
          <w:b/>
          <w:bCs/>
          <w:color w:val="1F3864"/>
          <w:sz w:val="22"/>
          <w:szCs w:val="22"/>
        </w:rPr>
        <w:t xml:space="preserve">Software de facturación homologado (VERI*FACTU) — </w:t>
      </w:r>
      <w:r>
        <w:rPr>
          <w:rFonts w:ascii="Calibri" w:cs="Calibri" w:eastAsia="Calibri" w:hAnsi="Calibri"/>
          <w:color w:val="262626"/>
          <w:sz w:val="22"/>
          <w:szCs w:val="22"/>
        </w:rPr>
        <w:t xml:space="preserve">verificado — desde 2026 es obligatorio emitir las facturas con un sistema informático homologado por la Agencia Tributaria (o mediante la solución pública gratuita). Debe confirmarse con la gestoría que el sistema utilizado ya cumple este requisito.</w:t>
      </w:r>
    </w:p>
    <w:p>
      <w:pPr>
        <w:pStyle w:val="ListParagraph"/>
        <w:numPr>
          <w:ilvl w:val="0"/>
          <w:numId w:val="2"/>
        </w:numPr>
        <w:spacing w:after="100" w:line="280"/>
      </w:pPr>
      <w:r>
        <w:rPr>
          <w:rFonts w:ascii="Calibri" w:cs="Calibri" w:eastAsia="Calibri" w:hAnsi="Calibri"/>
          <w:b/>
          <w:bCs/>
          <w:color w:val="1F3864"/>
          <w:sz w:val="22"/>
          <w:szCs w:val="22"/>
        </w:rPr>
        <w:t xml:space="preserve">Facturación electrónica estructurada B2B (Ley Crea y Crece) — </w:t>
      </w:r>
      <w:r>
        <w:rPr>
          <w:rFonts w:ascii="Calibri" w:cs="Calibri" w:eastAsia="Calibri" w:hAnsi="Calibri"/>
          <w:color w:val="262626"/>
          <w:sz w:val="22"/>
          <w:szCs w:val="22"/>
        </w:rPr>
        <w:t xml:space="preserve">verificado — la obligación de facturación electrónica estructurada entre empresas se aplicará de forma escalonada, entrando en vigor en 2027 para empresas grandes (más de 8 millones de facturación) y en 2028 para el resto, incluidos autónomos y pymes como ScholaIA. No es urgente ahora, pero conviene planificarlo con antelación.</w:t>
      </w:r>
    </w:p>
    <w:p>
      <w:pPr>
        <w:pStyle w:val="ListParagraph"/>
        <w:numPr>
          <w:ilvl w:val="0"/>
          <w:numId w:val="2"/>
        </w:numPr>
        <w:spacing w:after="100" w:line="280"/>
      </w:pPr>
      <w:r>
        <w:rPr>
          <w:rFonts w:ascii="Calibri" w:cs="Calibri" w:eastAsia="Calibri" w:hAnsi="Calibri"/>
          <w:b/>
          <w:bCs/>
          <w:color w:val="1F3864"/>
          <w:sz w:val="22"/>
          <w:szCs w:val="22"/>
        </w:rPr>
        <w:t xml:space="preserve">Alta en RETA con Tarifa Plana y constitución de la Sociedad Civil — </w:t>
      </w:r>
      <w:r>
        <w:rPr>
          <w:rFonts w:ascii="Calibri" w:cs="Calibri" w:eastAsia="Calibri" w:hAnsi="Calibri"/>
          <w:color w:val="262626"/>
          <w:sz w:val="22"/>
          <w:szCs w:val="22"/>
        </w:rPr>
        <w:t xml:space="preserve">trámites ya identificados y en marcha con la gestoría.</w:t>
      </w:r>
    </w:p>
    <w:p>
      <w:pPr>
        <w:pStyle w:val="ListParagraph"/>
        <w:numPr>
          <w:ilvl w:val="0"/>
          <w:numId w:val="2"/>
        </w:numPr>
        <w:spacing w:after="100" w:line="280"/>
      </w:pPr>
      <w:r>
        <w:rPr>
          <w:rFonts w:ascii="Calibri" w:cs="Calibri" w:eastAsia="Calibri" w:hAnsi="Calibri"/>
          <w:b/>
          <w:bCs/>
          <w:color w:val="1F3864"/>
          <w:sz w:val="22"/>
          <w:szCs w:val="22"/>
        </w:rPr>
        <w:t xml:space="preserve">Evolución a Sociedad Limitada (S.L.) — </w:t>
      </w:r>
      <w:r>
        <w:rPr>
          <w:rFonts w:ascii="Calibri" w:cs="Calibri" w:eastAsia="Calibri" w:hAnsi="Calibri"/>
          <w:color w:val="262626"/>
          <w:sz w:val="22"/>
          <w:szCs w:val="22"/>
        </w:rPr>
        <w:t xml:space="preserve">recomendable al consolidar una cartera relevante de colegios recurrentes, para limitar la responsabilidad patrimonial de los socios — ya contemplado.</w:t>
      </w:r>
    </w:p>
    <w:p>
      <w:pPr>
        <w:pStyle w:val="Heading1"/>
        <w:pBdr>
          <w:bottom w:val="single" w:color="B08D57" w:sz="12" w:space="4"/>
        </w:pBdr>
        <w:spacing w:after="200" w:before="400"/>
      </w:pPr>
      <w:r>
        <w:rPr>
          <w:rFonts w:ascii="Calibri" w:cs="Calibri" w:eastAsia="Calibri" w:hAnsi="Calibri"/>
          <w:b/>
          <w:bCs/>
          <w:color w:val="1F3864"/>
          <w:sz w:val="30"/>
          <w:szCs w:val="30"/>
        </w:rPr>
        <w:t xml:space="preserve">7. Propiedad Intelectual</w:t>
      </w:r>
    </w:p>
    <w:p>
      <w:pPr>
        <w:pStyle w:val="ListParagraph"/>
        <w:numPr>
          <w:ilvl w:val="0"/>
          <w:numId w:val="2"/>
        </w:numPr>
        <w:spacing w:after="100" w:line="280"/>
      </w:pPr>
      <w:r>
        <w:rPr>
          <w:rFonts w:ascii="Calibri" w:cs="Calibri" w:eastAsia="Calibri" w:hAnsi="Calibri"/>
          <w:b/>
          <w:bCs/>
          <w:color w:val="1F3864"/>
          <w:sz w:val="22"/>
          <w:szCs w:val="22"/>
        </w:rPr>
        <w:t xml:space="preserve">Registro de la marca «ScholaIA» — </w:t>
      </w:r>
      <w:r>
        <w:rPr>
          <w:rFonts w:ascii="Calibri" w:cs="Calibri" w:eastAsia="Calibri" w:hAnsi="Calibri"/>
          <w:color w:val="262626"/>
          <w:sz w:val="22"/>
          <w:szCs w:val="22"/>
        </w:rPr>
        <w:t xml:space="preserve">recomendable registrar el nombre comercial en la Oficina Española de Patentes y Marcas (OEPM) en cuanto el nombre esté decidido en firme, para evitar que otra empresa lo registre antes o que haya conflicto de marcas.</w:t>
      </w:r>
    </w:p>
    <w:p>
      <w:pPr>
        <w:pStyle w:val="ListParagraph"/>
        <w:numPr>
          <w:ilvl w:val="0"/>
          <w:numId w:val="2"/>
        </w:numPr>
        <w:spacing w:after="100" w:line="280"/>
      </w:pPr>
      <w:r>
        <w:rPr>
          <w:rFonts w:ascii="Calibri" w:cs="Calibri" w:eastAsia="Calibri" w:hAnsi="Calibri"/>
          <w:b/>
          <w:bCs/>
          <w:color w:val="1F3864"/>
          <w:sz w:val="22"/>
          <w:szCs w:val="22"/>
        </w:rPr>
        <w:t xml:space="preserve">Titularidad del software — </w:t>
      </w:r>
      <w:r>
        <w:rPr>
          <w:rFonts w:ascii="Calibri" w:cs="Calibri" w:eastAsia="Calibri" w:hAnsi="Calibri"/>
          <w:color w:val="262626"/>
          <w:sz w:val="22"/>
          <w:szCs w:val="22"/>
        </w:rPr>
        <w:t xml:space="preserve">el código y la plataforma desarrollados pertenecen a la empresa por defecto (derechos de autor automáticos), pero conviene dejar constancia escrita si en el futuro se contrata a algún desarrollador externo, para que la cesión de derechos quede clara por contrato.</w:t>
      </w:r>
    </w:p>
    <w:p>
      <w:pPr>
        <w:pStyle w:val="Heading1"/>
        <w:pBdr>
          <w:bottom w:val="single" w:color="B08D57" w:sz="12" w:space="4"/>
        </w:pBdr>
        <w:spacing w:after="200" w:before="400"/>
      </w:pPr>
      <w:r>
        <w:rPr>
          <w:rFonts w:ascii="Calibri" w:cs="Calibri" w:eastAsia="Calibri" w:hAnsi="Calibri"/>
          <w:b/>
          <w:bCs/>
          <w:color w:val="1F3864"/>
          <w:sz w:val="30"/>
          <w:szCs w:val="30"/>
        </w:rPr>
        <w:t xml:space="preserve">8. Checklist Priorizado</w:t>
      </w:r>
    </w:p>
    <w:p>
      <w:pPr>
        <w:spacing w:after="160" w:line="300"/>
      </w:pPr>
      <w:r>
        <w:rPr>
          <w:rFonts w:ascii="Calibri" w:cs="Calibri" w:eastAsia="Calibri" w:hAnsi="Calibri"/>
          <w:color w:val="262626"/>
          <w:sz w:val="22"/>
          <w:szCs w:val="22"/>
        </w:rPr>
        <w:t xml:space="preserve">Resumen visual de todo lo anterior, ordenado por urgencia real para la fase actual del proyecto.</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4900"/>
        <w:gridCol w:w="1900"/>
      </w:tblGrid>
      <w:tr>
        <w:trPr>
          <w:tblHeader/>
        </w:trPr>
        <w:tc>
          <w:tcPr>
            <w:tcW w:type="dxa" w:w="1300"/>
            <w:shd w:fill="1F3864" w:val="clear"/>
            <w:tcMar>
              <w:top w:type="dxa" w:w="100"/>
              <w:left w:type="dxa" w:w="120"/>
              <w:bottom w:type="dxa" w:w="100"/>
              <w:right w:type="dxa" w:w="120"/>
            </w:tcMar>
            <w:vAlign w:val="center"/>
          </w:tcPr>
          <w:p>
            <w:pPr>
              <w:spacing w:after="60"/>
            </w:pPr>
            <w:r>
              <w:rPr>
                <w:rFonts w:ascii="Calibri" w:cs="Calibri" w:eastAsia="Calibri" w:hAnsi="Calibri"/>
                <w:b/>
                <w:bCs/>
                <w:color w:val="FFFFFF"/>
                <w:sz w:val="20"/>
                <w:szCs w:val="20"/>
              </w:rPr>
              <w:t xml:space="preserve">Prioridad</w:t>
            </w:r>
          </w:p>
        </w:tc>
        <w:tc>
          <w:tcPr>
            <w:tcW w:type="dxa" w:w="4900"/>
            <w:shd w:fill="1F3864" w:val="clear"/>
            <w:tcMar>
              <w:top w:type="dxa" w:w="100"/>
              <w:left w:type="dxa" w:w="120"/>
              <w:bottom w:type="dxa" w:w="100"/>
              <w:right w:type="dxa" w:w="120"/>
            </w:tcMar>
            <w:vAlign w:val="center"/>
          </w:tcPr>
          <w:p>
            <w:pPr>
              <w:spacing w:after="60"/>
            </w:pPr>
            <w:r>
              <w:rPr>
                <w:rFonts w:ascii="Calibri" w:cs="Calibri" w:eastAsia="Calibri" w:hAnsi="Calibri"/>
                <w:b/>
                <w:bCs/>
                <w:color w:val="FFFFFF"/>
                <w:sz w:val="20"/>
                <w:szCs w:val="20"/>
              </w:rPr>
              <w:t xml:space="preserve">Documento / obligación</w:t>
            </w:r>
          </w:p>
        </w:tc>
        <w:tc>
          <w:tcPr>
            <w:tcW w:type="dxa" w:w="1900"/>
            <w:shd w:fill="1F3864" w:val="clear"/>
            <w:tcMar>
              <w:top w:type="dxa" w:w="100"/>
              <w:left w:type="dxa" w:w="120"/>
              <w:bottom w:type="dxa" w:w="100"/>
              <w:right w:type="dxa" w:w="120"/>
            </w:tcMar>
            <w:vAlign w:val="center"/>
          </w:tcPr>
          <w:p>
            <w:pPr>
              <w:spacing w:after="60"/>
            </w:pPr>
            <w:r>
              <w:rPr>
                <w:rFonts w:ascii="Calibri" w:cs="Calibri" w:eastAsia="Calibri" w:hAnsi="Calibri"/>
                <w:b/>
                <w:bCs/>
                <w:color w:val="FFFFFF"/>
                <w:sz w:val="20"/>
                <w:szCs w:val="20"/>
              </w:rPr>
              <w:t xml:space="preserve">Cuándo</w:t>
            </w:r>
          </w:p>
        </w:tc>
      </w:tr>
      <w:tr>
        <w:tc>
          <w:tcPr>
            <w:tcW w:type="dxa" w:w="13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Urgente</w:t>
            </w:r>
          </w:p>
        </w:tc>
        <w:tc>
          <w:tcPr>
            <w:tcW w:type="dxa" w:w="4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Política de Privacidad del widget/chatbot (usuarios finales)</w:t>
            </w:r>
          </w:p>
        </w:tc>
        <w:tc>
          <w:tcPr>
            <w:tcW w:type="dxa" w:w="1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Antes del primer colegio</w:t>
            </w:r>
          </w:p>
        </w:tc>
      </w:tr>
      <w:tr>
        <w:tc>
          <w:tcPr>
            <w:tcW w:type="dxa" w:w="13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Urgente</w:t>
            </w:r>
          </w:p>
        </w:tc>
        <w:tc>
          <w:tcPr>
            <w:tcW w:type="dxa" w:w="4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Contrato de Encargado del Tratamiento (Art. 28 RGPD) — ya redactado</w:t>
            </w:r>
          </w:p>
        </w:tc>
        <w:tc>
          <w:tcPr>
            <w:tcW w:type="dxa" w:w="1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Antes del primer colegio</w:t>
            </w:r>
          </w:p>
        </w:tc>
      </w:tr>
      <w:tr>
        <w:tc>
          <w:tcPr>
            <w:tcW w:type="dxa" w:w="13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Urgente</w:t>
            </w:r>
          </w:p>
        </w:tc>
        <w:tc>
          <w:tcPr>
            <w:tcW w:type="dxa" w:w="4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Aviso Legal y Política de Cookies de la web — ya redactados</w:t>
            </w:r>
          </w:p>
        </w:tc>
        <w:tc>
          <w:tcPr>
            <w:tcW w:type="dxa" w:w="1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Antes del primer colegio</w:t>
            </w:r>
          </w:p>
        </w:tc>
      </w:tr>
      <w:tr>
        <w:tc>
          <w:tcPr>
            <w:tcW w:type="dxa" w:w="13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Urgente</w:t>
            </w:r>
          </w:p>
        </w:tc>
        <w:tc>
          <w:tcPr>
            <w:tcW w:type="dxa" w:w="4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Software de facturación homologado (Verifactu)</w:t>
            </w:r>
          </w:p>
        </w:tc>
        <w:tc>
          <w:tcPr>
            <w:tcW w:type="dxa" w:w="1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Ya obligatorio desde 2026</w:t>
            </w:r>
          </w:p>
        </w:tc>
      </w:tr>
      <w:tr>
        <w:tc>
          <w:tcPr>
            <w:tcW w:type="dxa" w:w="13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Alta</w:t>
            </w:r>
          </w:p>
        </w:tc>
        <w:tc>
          <w:tcPr>
            <w:tcW w:type="dxa" w:w="4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Términos y Condiciones del Servicio (contrato marco comercial)</w:t>
            </w:r>
          </w:p>
        </w:tc>
        <w:tc>
          <w:tcPr>
            <w:tcW w:type="dxa" w:w="1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Antes de firmar varios colegios</w:t>
            </w:r>
          </w:p>
        </w:tc>
      </w:tr>
      <w:tr>
        <w:tc>
          <w:tcPr>
            <w:tcW w:type="dxa" w:w="13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Alta</w:t>
            </w:r>
          </w:p>
        </w:tc>
        <w:tc>
          <w:tcPr>
            <w:tcW w:type="dxa" w:w="4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Protocolo de notificación de incidentes — ya elaborado</w:t>
            </w:r>
          </w:p>
        </w:tc>
        <w:tc>
          <w:tcPr>
            <w:tcW w:type="dxa" w:w="1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Antes de escalar</w:t>
            </w:r>
          </w:p>
        </w:tc>
      </w:tr>
      <w:tr>
        <w:tc>
          <w:tcPr>
            <w:tcW w:type="dxa" w:w="13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Alta</w:t>
            </w:r>
          </w:p>
        </w:tc>
        <w:tc>
          <w:tcPr>
            <w:tcW w:type="dxa" w:w="4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Registro de Actividades de Tratamiento (RAT, Art. 30 RGPD)</w:t>
            </w:r>
          </w:p>
        </w:tc>
        <w:tc>
          <w:tcPr>
            <w:tcW w:type="dxa" w:w="1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Primeros 2-3 colegios</w:t>
            </w:r>
          </w:p>
        </w:tc>
      </w:tr>
      <w:tr>
        <w:tc>
          <w:tcPr>
            <w:tcW w:type="dxa" w:w="13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Media</w:t>
            </w:r>
          </w:p>
        </w:tc>
        <w:tc>
          <w:tcPr>
            <w:tcW w:type="dxa" w:w="4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Evaluación de Impacto (EIPD/DPIA) del módulo de orientación</w:t>
            </w:r>
          </w:p>
        </w:tc>
        <w:tc>
          <w:tcPr>
            <w:tcW w:type="dxa" w:w="1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Antes de escalar a muchos centros</w:t>
            </w:r>
          </w:p>
        </w:tc>
      </w:tr>
      <w:tr>
        <w:tc>
          <w:tcPr>
            <w:tcW w:type="dxa" w:w="13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Media</w:t>
            </w:r>
          </w:p>
        </w:tc>
        <w:tc>
          <w:tcPr>
            <w:tcW w:type="dxa" w:w="4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Documentación del Reglamento de IA (evaluación Art. 6.3)</w:t>
            </w:r>
          </w:p>
        </w:tc>
        <w:tc>
          <w:tcPr>
            <w:tcW w:type="dxa" w:w="1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Antes de escalar el módulo de orientación</w:t>
            </w:r>
          </w:p>
        </w:tc>
      </w:tr>
      <w:tr>
        <w:tc>
          <w:tcPr>
            <w:tcW w:type="dxa" w:w="13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Media</w:t>
            </w:r>
          </w:p>
        </w:tc>
        <w:tc>
          <w:tcPr>
            <w:tcW w:type="dxa" w:w="4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Registro de la marca ScholaIA en la OEPM</w:t>
            </w:r>
          </w:p>
        </w:tc>
        <w:tc>
          <w:tcPr>
            <w:tcW w:type="dxa" w:w="1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Cuando el nombre esté decidido en firme</w:t>
            </w:r>
          </w:p>
        </w:tc>
      </w:tr>
      <w:tr>
        <w:tc>
          <w:tcPr>
            <w:tcW w:type="dxa" w:w="13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Cuando toque</w:t>
            </w:r>
          </w:p>
        </w:tc>
        <w:tc>
          <w:tcPr>
            <w:tcW w:type="dxa" w:w="4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Accesibilidad web (si se vende a centros públicos)</w:t>
            </w:r>
          </w:p>
        </w:tc>
        <w:tc>
          <w:tcPr>
            <w:tcW w:type="dxa" w:w="1900"/>
            <w:shd w:fill="F2F2F2" w:val="clear"/>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Antes de contratos con IES públicos</w:t>
            </w:r>
          </w:p>
        </w:tc>
      </w:tr>
      <w:tr>
        <w:tc>
          <w:tcPr>
            <w:tcW w:type="dxa" w:w="13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Futuro</w:t>
            </w:r>
          </w:p>
        </w:tc>
        <w:tc>
          <w:tcPr>
            <w:tcW w:type="dxa" w:w="4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Facturación electrónica estructurada B2B (Ley Crea y Crece)</w:t>
            </w:r>
          </w:p>
        </w:tc>
        <w:tc>
          <w:tcPr>
            <w:tcW w:type="dxa" w:w="1900"/>
            <w:tcMar>
              <w:top w:type="dxa" w:w="100"/>
              <w:left w:type="dxa" w:w="120"/>
              <w:bottom w:type="dxa" w:w="100"/>
              <w:right w:type="dxa" w:w="120"/>
            </w:tcMar>
            <w:vAlign w:val="center"/>
          </w:tcPr>
          <w:p>
            <w:pPr>
              <w:spacing w:after="60"/>
            </w:pPr>
            <w:r>
              <w:rPr>
                <w:rFonts w:ascii="Calibri" w:cs="Calibri" w:eastAsia="Calibri" w:hAnsi="Calibri"/>
                <w:color w:val="262626"/>
                <w:sz w:val="20"/>
                <w:szCs w:val="20"/>
              </w:rPr>
              <w:t xml:space="preserve">2027-2028 según facturación</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ScholaIA — Mapa Legal y de Cumplimiento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2026-08-15T17:03:16.092Z</dcterms:created>
  <dcterms:modified xsi:type="dcterms:W3CDTF">2026-08-15T17:03:16.114Z</dcterms:modified>
</cp:coreProperties>
</file>

<file path=docProps/custom.xml><?xml version="1.0" encoding="utf-8"?>
<Properties xmlns="http://schemas.openxmlformats.org/officeDocument/2006/custom-properties" xmlns:vt="http://schemas.openxmlformats.org/officeDocument/2006/docPropsVTypes"/>
</file>