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0D6E56"/>
          <w:sz w:val="96"/>
          <w:szCs w:val="96"/>
        </w:rPr>
        <w:t xml:space="preserve">QPB</w:t>
      </w:r>
    </w:p>
    <w:p>
      <w:pPr>
        <w:spacing w:after="120" w:before="0"/>
        <w:jc w:val="center"/>
      </w:pPr>
      <w:r>
        <w:rPr>
          <w:rFonts w:ascii="Arial" w:cs="Arial" w:eastAsia="Arial" w:hAnsi="Arial"/>
          <w:b/>
          <w:bCs/>
          <w:color w:val="111111"/>
          <w:sz w:val="36"/>
          <w:szCs w:val="36"/>
        </w:rPr>
        <w:t xml:space="preserve">FICHE TECHNIQUE COMPLÈTE</w:t>
      </w:r>
    </w:p>
    <w:p>
      <w:pPr>
        <w:spacing w:after="60" w:before="0"/>
        <w:jc w:val="center"/>
      </w:pPr>
      <w:r>
        <w:rPr>
          <w:rFonts w:ascii="Arial" w:cs="Arial" w:eastAsia="Arial" w:hAnsi="Arial"/>
          <w:color w:val="444441"/>
          <w:sz w:val="26"/>
          <w:szCs w:val="26"/>
        </w:rPr>
        <w:t xml:space="preserve">Plateforme Financière Digitale – Zone CEMAC</w:t>
      </w:r>
    </w:p>
    <w:p>
      <w:pPr>
        <w:spacing w:after="400" w:before="0"/>
        <w:jc w:val="center"/>
      </w:pPr>
      <w:r>
        <w:rPr>
          <w:rFonts w:ascii="Arial" w:cs="Arial" w:eastAsia="Arial" w:hAnsi="Arial"/>
          <w:i/>
          <w:iCs/>
          <w:color w:val="444441"/>
          <w:sz w:val="21"/>
          <w:szCs w:val="21"/>
        </w:rPr>
        <w:t xml:space="preserve">Principes • Technologies • Utilisation • Réglementation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Borders>
              <w:top w:val="none" w:color="FFFFFF" w:sz="0"/>
              <w:left w:val="none" w:color="FFFFFF" w:sz="0"/>
              <w:bottom w:val="none" w:color="FFFFFF" w:sz="0"/>
              <w:right w:val="none" w:color="FFFFFF" w:sz="0"/>
            </w:tcBorders>
            <w:shd w:fill="E1F5EE" w:val="clear"/>
            <w:tcMar>
              <w:top w:type="dxa" w:w="200"/>
              <w:left w:type="dxa" w:w="300"/>
              <w:bottom w:type="dxa" w:w="200"/>
              <w:right w:type="dxa" w:w="300"/>
            </w:tcMar>
          </w:tcPr>
          <w:p>
            <w:pPr>
              <w:jc w:val="center"/>
            </w:pPr>
            <w:r>
              <w:rPr>
                <w:rFonts w:ascii="Arial" w:cs="Arial" w:eastAsia="Arial" w:hAnsi="Arial"/>
                <w:color w:val="0F6E56"/>
                <w:sz w:val="20"/>
                <w:szCs w:val="20"/>
              </w:rPr>
              <w:t xml:space="preserve">Ce document décrit chaque fonctionnalité de la plateforme QPB :</w:t>
            </w:r>
          </w:p>
          <w:p>
            <w:pPr>
              <w:jc w:val="center"/>
            </w:pPr>
            <w:r>
              <w:rPr>
                <w:rFonts w:ascii="Arial" w:cs="Arial" w:eastAsia="Arial" w:hAnsi="Arial"/>
                <w:color w:val="0F6E56"/>
                <w:sz w:val="20"/>
                <w:szCs w:val="20"/>
              </w:rPr>
              <w:t xml:space="preserve">son principe, son fonctionnement, la technologie recommandée,</w:t>
            </w:r>
          </w:p>
          <w:p>
            <w:pPr>
              <w:jc w:val="center"/>
            </w:pPr>
            <w:r>
              <w:rPr>
                <w:rFonts w:ascii="Arial" w:cs="Arial" w:eastAsia="Arial" w:hAnsi="Arial"/>
                <w:color w:val="0F6E56"/>
                <w:sz w:val="20"/>
                <w:szCs w:val="20"/>
              </w:rPr>
              <w:t xml:space="preserve">comment l'utiliser et les obligations réglementaires CEMAC associées.</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400"/>
      </w:pPr>
      <w:r>
        <w:rPr>
          <w:rFonts w:ascii="Arial" w:cs="Arial" w:eastAsia="Arial" w:hAnsi="Arial"/>
          <w:b/>
          <w:bCs/>
          <w:color w:val="0D6E56"/>
          <w:sz w:val="30"/>
          <w:szCs w:val="30"/>
        </w:rPr>
        <w:t xml:space="preserve">1. Stack Technologique Recommandée</w:t>
      </w:r>
    </w:p>
    <w:p>
      <w:pPr>
        <w:spacing w:after="80" w:before="80"/>
      </w:pPr>
      <w:r>
        <w:rPr>
          <w:rFonts w:ascii="Arial" w:cs="Arial" w:eastAsia="Arial" w:hAnsi="Arial"/>
          <w:color w:val="222222"/>
          <w:sz w:val="19"/>
          <w:szCs w:val="19"/>
        </w:rPr>
        <w:t xml:space="preserve">Toutes les technologies choisies sont open source, éprouvées, avec une large communauté et un coût d'entrée minimal pour une startup africaine.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Couche</w:t>
            </w:r>
          </w:p>
        </w:tc>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Pourquoi ce choix</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Frontend (web)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Next.js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Framework populaire, rapide, SEO-friendly. Idéal mobile et desktop.</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Application mobile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React Native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Un seul code pour Android et iOS. Économise 50% du budget dev.</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Node.js + Express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Simple, rapide, JS partout. Millions de développeurs disponibles.</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Robuste, gratuit, parfait pour les données financières structurées.</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Authentification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Supabase Auth / Auth0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KYC et connexion sécurisée prêts à l'emploi, sans développement lourd.</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Blockchain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Polygon (EVM)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Réseau Ethereum compatible, frais très bas, écosystème mature.</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Paiements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CinetPay / MTN MoMo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Solutions de paiement mobile money déjà disponibles en CEMAC.</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Firebase Cloud Messaging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Gratuit, fiable, push mobile + web en quelques lignes de code.</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Hébergement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AWS ou OVH Afrique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Serveurs proches de l'Afrique centrale, RGPD compatible.</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CDN / Médias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Cloudflare +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Stockage documents et images, réseau rapide mondial, gratuit pour débuter.</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Plausible / Mixpanel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Suivi des usages, open source, sans violation de la vie privée.</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9"/>
                <w:szCs w:val="19"/>
              </w:rPr>
              <w:t xml:space="preserve">IA /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OpenAI API / HuggingFace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Recommandations et orientation intelligente, API prête à consommer.</w:t>
            </w:r>
          </w:p>
        </w:tc>
      </w:tr>
    </w:tbl>
    <w:p>
      <w:pPr>
        <w:spacing w:after="60" w:before="60"/>
      </w:pPr>
      <w:r>
        <w:t xml:space="preserve"/>
      </w:r>
    </w:p>
    <w:p>
      <w:r>
        <w:br w:type="page"/>
      </w:r>
    </w:p>
    <w:p>
      <w:pPr>
        <w:pStyle w:val="Heading1"/>
        <w:spacing w:after="180" w:before="400"/>
      </w:pPr>
      <w:r>
        <w:rPr>
          <w:rFonts w:ascii="Arial" w:cs="Arial" w:eastAsia="Arial" w:hAnsi="Arial"/>
          <w:b/>
          <w:bCs/>
          <w:color w:val="0D6E56"/>
          <w:sz w:val="30"/>
          <w:szCs w:val="30"/>
        </w:rPr>
        <w:t xml:space="preserve">2. Fiches Techniques par Fonctionnalité</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56" w:val="clear"/>
            <w:tcMar>
              <w:top w:type="dxa" w:w="140"/>
              <w:left w:type="dxa" w:w="200"/>
              <w:bottom w:type="dxa" w:w="140"/>
              <w:right w:type="dxa" w:w="200"/>
            </w:tcMar>
          </w:tcPr>
          <w:p>
            <w:pPr>
              <w:spacing w:after="40" w:before="0"/>
            </w:pPr>
            <w:r>
              <w:rPr>
                <w:rFonts w:ascii="Arial" w:cs="Arial" w:eastAsia="Arial" w:hAnsi="Arial"/>
                <w:b/>
                <w:bCs/>
                <w:color w:val="FFFFFF"/>
                <w:sz w:val="28"/>
                <w:szCs w:val="28"/>
              </w:rPr>
              <w:t xml:space="preserve">📰  MODULE 1 – DÉCOUVERTE &amp; INFORMATION</w:t>
            </w:r>
          </w:p>
          <w:p>
            <w:pPr>
              <w:spacing w:after="0" w:before="0"/>
            </w:pPr>
            <w:r>
              <w:rPr>
                <w:rFonts w:ascii="Arial" w:cs="Arial" w:eastAsia="Arial" w:hAnsi="Arial"/>
                <w:i/>
                <w:iCs/>
                <w:color w:val="FFFFFF"/>
                <w:sz w:val="19"/>
                <w:szCs w:val="19"/>
              </w:rPr>
              <w:t xml:space="preserve">Le portail d'information financière de la zone CEMAC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6" w:val="clear"/>
            <w:tcMar>
              <w:top w:type="dxa" w:w="100"/>
              <w:left w:type="dxa" w:w="160"/>
              <w:bottom w:type="dxa" w:w="100"/>
              <w:right w:type="dxa" w:w="160"/>
            </w:tcMar>
          </w:tcPr>
          <w:p>
            <w:r>
              <w:rPr>
                <w:rFonts w:ascii="Arial" w:cs="Arial" w:eastAsia="Arial" w:hAnsi="Arial"/>
                <w:b/>
                <w:bCs/>
                <w:color w:val="FFFFFF"/>
                <w:sz w:val="22"/>
                <w:szCs w:val="22"/>
              </w:rPr>
              <w:t xml:space="preserve">1.1  Listing des acteurs &amp; de leurs offres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Annuaire centralisé de toutes les institutions financières agréées (banques, microfinances, SDB, AM) avec leurs produits disponibles.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institution crée un compte professionnel vérifié et renseigne sa fiche : nom, agrément, contacts, produits, taux, conditions. Les visiteurs consultent et filtrent sans inscription.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Visiteur cherche « banque à Douala » → filtre par ville et type. 2. Il voit les fiches, compare les offres. 3. Il clique « Contacter » ou « Faire une demande ».</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(stockage), Next.js (affichage), Elasticsearch (recherche rapide), Cloudflare Images (logos institutions).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Abonnement mensuel payant pour les institutions souhaitant apparaître en priorité et accéder aux demandes entrantes.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6" w:val="clear"/>
            <w:tcMar>
              <w:top w:type="dxa" w:w="100"/>
              <w:left w:type="dxa" w:w="160"/>
              <w:bottom w:type="dxa" w:w="100"/>
              <w:right w:type="dxa" w:w="160"/>
            </w:tcMar>
          </w:tcPr>
          <w:p>
            <w:r>
              <w:rPr>
                <w:rFonts w:ascii="Arial" w:cs="Arial" w:eastAsia="Arial" w:hAnsi="Arial"/>
                <w:b/>
                <w:bCs/>
                <w:color w:val="FFFFFF"/>
                <w:sz w:val="22"/>
                <w:szCs w:val="22"/>
              </w:rPr>
              <w:t xml:space="preserve">1.2  Dashboard des titres &amp; graphiques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Tableau de bord listant tous les titres financiers (actions, obligations) émis sur les marchés BVMAC et DSX, avec graphiques de performance.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Connexion à l'API de la BVMAC et du DSX pour récupérer les cours. Affichage des courbes historiques, volumes et rendements. Mise à jour quotidienne ou en quasi-temps réel.</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Utilisateur ouvre la page « Marchés ». 2. Il voit la liste des titres avec prix actuel et variation. 3. Il clique sur un titre pour voir le graphique historique et les détails de l'émetteur.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API REST (BVMAC/DSX), Chart.js ou Recharts (graphiques), Redis (cache des données marché), PostgreSQL (historique).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Gratuit en accès basique. Données en temps réel réservées aux abonnés Premium.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6" w:val="clear"/>
            <w:tcMar>
              <w:top w:type="dxa" w:w="100"/>
              <w:left w:type="dxa" w:w="160"/>
              <w:bottom w:type="dxa" w:w="100"/>
              <w:right w:type="dxa" w:w="160"/>
            </w:tcMar>
          </w:tcPr>
          <w:p>
            <w:r>
              <w:rPr>
                <w:rFonts w:ascii="Arial" w:cs="Arial" w:eastAsia="Arial" w:hAnsi="Arial"/>
                <w:b/>
                <w:bCs/>
                <w:color w:val="FFFFFF"/>
                <w:sz w:val="22"/>
                <w:szCs w:val="22"/>
              </w:rPr>
              <w:t xml:space="preserve">1.3  News &amp; Actualités marché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Agrégateur d'actualités financières couvrant la zone CEMAC : émissions obligataires, résultats d'entreprises, décisions des régulateurs, IPOs.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Combinaison de flux RSS officiels (BVMAC, COSUMAF, BEAC) + articles rédigés par l'équipe QPB + soumissions des institutions partenaires. Système de tags et catégories pour filtrer.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L'utilisateur arrive sur la page « Actualités ». 2. Il filtre par pays, type d'actif ou institution. 3. Il lit l'article ou est redirigé vers la source officielle.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CMS headless (Strapi ou Contentful), Next.js (affichage), RSS parsers (node-rss), Algolia (recherche plein texte).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Sponsoring d'articles par des institutions partenaires.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6" w:val="clear"/>
            <w:tcMar>
              <w:top w:type="dxa" w:w="100"/>
              <w:left w:type="dxa" w:w="160"/>
              <w:bottom w:type="dxa" w:w="100"/>
              <w:right w:type="dxa" w:w="160"/>
            </w:tcMar>
          </w:tcPr>
          <w:p>
            <w:r>
              <w:rPr>
                <w:rFonts w:ascii="Arial" w:cs="Arial" w:eastAsia="Arial" w:hAnsi="Arial"/>
                <w:b/>
                <w:bCs/>
                <w:color w:val="FFFFFF"/>
                <w:sz w:val="22"/>
                <w:szCs w:val="22"/>
              </w:rPr>
              <w:t xml:space="preserve">1.4  Storytelling – Émissions &amp; IPOs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Présenter sous forme de récits illustrés les introductions en bourse passées et l'impact concret des emprunts obligataires sur les populations (routes, hôpitaux, etc.).</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émission ou IPO fait l'objet d'une page narrative : contexte, montant levé, utilisation des fonds, résultats obtenus. Format accessible, photos, chiffres clés.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Visiteur curieux lit « Comment le Cameroun a levé 150 Mds FCFA pour construire des routes ». 2. Il comprend l'utilité des obligations d'État. 3. Il est incité à investir sur la prochaine émission.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CMS headless (Strapi), Next.js, images hébergées sur Cloudflare R2.</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Branded content : les entreprises paient pour que leur IPO soit mise en avant et racontée.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56" w:val="clear"/>
            <w:tcMar>
              <w:top w:type="dxa" w:w="100"/>
              <w:left w:type="dxa" w:w="160"/>
              <w:bottom w:type="dxa" w:w="100"/>
              <w:right w:type="dxa" w:w="160"/>
            </w:tcMar>
          </w:tcPr>
          <w:p>
            <w:r>
              <w:rPr>
                <w:rFonts w:ascii="Arial" w:cs="Arial" w:eastAsia="Arial" w:hAnsi="Arial"/>
                <w:b/>
                <w:bCs/>
                <w:color w:val="FFFFFF"/>
                <w:sz w:val="22"/>
                <w:szCs w:val="22"/>
              </w:rPr>
              <w:t xml:space="preserve">1.5  Webinaires financiers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Sessions de formation en ligne organisées par QPB ou ses partenaires (sociétés de bourse, asset managers) sur des thèmes financiers adaptés au contexte CEMAC.</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Calendrier de webinaires en ligne (live et replay). Inscription gratuite ou payante. Interactivité avec questions/réponses. Attestation de participation délivrée.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Utilisateur consulte le calendrier. 2. Il s'inscrit (email ou compte QPB). 3. Il reçoit le lien de connexion. 4. Il participe en live ou regarde le replay.</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Zoom Webinars API ou Whereby (hébergement), Stripe / CinetPay (paiement inscriptions), Strapi (gestion du calendrier).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Webinaires premium payants, sponsoring par des institutions financières.</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pPr>
              <w:spacing w:after="40" w:before="0"/>
            </w:pPr>
            <w:r>
              <w:rPr>
                <w:rFonts w:ascii="Arial" w:cs="Arial" w:eastAsia="Arial" w:hAnsi="Arial"/>
                <w:b/>
                <w:bCs/>
                <w:color w:val="FFFFFF"/>
                <w:sz w:val="28"/>
                <w:szCs w:val="28"/>
              </w:rPr>
              <w:t xml:space="preserve">🤝  MODULE 2 – MISE EN RELATION</w:t>
            </w:r>
          </w:p>
          <w:p>
            <w:pPr>
              <w:spacing w:after="0" w:before="0"/>
            </w:pPr>
            <w:r>
              <w:rPr>
                <w:rFonts w:ascii="Arial" w:cs="Arial" w:eastAsia="Arial" w:hAnsi="Arial"/>
                <w:i/>
                <w:iCs/>
                <w:color w:val="FFFFFF"/>
                <w:sz w:val="19"/>
                <w:szCs w:val="19"/>
              </w:rPr>
              <w:t xml:space="preserve">Connecter les entreprises aux institutions financières adaptées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00"/>
              <w:left w:type="dxa" w:w="160"/>
              <w:bottom w:type="dxa" w:w="100"/>
              <w:right w:type="dxa" w:w="160"/>
            </w:tcMar>
          </w:tcPr>
          <w:p>
            <w:r>
              <w:rPr>
                <w:rFonts w:ascii="Arial" w:cs="Arial" w:eastAsia="Arial" w:hAnsi="Arial"/>
                <w:b/>
                <w:bCs/>
                <w:color w:val="FFFFFF"/>
                <w:sz w:val="22"/>
                <w:szCs w:val="22"/>
              </w:rPr>
              <w:t xml:space="preserve">2.1  Appels d'offres &amp; Co-financement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Les entreprises publient leurs besoins de financement (montant, durée, objet) sur la plateforme. Les institutions financières consultent et soumettent leurs propositions.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L'entreprise crée un dossier de demande (formulaire guidé + pièces jointes). 2. La demande est publiée (publiquement ou en accès restreint). 3. Les institutions répondent via la plateforme. 4. L'entreprise choisit la meilleure offre. 5. QPB prélève une commission sur la mise en relation.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Entreprise : Tableau de bord → « Publier une demande » → Remplir le formulaire (objet, montant, durée, documents) → Valider. Institution : Espace pro → « Demandes en cours » → Consulter → Soumettre une offre.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(dossiers), S3/Cloudflare R2 (stockage documents), Nodemailer (notifications email), WebSockets (notifications temps réel).</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Dossiers de crédit : Instruction COBAC R-2009/01. KYC obligatoire pour les deux parties. Convention de mise en relation à signer.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Commission de 1 à 3% sur le montant de chaque mise en relation réussie.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00"/>
              <w:left w:type="dxa" w:w="160"/>
              <w:bottom w:type="dxa" w:w="100"/>
              <w:right w:type="dxa" w:w="160"/>
            </w:tcMar>
          </w:tcPr>
          <w:p>
            <w:r>
              <w:rPr>
                <w:rFonts w:ascii="Arial" w:cs="Arial" w:eastAsia="Arial" w:hAnsi="Arial"/>
                <w:b/>
                <w:bCs/>
                <w:color w:val="FFFFFF"/>
                <w:sz w:val="22"/>
                <w:szCs w:val="22"/>
              </w:rPr>
              <w:t xml:space="preserve">2.2  Rating (notation de risque)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Attribuer une note (de AAA à D) à une entreprise pour évaluer sa capacité à rembourser ses dettes. Permet aux investisseurs de mesurer le risque avant de s'engager.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L'entreprise soumet une demande de rating + documents financiers (bilans 3 ans, comptes de résultat, flux de trésorerie). 2. L'analyste QPB ou une agence partenaire analyse le dossier. 3. Une note est attribuée et publiée. 4. La note est renouvelable chaque année.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Entreprise : Espace pro → « Demander mon rating » → Uploader les documents → Payer les frais → Recevoir la note. Investisseur : Fiche entreprise → Voir la note, le rapport de synthèse et l'historique.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PDF.js (lecture bilans), PostgreSQL (stockage notes), algorithme de scoring (Python/scikit-learn ou règles métier manuelles pour débuter).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Agréments COSUMAF requis pour exercer une activité de notation. Règlement COSUMAF 02/04 relatif aux agences de notation.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Frais de dossier fixe + abonnement annuel de renouvellement de la note.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00"/>
              <w:left w:type="dxa" w:w="160"/>
              <w:bottom w:type="dxa" w:w="100"/>
              <w:right w:type="dxa" w:w="160"/>
            </w:tcMar>
          </w:tcPr>
          <w:p>
            <w:r>
              <w:rPr>
                <w:rFonts w:ascii="Arial" w:cs="Arial" w:eastAsia="Arial" w:hAnsi="Arial"/>
                <w:b/>
                <w:bCs/>
                <w:color w:val="FFFFFF"/>
                <w:sz w:val="22"/>
                <w:szCs w:val="22"/>
              </w:rPr>
              <w:t xml:space="preserve">2.3  Orientation intelligente (IA)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Analyser le profil d'un utilisateur (particulier ou entreprise) et lui suggérer automatiquement les produits ou institutions les plus adaptés à son besoin.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Au premier login, l'utilisateur répond à un court questionnaire (profil de risque, durée, montant disponible, objectif). L'IA analyse les réponses et génère une liste personnalisée de recommandations mises à jour en continu.</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L'utilisateur complète son profil ou répond au questionnaire d'onboarding. 2. La page d'accueil personnalisée affiche « Les produits faits pour vous ». 3. Il clique sur une recommandation pour accéder à la fiche détaillée.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OpenAI API (moteur de recommandation) ou algorithme de filtrage collaboratif (Python), PostgreSQL (données profil), Redis (cache recommandations).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Inclus dans l'abonnement Premium utilisateur ou financé par les commissions des institutions recommandées.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00"/>
              <w:left w:type="dxa" w:w="160"/>
              <w:bottom w:type="dxa" w:w="100"/>
              <w:right w:type="dxa" w:w="160"/>
            </w:tcMar>
          </w:tcPr>
          <w:p>
            <w:r>
              <w:rPr>
                <w:rFonts w:ascii="Arial" w:cs="Arial" w:eastAsia="Arial" w:hAnsi="Arial"/>
                <w:b/>
                <w:bCs/>
                <w:color w:val="FFFFFF"/>
                <w:sz w:val="22"/>
                <w:szCs w:val="22"/>
              </w:rPr>
              <w:t xml:space="preserve">2.4  Crowdfunding (don, récompense &amp; prêt)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Permettre à des porteurs de projets de lever des fonds auprès du grand public, soit sous forme de dons avec contreparties, soit sous forme de prêts remboursés avec intérêts.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 porteur de projet crée sa campagne (description, vidéo, objectif financier, durée). Le public contribue en ligne. Si l'objectif est atteint, les fonds sont débloqués. QPB gère l'escrow (blocage des fonds) et la distribution aux prêteurs pour le crowdlending.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Porteur de projet : « Créer une campagne » → Remplir le formulaire → Soumettre pour validation QPB → Publier → Partager. Contributeur : Parcourir les campagnes → Choisir le montant → Payer via Mobile Money → Suivre l'avancement.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Stripe / CinetPay / MTN MoMo (paiements), PostgreSQL (gestion campagnes et contributions), Nodemailer (notifications), système d'escrow bancaire partenaire.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Règlement COSUMAF sur le financement participatif. Agrément requis pour le crowdlending. Plafonds de collecte par campagne définis par la réglementation CEMAC.</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Commission de 5 à 8% sur les fonds collectés lors de campagnes réussies.</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140"/>
              <w:left w:type="dxa" w:w="200"/>
              <w:bottom w:type="dxa" w:w="140"/>
              <w:right w:type="dxa" w:w="200"/>
            </w:tcMar>
          </w:tcPr>
          <w:p>
            <w:pPr>
              <w:spacing w:after="40" w:before="0"/>
            </w:pPr>
            <w:r>
              <w:rPr>
                <w:rFonts w:ascii="Arial" w:cs="Arial" w:eastAsia="Arial" w:hAnsi="Arial"/>
                <w:b/>
                <w:bCs/>
                <w:color w:val="FFFFFF"/>
                <w:sz w:val="28"/>
                <w:szCs w:val="28"/>
              </w:rPr>
              <w:t xml:space="preserve">📈  MODULE 3 – INVESTISSEMENT &amp; ÉPARGNE</w:t>
            </w:r>
          </w:p>
          <w:p>
            <w:pPr>
              <w:spacing w:after="0" w:before="0"/>
            </w:pPr>
            <w:r>
              <w:rPr>
                <w:rFonts w:ascii="Arial" w:cs="Arial" w:eastAsia="Arial" w:hAnsi="Arial"/>
                <w:i/>
                <w:iCs/>
                <w:color w:val="FFFFFF"/>
                <w:sz w:val="19"/>
                <w:szCs w:val="19"/>
              </w:rPr>
              <w:t xml:space="preserve">Démocratiser l'investissement pour tous, même avec peu</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00"/>
              <w:left w:type="dxa" w:w="160"/>
              <w:bottom w:type="dxa" w:w="100"/>
              <w:right w:type="dxa" w:w="160"/>
            </w:tcMar>
          </w:tcPr>
          <w:p>
            <w:r>
              <w:rPr>
                <w:rFonts w:ascii="Arial" w:cs="Arial" w:eastAsia="Arial" w:hAnsi="Arial"/>
                <w:b/>
                <w:bCs/>
                <w:color w:val="FFFFFF"/>
                <w:sz w:val="22"/>
                <w:szCs w:val="22"/>
              </w:rPr>
              <w:t xml:space="preserve">3.1  Fractionnement de titres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Diviser un titre financier (action, obligation) en petites fractions pour réduire le billet d'entrée et permettre aux petits épargnants d'accéder au marché boursier.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QPB, via une société de bourse partenaire, achète des titres et les divise numériquement. Un investisseur peut acheter 0,1 action au lieu d'une action entière. Les dividendes sont versés proportionnellement à la fraction détenue.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L'utilisateur ouvre « Acheter des titres ». 2. Il choisit un titre (ex : SEMC). 3. Il entre le montant qu'il souhaite investir (ex : 5 000 FCFA). 4. La plateforme calcule la fraction correspondante. 5. Il confirme l'achat et le titre apparaît dans son portefeuille.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(registre des fractions), partenariat SDB agréée COSUMAF, interface Next.js, notifications Firebase.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Partenariat obligatoire avec une Société de Bourse agréée COSUMAF. Les opérations sont exécutées via cette SDB. Règlement COSUMAF relatif aux intermédiaires de marché.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Spread sur le prix d'achat/vente + frais de courtage (0,5 à 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00"/>
              <w:left w:type="dxa" w:w="160"/>
              <w:bottom w:type="dxa" w:w="100"/>
              <w:right w:type="dxa" w:w="160"/>
            </w:tcMar>
          </w:tcPr>
          <w:p>
            <w:r>
              <w:rPr>
                <w:rFonts w:ascii="Arial" w:cs="Arial" w:eastAsia="Arial" w:hAnsi="Arial"/>
                <w:b/>
                <w:bCs/>
                <w:color w:val="FFFFFF"/>
                <w:sz w:val="22"/>
                <w:szCs w:val="22"/>
              </w:rPr>
              <w:t xml:space="preserve">3.2  Tokenisation d'actifs (blockchain)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Transformer un actif réel (immeuble, projet agricole, infrastructure) en milliers de parts numériques (tokens) échangeables sur une blockchain. Chaque token représente une fraction de propriété.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Le propriétaire d'un actif propose sa tokenisation à QPB. 2. L'actif est évalué et audité. 3. Des tokens sont créés sur la blockchain Polygon (smart contract ERC-20). 4. Les tokens sont vendus aux investisseurs. 5. Les revenus (loyers, bénéfices) sont distribués automatiquement via le smart contract.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Investisseur : « Marché des tokens » → Choisir un actif → Voir le rendement estimé → Acheter des tokens → Recevoir les revenus mensuellement. Propriétaire : Soumettre le dossier → Signer la convention → Recevoir les fonds levés.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Polygon blockchain, Solidity (smart contracts), Web3.js / Ethers.js (interface), IPFS (documents légaux), MetaMask ou wallet custodial intégré.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Cadre juridique en construction en CEMAC. Nécessite un avis de la COSUMAF (assimilé à une offre au public de titres). Convention notariée obligatoire. Surveillance BEAC pour les flux transfrontaliers.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Commission de tokenisation (2-3% du montant levé) + frais de transaction sur chaque échange de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00"/>
              <w:left w:type="dxa" w:w="160"/>
              <w:bottom w:type="dxa" w:w="100"/>
              <w:right w:type="dxa" w:w="160"/>
            </w:tcMar>
          </w:tcPr>
          <w:p>
            <w:r>
              <w:rPr>
                <w:rFonts w:ascii="Arial" w:cs="Arial" w:eastAsia="Arial" w:hAnsi="Arial"/>
                <w:b/>
                <w:bCs/>
                <w:color w:val="FFFFFF"/>
                <w:sz w:val="22"/>
                <w:szCs w:val="22"/>
              </w:rPr>
              <w:t xml:space="preserve">3.3  Copy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Permettre à un investisseur novice de répliquer automatiquement la stratégie d'un gestionnaire d'actifs (AM) performant, sans avoir à prendre lui-même les décisions.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Les AM partenaires publient leurs allocations de portefeuille et leurs performances historiques. L'utilisateur choisit un AM à suivre et alloue un montant. Chaque mouvement de l'AM est automatiquement répliqué dans le portefeuille de l'utilisateur, proportionnellement.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L'utilisateur va dans « Copy Investment ». 2. Il consulte le classement des AM (performance 1 an, 3 ans, niveau de risque). 3. Il choisit un AM et clique « Copier ». 4. Il définit le montant à allouer. 5. Son portefeuille se met à jour automatiquement.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(portefeuilles), cron jobs (synchronisation des positions), Next.js (dashboard), API de la SDB partenaire pour exécuter les ordres.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 service doit être opéré en partenariat avec un Asset Manager agréé COSUMAF. QPB agit en intermédiaire de présentation, non comme gestionnaire. Règlement COSUMAF sur la gestion de portefeuille pour compte de tiers.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Commission de performance (10-15% des gains) partagée entre QPB et l'AM. Frais de gestion mensuel (0,5%).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00"/>
              <w:left w:type="dxa" w:w="160"/>
              <w:bottom w:type="dxa" w:w="100"/>
              <w:right w:type="dxa" w:w="160"/>
            </w:tcMar>
          </w:tcPr>
          <w:p>
            <w:r>
              <w:rPr>
                <w:rFonts w:ascii="Arial" w:cs="Arial" w:eastAsia="Arial" w:hAnsi="Arial"/>
                <w:b/>
                <w:bCs/>
                <w:color w:val="FFFFFF"/>
                <w:sz w:val="22"/>
                <w:szCs w:val="22"/>
              </w:rPr>
              <w:t xml:space="preserve">3.4  Fonds Communs de Placement (FCP)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Proposer sur la plateforme les fonds gérés par des Asset Managers agréés. Les utilisateurs souscrivent en ligne et reçoivent des parts dont la valeur évolue avec le marché.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Les AM partenaires enregistrent leurs FCP sur QPB (fiche produit, DICI, historique de performance, VL quotidienne). Les utilisateurs souscrivent directement, le paiement est traité et les parts enregistrées. La valeur liquidative est mise à jour quotidiennement.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Utilisateur ouvre « Fonds de placement ». 2. Il filtre par type (actions, obligations, monétaire), rendement, risque. 3. Il lit le DICI (document d'information). 4. Il clique « Souscrire » et entre le montant. 5. Il suit l'évolution de ses parts dans son portefeuille.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(parts et VL), CinetPay / MTN MoMo (paiement souscription), PDF.js (affichage DICI), notifications Firebase.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FCP doit être agréé par la COSUMAF (Règlement COSUMAF n°06/09 relatif aux OPCVM). QPB doit avoir un agrément de diffuseur ou opérer via un dépositaire agréé.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Commission de souscription de 1 à 2% par transaction.</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40"/>
              <w:left w:type="dxa" w:w="200"/>
              <w:bottom w:type="dxa" w:w="140"/>
              <w:right w:type="dxa" w:w="200"/>
            </w:tcMar>
          </w:tcPr>
          <w:p>
            <w:pPr>
              <w:spacing w:after="40" w:before="0"/>
            </w:pPr>
            <w:r>
              <w:rPr>
                <w:rFonts w:ascii="Arial" w:cs="Arial" w:eastAsia="Arial" w:hAnsi="Arial"/>
                <w:b/>
                <w:bCs/>
                <w:color w:val="FFFFFF"/>
                <w:sz w:val="28"/>
                <w:szCs w:val="28"/>
              </w:rPr>
              <w:t xml:space="preserve">🏢  MODULE 4 – ESPACE PROFESSIONNEL</w:t>
            </w:r>
          </w:p>
          <w:p>
            <w:pPr>
              <w:spacing w:after="0" w:before="0"/>
            </w:pPr>
            <w:r>
              <w:rPr>
                <w:rFonts w:ascii="Arial" w:cs="Arial" w:eastAsia="Arial" w:hAnsi="Arial"/>
                <w:i/>
                <w:iCs/>
                <w:color w:val="FFFFFF"/>
                <w:sz w:val="19"/>
                <w:szCs w:val="19"/>
              </w:rPr>
              <w:t xml:space="preserve">Espace réservé aux institutions et entreprises vérifiées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00"/>
              <w:left w:type="dxa" w:w="160"/>
              <w:bottom w:type="dxa" w:w="100"/>
              <w:right w:type="dxa" w:w="160"/>
            </w:tcMar>
          </w:tcPr>
          <w:p>
            <w:r>
              <w:rPr>
                <w:rFonts w:ascii="Arial" w:cs="Arial" w:eastAsia="Arial" w:hAnsi="Arial"/>
                <w:b/>
                <w:bCs/>
                <w:color w:val="FFFFFF"/>
                <w:sz w:val="22"/>
                <w:szCs w:val="22"/>
              </w:rPr>
              <w:t xml:space="preserve">4.1  Profil institutionnel &amp; offres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institution financière dispose d'une page profil officielle sur QPB, vérifiée et certifiée, présentant ses produits et ses coordonnées.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L'institution s'inscrit, soumet ses documents (agrément COBAC/COSUMAF, registre commerce, liste des produits). Après vérification par QPB, le profil est publié et mis en avant dans le listing.</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Admin institution : Espace pro → Gérer mon profil → Modifier les informations, ajouter/retirer des produits, voir les statistiques de visibilité.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(profils), S3 (documents), dashboard React.js, workflow de validation interne (statuts : soumis/en révision/validé/rejeté).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Preuve d'agrément COBAC (banques/EMF) ou COSUMAF (SDB/AM) obligatoire avant publication. Vérification manuelle par l'équipe QPB.</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Abonnement mensuel (plan Basic gratuit, plan Premium payant avec visibilité prioritaire).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00"/>
              <w:left w:type="dxa" w:w="160"/>
              <w:bottom w:type="dxa" w:w="100"/>
              <w:right w:type="dxa" w:w="160"/>
            </w:tcMar>
          </w:tcPr>
          <w:p>
            <w:r>
              <w:rPr>
                <w:rFonts w:ascii="Arial" w:cs="Arial" w:eastAsia="Arial" w:hAnsi="Arial"/>
                <w:b/>
                <w:bCs/>
                <w:color w:val="FFFFFF"/>
                <w:sz w:val="22"/>
                <w:szCs w:val="22"/>
              </w:rPr>
              <w:t xml:space="preserve">4.2  Dépôt de documents &amp; KYC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Permettre aux utilisateurs professionnels et particuliers de soumettre en ligne leurs documents d'identité et documents financiers pour validation (Know Your Customer).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L'utilisateur upload ses documents (CNI, RCCM, bilans…) depuis l'application. Les documents sont chiffrés et stockés. L'équipe QPB (ou un service tiers) vérifie l'authenticité. Le statut passe à « Vérifié » et des fonctionnalités avancées se débloquent.</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Compte → « Vérifier mon identité » → Uploader CNI recto/verso + justificatif de domicile → Attendre validation (24-48h) → Recevoir notification de validation.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AWS S3 / Cloudflare R2 (stockage sécurisé), chiffrement AES-256, Supabase Auth (gestion niveaux de vérification), optionnel : Smile Identity (OCR CNI africaine automatique).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Obligations LCB-FT (Lutte Contre le Blanchiment et le Financement du Terrorisme) COBAC. Règlement COBAC R-2005/01 sur le contrôle interne. Directive CEMAC sur la LCB-FT de 2016.</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Inclus dans l'abonnement. KYC renforcé facturé aux institutions.</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40"/>
              <w:left w:type="dxa" w:w="200"/>
              <w:bottom w:type="dxa" w:w="140"/>
              <w:right w:type="dxa" w:w="200"/>
            </w:tcMar>
          </w:tcPr>
          <w:p>
            <w:pPr>
              <w:spacing w:after="40" w:before="0"/>
            </w:pPr>
            <w:r>
              <w:rPr>
                <w:rFonts w:ascii="Arial" w:cs="Arial" w:eastAsia="Arial" w:hAnsi="Arial"/>
                <w:b/>
                <w:bCs/>
                <w:color w:val="FFFFFF"/>
                <w:sz w:val="28"/>
                <w:szCs w:val="28"/>
              </w:rPr>
              <w:t xml:space="preserve">🎮  MODULE 5 – APPRENTISSAGE &amp; GAMIFICATION</w:t>
            </w:r>
          </w:p>
          <w:p>
            <w:pPr>
              <w:spacing w:after="0" w:before="0"/>
            </w:pPr>
            <w:r>
              <w:rPr>
                <w:rFonts w:ascii="Arial" w:cs="Arial" w:eastAsia="Arial" w:hAnsi="Arial"/>
                <w:i/>
                <w:iCs/>
                <w:color w:val="FFFFFF"/>
                <w:sz w:val="19"/>
                <w:szCs w:val="19"/>
              </w:rPr>
              <w:t xml:space="preserve">Apprendre la finance par le jeu, sans risquer un seul franc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100"/>
              <w:left w:type="dxa" w:w="160"/>
              <w:bottom w:type="dxa" w:w="100"/>
              <w:right w:type="dxa" w:w="160"/>
            </w:tcMar>
          </w:tcPr>
          <w:p>
            <w:r>
              <w:rPr>
                <w:rFonts w:ascii="Arial" w:cs="Arial" w:eastAsia="Arial" w:hAnsi="Arial"/>
                <w:b/>
                <w:bCs/>
                <w:color w:val="FFFFFF"/>
                <w:sz w:val="22"/>
                <w:szCs w:val="22"/>
              </w:rPr>
              <w:t xml:space="preserve">5.1  Simulateur bourse &amp; trading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Un marché boursier fictif reprenant les vrais titres de la BVMAC et du DSX, avec de l'argent virtuel. L'utilisateur apprend à acheter, vendre, diversifier un portefeuille sans aucun risque financier.</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nouvel utilisateur reçoit 1 000 000 FCFA virtuels. Il peut acheter et vendre des titres aux cours réels ou légèrement décalés. Son portefeuille virtuel évolue en temps réel. Des défis hebdomadaires (« Meilleure performance du mois ») animent la compétition.</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S'inscrire ou se connecter. 2. Aller dans « Simulateur ». 3. Chercher un titre (ex : SAFACAM). 4. Définir la quantité et cliquer « Acheter ». 5. Suivre son portefeuille et comparer avec le classement général.</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(portefeuilles virtuels, ordres), WebSockets (cours temps réel), Redis (leaderboard), Next.js (interface).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Aucune réglementation spécifique car 100% fictif. Mention légale obligatoire : « Ceci est un simulateur. Les performances passées ne préjugent pas des résultats futurs. »</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Acquisition d'utilisateurs (freemium). Les meilleurs joueurs sont convertis en investisseurs réels.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100"/>
              <w:left w:type="dxa" w:w="160"/>
              <w:bottom w:type="dxa" w:w="100"/>
              <w:right w:type="dxa" w:w="160"/>
            </w:tcMar>
          </w:tcPr>
          <w:p>
            <w:r>
              <w:rPr>
                <w:rFonts w:ascii="Arial" w:cs="Arial" w:eastAsia="Arial" w:hAnsi="Arial"/>
                <w:b/>
                <w:bCs/>
                <w:color w:val="FFFFFF"/>
                <w:sz w:val="22"/>
                <w:szCs w:val="22"/>
              </w:rPr>
              <w:t xml:space="preserve">5.2  Badges, classements &amp; parcours pédagogiques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Principe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Gamifier l'apprentissage financier avec un système de points, badges et niveaux pour récompenser la progression et fidéliser les utilisateurs jeunes.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Fonctionnement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Chaque action sur la plateforme rapporte des points (lire un article, faire un webinaire, passer un quiz, réaliser une transaction simulée). Les points débloquent des badges (ex : « Premier acheteur », « Analyste Bronze »). Un classement général hebdomadaire et mensuel est publié.</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Utilisation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Mon espace → « Mes badges » : voir la progression. Classement → voir son rang parmi tous les utilisateurs. Parcours : suivre un programme structuré (Niveau 1 : bases, Niveau 2 : actions, Niveau 3 : obligations…).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Technologies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PostgreSQL (points, badges, progression), Redis (leaderboard temps réel), Next.js, Firebase Notifications (alertes de déblocage).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Réglementation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Aucune réglementation financière. Attention aux règles sur les jeux et concours (pas de prix en argent réel sans agrément de loterie).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Monétisation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Badges premium et contenus pédagogiques avancés en abonnement mensuel.</w:t>
            </w:r>
          </w:p>
        </w:tc>
      </w:tr>
    </w:tbl>
    <w:p>
      <w:pPr>
        <w:spacing w:after="60" w:before="60"/>
      </w:pPr>
      <w:r>
        <w:t xml:space="preserve"/>
      </w:r>
    </w:p>
    <w:p>
      <w:pPr>
        <w:spacing w:after="60" w:before="60"/>
      </w:pPr>
      <w:r>
        <w:t xml:space="preserve"/>
      </w:r>
    </w:p>
    <w:p>
      <w:r>
        <w:br w:type="page"/>
      </w:r>
    </w:p>
    <w:p>
      <w:pPr>
        <w:pStyle w:val="Heading1"/>
        <w:spacing w:after="180" w:before="400"/>
      </w:pPr>
      <w:r>
        <w:rPr>
          <w:rFonts w:ascii="Arial" w:cs="Arial" w:eastAsia="Arial" w:hAnsi="Arial"/>
          <w:b/>
          <w:bCs/>
          <w:color w:val="0D6E56"/>
          <w:sz w:val="30"/>
          <w:szCs w:val="30"/>
        </w:rPr>
        <w:t xml:space="preserve">3. Réglementation CEMAC Applicable</w:t>
      </w:r>
    </w:p>
    <w:p>
      <w:pPr>
        <w:spacing w:after="80" w:before="80"/>
      </w:pPr>
      <w:r>
        <w:rPr>
          <w:rFonts w:ascii="Arial" w:cs="Arial" w:eastAsia="Arial" w:hAnsi="Arial"/>
          <w:color w:val="222222"/>
          <w:sz w:val="19"/>
          <w:szCs w:val="19"/>
        </w:rPr>
        <w:t xml:space="preserve">La plateforme QPB opère dans un cadre réglementaire multi-institutionnel. Voici les textes, organes et obligations à respecter pour chaque activité.</w:t>
      </w:r>
    </w:p>
    <w:p>
      <w:pPr>
        <w:spacing w:after="60" w:before="60"/>
      </w:pPr>
      <w:r>
        <w:t xml:space="preserve"/>
      </w:r>
    </w:p>
    <w:p>
      <w:pPr>
        <w:pStyle w:val="Heading2"/>
        <w:spacing w:after="120" w:before="280"/>
      </w:pPr>
      <w:r>
        <w:rPr>
          <w:rFonts w:ascii="Arial" w:cs="Arial" w:eastAsia="Arial" w:hAnsi="Arial"/>
          <w:b/>
          <w:bCs/>
          <w:color w:val="185FA5"/>
          <w:sz w:val="24"/>
          <w:szCs w:val="24"/>
        </w:rPr>
        <w:t xml:space="preserve">3.1 Autorités de régulation concernées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COSUMAF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Commission de Surveillance du Marché Financier de l'Afrique Centrale. Supervise les SDB, AM, OPCVM, appels publics à l'épargne. Incontournable pour QPB.</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COBAC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Commission Bancaire de l'Afrique Centrale. Supervise les banques, établissements de crédit et microfinances (EMF). Régule les dépôts et les crédits.</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BVMAC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Bourse des Valeurs Mobilières de l'Afrique Centrale. Gère les opérations boursières. QPB devra passer par une SDB membre de la BVMAC pour exécuter les ordres.</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DSX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Douala Stock Exchange. Bourse camerounaise. Même logique que la BVMAC pour les titres cotés au Cameroun.</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BEAC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Banque des États de l'Afrique Centrale. Régule les flux de capitaux, la monnaie et les paiements. Impliquée pour la tokenisation et les paiements transfrontaliers.</w:t>
            </w:r>
          </w:p>
        </w:tc>
      </w:tr>
      <w:tr>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444441"/>
                <w:sz w:val="19"/>
                <w:szCs w:val="19"/>
              </w:rPr>
              <w:t xml:space="preserve">ANIF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Agence Nationale d'Investigation Financière (Cameroun). Destinataire des déclarations de soupçon dans le cadre LCB-FT.</w:t>
            </w:r>
          </w:p>
        </w:tc>
      </w:tr>
    </w:tbl>
    <w:p>
      <w:pPr>
        <w:spacing w:after="60" w:before="60"/>
      </w:pPr>
      <w:r>
        <w:t xml:space="preserve"/>
      </w:r>
    </w:p>
    <w:p>
      <w:pPr>
        <w:pStyle w:val="Heading2"/>
        <w:spacing w:after="120" w:before="280"/>
      </w:pPr>
      <w:r>
        <w:rPr>
          <w:rFonts w:ascii="Arial" w:cs="Arial" w:eastAsia="Arial" w:hAnsi="Arial"/>
          <w:b/>
          <w:bCs/>
          <w:color w:val="185FA5"/>
          <w:sz w:val="24"/>
          <w:szCs w:val="24"/>
        </w:rPr>
        <w:t xml:space="preserve">3.2 Textes réglementaires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19"/>
                <w:szCs w:val="19"/>
              </w:rPr>
              <w:t xml:space="preserve">Texte / Règlement</w:t>
            </w:r>
          </w:p>
        </w:tc>
        <w:tc>
          <w:tcPr>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19"/>
                <w:szCs w:val="19"/>
              </w:rPr>
              <w:t xml:space="preserve">Objet</w:t>
            </w:r>
          </w:p>
        </w:tc>
        <w:tc>
          <w:tcPr>
            <w:tcBorders>
              <w:top w:val="single" w:color="AAAAAA" w:sz="1"/>
              <w:left w:val="single" w:color="AAAAAA" w:sz="1"/>
              <w:bottom w:val="single" w:color="AAAAAA" w:sz="1"/>
              <w:right w:val="single" w:color="AAAAAA" w:sz="1"/>
            </w:tcBorders>
            <w:shd w:fill="993C1D" w:val="clear"/>
            <w:tcMar>
              <w:top w:type="dxa" w:w="80"/>
              <w:left w:type="dxa" w:w="120"/>
              <w:bottom w:type="dxa" w:w="80"/>
              <w:right w:type="dxa" w:w="120"/>
            </w:tcMar>
          </w:tcPr>
          <w:p>
            <w:r>
              <w:rPr>
                <w:rFonts w:ascii="Arial" w:cs="Arial" w:eastAsia="Arial" w:hAnsi="Arial"/>
                <w:b/>
                <w:bCs/>
                <w:color w:val="FFFFFF"/>
                <w:sz w:val="19"/>
                <w:szCs w:val="19"/>
              </w:rPr>
              <w:t xml:space="preserve">Concerne QPB sur</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Règlement COSUMAF n°01/04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Conditions d'exercice des métiers de marché (SDB, AM, dépositaires)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Fractionnement, FCP, Copy Investment</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Règlement COSUMAF n°06/09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Organismes de Placement Collectif en Valeurs Mobilières (OPCVM / FCP)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Module FCP, souscription en ligne</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Règlement COSUMAF n°02/04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Agences de notation de crédit en zone CEMAC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Module Rating</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Règlement COSUMAF financement participatif (en cours)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Crowdfunding : plafonds, agréments, protections investisseurs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Module Crowdfunding</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Convention COBAC R-2005/01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Contrôle interne et lutte contre le blanchiment (LCB-FT)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KYC, dépôt documents, mise en relation</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Directive CEMAC LCB-FT 2016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Obligations de vigilance, déclaration de soupçon, gel des avoirs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Tous modules avec transactions financières</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Instruction COBAC R-2009/01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Normes applicables aux établissements de microfinance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Mise en relation avec les EMF</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Règlement BEAC sur les paiements électroniques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Interopérabilité Mobile Money, licences d'établissement de paiement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Paiements Mobile Money (MTN, Orange)</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Code CIMA (assurances CEMAC)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Produits d'assurance-vie liés à l'épargne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Si QPB propose des produits d'épargne assurance</w:t>
            </w:r>
          </w:p>
        </w:tc>
      </w:tr>
      <w:tr>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Loi type OHADA / Acte uniforme sur les sûretés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Garanties, hypothèques liées aux financements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Module crowdlending, co-financement</w:t>
            </w:r>
          </w:p>
        </w:tc>
      </w:tr>
    </w:tbl>
    <w:p>
      <w:pPr>
        <w:spacing w:after="60" w:before="60"/>
      </w:pPr>
      <w:r>
        <w:t xml:space="preserve"/>
      </w:r>
    </w:p>
    <w:p>
      <w:pPr>
        <w:pStyle w:val="Heading2"/>
        <w:spacing w:after="120" w:before="280"/>
      </w:pPr>
      <w:r>
        <w:rPr>
          <w:rFonts w:ascii="Arial" w:cs="Arial" w:eastAsia="Arial" w:hAnsi="Arial"/>
          <w:b/>
          <w:bCs/>
          <w:color w:val="185FA5"/>
          <w:sz w:val="24"/>
          <w:szCs w:val="24"/>
        </w:rPr>
        <w:t xml:space="preserve">3.3 Agréments à obtenir pour QPB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444441"/>
                <w:sz w:val="19"/>
                <w:szCs w:val="19"/>
              </w:rPr>
              <w:t xml:space="preserve">Agrément COSUMAF (intermédiaire)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Pour référencer des produits financiers (FCP, actions) et mettre en relation avec des AM et SDB. QPB ne gère pas directement mais présente et oriente.</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444441"/>
                <w:sz w:val="19"/>
                <w:szCs w:val="19"/>
              </w:rPr>
              <w:t xml:space="preserve">Partenariat SDB agréée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Obligatoire pour exécuter des ordres boursiers (fractionnement, achat titres). QPB ne peut pas exécuter d'ordres sans passer par une SDB membre BVMAC/DSX.</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444441"/>
                <w:sz w:val="19"/>
                <w:szCs w:val="19"/>
              </w:rPr>
              <w:t xml:space="preserve">Licence établissement de paiement (BEAC)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 QPB collecte et distribue des fonds pour les campagnes de crowdfunding ou gère un wallet. Sinon, passer par un partenaire agréé (CinetPay, Bizao).</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444441"/>
                <w:sz w:val="19"/>
                <w:szCs w:val="19"/>
              </w:rPr>
              <w:t xml:space="preserve">Déclaration ANIF (Cameroun)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Enregistrement auprès de l'ANIF comme entité déclarante au titre de la LCB-FT dès que QPB traite des flux financiers.</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444441"/>
                <w:sz w:val="19"/>
                <w:szCs w:val="19"/>
              </w:rPr>
              <w:t xml:space="preserve">Enregistrement CNIL/DPA locale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Protection des données personnelles des utilisateurs. Déclaration auprès de l'autorité locale de protection des données (APDP Cameroun).</w:t>
            </w:r>
          </w:p>
        </w:tc>
      </w:tr>
    </w:tbl>
    <w:p>
      <w:pPr>
        <w:spacing w:after="60" w:before="60"/>
      </w:pPr>
      <w:r>
        <w:t xml:space="preserve"/>
      </w:r>
    </w:p>
    <w:p>
      <w:pPr>
        <w:pStyle w:val="Heading2"/>
        <w:spacing w:after="120" w:before="280"/>
      </w:pPr>
      <w:r>
        <w:rPr>
          <w:rFonts w:ascii="Arial" w:cs="Arial" w:eastAsia="Arial" w:hAnsi="Arial"/>
          <w:b/>
          <w:bCs/>
          <w:color w:val="185FA5"/>
          <w:sz w:val="24"/>
          <w:szCs w:val="24"/>
        </w:rPr>
        <w:t xml:space="preserve">3.4 Obligations opérationnelles permanentes</w:t>
      </w:r>
    </w:p>
    <w:p>
      <w:pPr>
        <w:pStyle w:val="ListParagraph"/>
        <w:numPr>
          <w:ilvl w:val="0"/>
          <w:numId w:val="2"/>
        </w:numPr>
        <w:spacing w:after="50" w:before="50"/>
      </w:pPr>
      <w:r>
        <w:rPr>
          <w:rFonts w:ascii="Arial" w:cs="Arial" w:eastAsia="Arial" w:hAnsi="Arial"/>
          <w:color w:val="222222"/>
          <w:sz w:val="19"/>
          <w:szCs w:val="19"/>
        </w:rPr>
        <w:t xml:space="preserve">Tenir un registre KYC à jour pour tous les utilisateurs effectuant des transactions financières réelles.</w:t>
      </w:r>
    </w:p>
    <w:p>
      <w:pPr>
        <w:pStyle w:val="ListParagraph"/>
        <w:numPr>
          <w:ilvl w:val="0"/>
          <w:numId w:val="2"/>
        </w:numPr>
        <w:spacing w:after="50" w:before="50"/>
      </w:pPr>
      <w:r>
        <w:rPr>
          <w:rFonts w:ascii="Arial" w:cs="Arial" w:eastAsia="Arial" w:hAnsi="Arial"/>
          <w:color w:val="222222"/>
          <w:sz w:val="19"/>
          <w:szCs w:val="19"/>
        </w:rPr>
        <w:t xml:space="preserve">Effectuer une veille réglementaire mensuelle (COSUMAF, COBAC, BEAC) et mettre à jour les processus en conséquence.</w:t>
      </w:r>
    </w:p>
    <w:p>
      <w:pPr>
        <w:pStyle w:val="ListParagraph"/>
        <w:numPr>
          <w:ilvl w:val="0"/>
          <w:numId w:val="2"/>
        </w:numPr>
        <w:spacing w:after="50" w:before="50"/>
      </w:pPr>
      <w:r>
        <w:rPr>
          <w:rFonts w:ascii="Arial" w:cs="Arial" w:eastAsia="Arial" w:hAnsi="Arial"/>
          <w:color w:val="222222"/>
          <w:sz w:val="19"/>
          <w:szCs w:val="19"/>
        </w:rPr>
        <w:t xml:space="preserve">Déclarer à l'ANIF toute transaction suspecte (montants inhabituels, incohérence entre profil et fonds).</w:t>
      </w:r>
    </w:p>
    <w:p>
      <w:pPr>
        <w:pStyle w:val="ListParagraph"/>
        <w:numPr>
          <w:ilvl w:val="0"/>
          <w:numId w:val="2"/>
        </w:numPr>
        <w:spacing w:after="50" w:before="50"/>
      </w:pPr>
      <w:r>
        <w:rPr>
          <w:rFonts w:ascii="Arial" w:cs="Arial" w:eastAsia="Arial" w:hAnsi="Arial"/>
          <w:color w:val="222222"/>
          <w:sz w:val="19"/>
          <w:szCs w:val="19"/>
        </w:rPr>
        <w:t xml:space="preserve">Conserver les données financières et KYC pendant minimum 10 ans (obligation CEMAC).</w:t>
      </w:r>
    </w:p>
    <w:p>
      <w:pPr>
        <w:pStyle w:val="ListParagraph"/>
        <w:numPr>
          <w:ilvl w:val="0"/>
          <w:numId w:val="2"/>
        </w:numPr>
        <w:spacing w:after="50" w:before="50"/>
      </w:pPr>
      <w:r>
        <w:rPr>
          <w:rFonts w:ascii="Arial" w:cs="Arial" w:eastAsia="Arial" w:hAnsi="Arial"/>
          <w:color w:val="222222"/>
          <w:sz w:val="19"/>
          <w:szCs w:val="19"/>
        </w:rPr>
        <w:t xml:space="preserve">Afficher sur toutes les pages financières les mentions légales obligatoires (risques, agréments, régulateur compétent).</w:t>
      </w:r>
    </w:p>
    <w:p>
      <w:pPr>
        <w:pStyle w:val="ListParagraph"/>
        <w:numPr>
          <w:ilvl w:val="0"/>
          <w:numId w:val="2"/>
        </w:numPr>
        <w:spacing w:after="50" w:before="50"/>
      </w:pPr>
      <w:r>
        <w:rPr>
          <w:rFonts w:ascii="Arial" w:cs="Arial" w:eastAsia="Arial" w:hAnsi="Arial"/>
          <w:color w:val="222222"/>
          <w:sz w:val="19"/>
          <w:szCs w:val="19"/>
        </w:rPr>
        <w:t xml:space="preserve">Produire un rapport annuel de conformité transmis au régulateur compétent.</w:t>
      </w:r>
    </w:p>
    <w:p>
      <w:pPr>
        <w:spacing w:after="60" w:before="60"/>
      </w:pPr>
      <w:r>
        <w:t xml:space="preserve"/>
      </w:r>
    </w:p>
    <w:p>
      <w:r>
        <w:br w:type="page"/>
      </w:r>
    </w:p>
    <w:p>
      <w:pPr>
        <w:pStyle w:val="Heading1"/>
        <w:spacing w:after="180" w:before="400"/>
      </w:pPr>
      <w:r>
        <w:rPr>
          <w:rFonts w:ascii="Arial" w:cs="Arial" w:eastAsia="Arial" w:hAnsi="Arial"/>
          <w:b/>
          <w:bCs/>
          <w:color w:val="0D6E56"/>
          <w:sz w:val="30"/>
          <w:szCs w:val="30"/>
        </w:rPr>
        <w:t xml:space="preserve">4. Feuille de Route de Développement</w:t>
      </w:r>
    </w:p>
    <w:p>
      <w:pPr>
        <w:spacing w:after="80" w:before="80"/>
      </w:pPr>
      <w:r>
        <w:rPr>
          <w:rFonts w:ascii="Arial" w:cs="Arial" w:eastAsia="Arial" w:hAnsi="Arial"/>
          <w:color w:val="222222"/>
          <w:sz w:val="19"/>
          <w:szCs w:val="19"/>
        </w:rPr>
        <w:t xml:space="preserve">Approche progressive : lancer rapidement les modules sans réglementation lourde, puis ouvrir les modules financiers réglementés au fur et à mesure des agréments obtenus.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Modules à livrer</w:t>
            </w:r>
          </w:p>
        </w:tc>
        <w:tc>
          <w:tcPr>
            <w:tcBorders>
              <w:top w:val="single" w:color="AAAAAA" w:sz="1"/>
              <w:left w:val="single" w:color="AAAAAA" w:sz="1"/>
              <w:bottom w:val="single" w:color="AAAAAA" w:sz="1"/>
              <w:right w:val="single" w:color="AAAAAA" w:sz="1"/>
            </w:tcBorders>
            <w:shd w:fill="0D6E56" w:val="clear"/>
            <w:tcMar>
              <w:top w:type="dxa" w:w="80"/>
              <w:left w:type="dxa" w:w="120"/>
              <w:bottom w:type="dxa" w:w="80"/>
              <w:right w:type="dxa" w:w="120"/>
            </w:tcMar>
          </w:tcPr>
          <w:p>
            <w:r>
              <w:rPr>
                <w:rFonts w:ascii="Arial" w:cs="Arial" w:eastAsia="Arial" w:hAnsi="Arial"/>
                <w:b/>
                <w:bCs/>
                <w:color w:val="FFFFFF"/>
                <w:sz w:val="19"/>
                <w:szCs w:val="19"/>
              </w:rPr>
              <w:t xml:space="preserve">Durée estimée</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Phase 1 – MVP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Listing acteurs, News/Actualités, Dashboard titres, Storytelling, Gamification/Simulateur, Webinaires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 à 4 mois</w:t>
            </w:r>
          </w:p>
        </w:tc>
      </w:tr>
      <w:tr>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BA7517"/>
                <w:sz w:val="19"/>
                <w:szCs w:val="19"/>
              </w:rPr>
              <w:t xml:space="preserve">Phase 2 – Mise en relation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Mise en relation EC/EMF/SDB, Rating, Crowdfunding dons, Orientation IA, Espace professionnel, KYC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4 à 6 mois</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9"/>
                <w:szCs w:val="19"/>
              </w:rPr>
              <w:t xml:space="preserve">Phase 3 – Investissement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Fractionnement de titres, FCP/souscription, Copy Investment, Crowdlending, Application mobile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5 à 8 mois</w:t>
            </w:r>
          </w:p>
        </w:tc>
      </w:tr>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19"/>
                <w:szCs w:val="19"/>
              </w:rPr>
              <w:t xml:space="preserve">Phase 4 – Blockchain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Tokenisation d'actifs, Smart contracts Polygon, Wallet intégré, Marché secondaire de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6 à 10 mois</w:t>
            </w:r>
          </w:p>
        </w:tc>
      </w:tr>
    </w:tbl>
    <w:p>
      <w:pPr>
        <w:spacing w:after="60" w:before="60"/>
      </w:pPr>
      <w:r>
        <w:t xml:space="preserve"/>
      </w:r>
    </w:p>
    <w:p>
      <w:pPr>
        <w:spacing w:after="60" w:before="60"/>
      </w:pPr>
      <w:r>
        <w:t xml:space="preserve"/>
      </w:r>
    </w:p>
    <w:p>
      <w:pPr>
        <w:pBdr>
          <w:top w:val="single" w:color="0D6E56" w:sz="4" w:space="1"/>
        </w:pBdr>
        <w:spacing w:after="80" w:before="200"/>
        <w:jc w:val="center"/>
      </w:pPr>
      <w:r>
        <w:rPr>
          <w:rFonts w:ascii="Arial" w:cs="Arial" w:eastAsia="Arial" w:hAnsi="Arial"/>
          <w:i/>
          <w:iCs/>
          <w:color w:val="0D6E56"/>
          <w:sz w:val="18"/>
          <w:szCs w:val="18"/>
        </w:rPr>
        <w:t xml:space="preserve">QPB – Construisons ensemble le marché financier de demain en Afrique centrale.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56" w:sz="4" w:space="1"/>
      </w:pBdr>
      <w:spacing w:after="0" w:before="100"/>
      <w:jc w:val="center"/>
    </w:pPr>
    <w:r>
      <w:rPr>
        <w:rFonts w:ascii="Arial" w:cs="Arial" w:eastAsia="Arial" w:hAnsi="Arial"/>
        <w:color w:val="888888"/>
        <w:sz w:val="16"/>
        <w:szCs w:val="16"/>
      </w:rPr>
      <w:t xml:space="preserve">Document confidentiel – QPB © 2025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56" w:sz="4" w:space="1"/>
      </w:pBdr>
      <w:spacing w:after="100" w:before="0"/>
    </w:pPr>
    <w:r>
      <w:rPr>
        <w:rFonts w:ascii="Arial" w:cs="Arial" w:eastAsia="Arial" w:hAnsi="Arial"/>
        <w:b/>
        <w:bCs/>
        <w:color w:val="0D6E56"/>
        <w:sz w:val="18"/>
        <w:szCs w:val="18"/>
      </w:rPr>
      <w:t xml:space="preserve">QPB – Fiche Technique Complète</w:t>
    </w:r>
    <w:r>
      <w:rPr>
        <w:rFonts w:ascii="Arial" w:cs="Arial" w:eastAsia="Arial" w:hAnsi="Arial"/>
        <w:color w:val="444441"/>
        <w:sz w:val="18"/>
        <w:szCs w:val="18"/>
      </w:rPr>
      <w:t xml:space="preserve">   |   Plateforme Financière CEMAC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D6E5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85FA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2026-05-04T13:24:49.633Z</dcterms:created>
  <dcterms:modified xsi:type="dcterms:W3CDTF">2026-05-04T13:24:49.653Z</dcterms:modified>
</cp:coreProperties>
</file>

<file path=docProps/custom.xml><?xml version="1.0" encoding="utf-8"?>
<Properties xmlns="http://schemas.openxmlformats.org/officeDocument/2006/custom-properties" xmlns:vt="http://schemas.openxmlformats.org/officeDocument/2006/docPropsVTypes"/>
</file>