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rPr>
        <w:t xml:space="preserve"/>
      </w:r>
    </w:p>
    <w:p>
      <w:pPr>
        <w:spacing w:after="80" w:before="0"/>
        <w:jc w:val="center"/>
      </w:pPr>
      <w:r>
        <w:rPr>
          <w:rFonts w:ascii="Arial" w:cs="Arial" w:eastAsia="Arial" w:hAnsi="Arial"/>
          <w:b/>
          <w:bCs/>
          <w:color w:val="1A7A4A"/>
          <w:sz w:val="96"/>
          <w:szCs w:val="96"/>
        </w:rPr>
        <w:t xml:space="preserve">QPB</w:t>
      </w:r>
    </w:p>
    <w:p>
      <w:pPr>
        <w:spacing w:after="480" w:before="0"/>
        <w:jc w:val="center"/>
      </w:pPr>
      <w:r>
        <w:rPr>
          <w:rFonts w:ascii="Arial" w:cs="Arial" w:eastAsia="Arial" w:hAnsi="Arial"/>
          <w:color w:val="344054"/>
          <w:sz w:val="28"/>
          <w:szCs w:val="28"/>
        </w:rPr>
        <w:t xml:space="preserve">Plateforme Financière Digitale – Zone CEMAC</w:t>
      </w:r>
    </w:p>
    <w:p>
      <w:pPr>
        <w:shd w:fill="1A7A4A" w:val="clear"/>
        <w:spacing w:after="200" w:before="200"/>
        <w:jc w:val="center"/>
      </w:pPr>
      <w:r>
        <w:rPr>
          <w:rFonts w:ascii="Arial" w:cs="Arial" w:eastAsia="Arial" w:hAnsi="Arial"/>
          <w:b/>
          <w:bCs/>
          <w:color w:val="FFFFFF"/>
          <w:sz w:val="40"/>
          <w:szCs w:val="40"/>
        </w:rPr>
        <w:t xml:space="preserve">ÉTUDE D'INTÉGRATION DE LA FINANCE ISLAMIQUE</w:t>
      </w:r>
    </w:p>
    <w:p>
      <w:pPr>
        <w:spacing w:after="600" w:before="200"/>
        <w:jc w:val="center"/>
      </w:pPr>
      <w:r>
        <w:rPr>
          <w:rFonts w:ascii="Arial" w:cs="Arial" w:eastAsia="Arial" w:hAnsi="Arial"/>
          <w:b/>
          <w:bCs/>
          <w:color w:val="C8972B"/>
          <w:sz w:val="24"/>
          <w:szCs w:val="24"/>
        </w:rPr>
        <w:t xml:space="preserve">Comment rendre QPB révolutionnaire grâce à la finance Charia-compatible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0D5DD" w:sz="4"/>
              <w:left w:val="single" w:color="D0D5DD" w:sz="4"/>
              <w:bottom w:val="single" w:color="D0D5DD" w:sz="4"/>
              <w:right w:val="single" w:color="D0D5DD" w:sz="4"/>
            </w:tcBorders>
            <w:shd w:fill="1A7A4A" w:val="clear"/>
            <w:tcMar>
              <w:top w:type="dxa" w:w="100"/>
              <w:left w:type="dxa" w:w="160"/>
              <w:bottom w:type="dxa" w:w="100"/>
              <w:right w:type="dxa" w:w="160"/>
            </w:tcMar>
          </w:tcPr>
          <w:p>
            <w:pPr>
              <w:spacing w:after="60" w:before="60"/>
            </w:pPr>
            <w:r>
              <w:rPr>
                <w:rFonts w:ascii="Arial" w:cs="Arial" w:eastAsia="Arial" w:hAnsi="Arial"/>
                <w:b/>
                <w:bCs/>
                <w:color w:val="FFFFFF"/>
                <w:sz w:val="20"/>
                <w:szCs w:val="20"/>
              </w:rPr>
              <w:t xml:space="preserve"/>
            </w:r>
          </w:p>
        </w:tc>
        <w:tc>
          <w:tcPr>
            <w:tcW w:type="dxa" w:w="7360"/>
            <w:tcBorders>
              <w:top w:val="single" w:color="D0D5DD" w:sz="4"/>
              <w:left w:val="single" w:color="D0D5DD" w:sz="4"/>
              <w:bottom w:val="single" w:color="D0D5DD" w:sz="4"/>
              <w:right w:val="single" w:color="D0D5DD" w:sz="4"/>
            </w:tcBorders>
            <w:shd w:fill="1A7A4A" w:val="clear"/>
            <w:tcMar>
              <w:top w:type="dxa" w:w="100"/>
              <w:left w:type="dxa" w:w="160"/>
              <w:bottom w:type="dxa" w:w="100"/>
              <w:right w:type="dxa" w:w="160"/>
            </w:tcMar>
          </w:tcPr>
          <w:p>
            <w:pPr>
              <w:spacing w:after="60" w:before="60"/>
            </w:pPr>
            <w:r>
              <w:rPr>
                <w:rFonts w:ascii="Arial" w:cs="Arial" w:eastAsia="Arial" w:hAnsi="Arial"/>
                <w:b/>
                <w:bCs/>
                <w:color w:val="FFFFFF"/>
                <w:sz w:val="20"/>
                <w:szCs w:val="20"/>
              </w:rPr>
              <w:t xml:space="preserve"/>
            </w:r>
          </w:p>
        </w:tc>
      </w:tr>
      <w:tr>
        <w:tc>
          <w:tcPr>
            <w:tcW w:type="dxa" w:w="20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 Auteur</w:t>
            </w:r>
          </w:p>
        </w:tc>
        <w:tc>
          <w:tcPr>
            <w:tcW w:type="dxa" w:w="736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Roberto Wafo Mopouong – Expert Financier CEMAC</w:t>
            </w:r>
          </w:p>
        </w:tc>
      </w:tr>
      <w:tr>
        <w:tc>
          <w:tcPr>
            <w:tcW w:type="dxa" w:w="20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 Date</w:t>
            </w:r>
          </w:p>
        </w:tc>
        <w:tc>
          <w:tcPr>
            <w:tcW w:type="dxa" w:w="736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Mai 2026</w:t>
            </w:r>
          </w:p>
        </w:tc>
      </w:tr>
      <w:tr>
        <w:tc>
          <w:tcPr>
            <w:tcW w:type="dxa" w:w="20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 Projet</w:t>
            </w:r>
          </w:p>
        </w:tc>
        <w:tc>
          <w:tcPr>
            <w:tcW w:type="dxa" w:w="736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QPB – Quelle Petite Bourse (Plateforme Financière Digitale)</w:t>
            </w:r>
          </w:p>
        </w:tc>
      </w:tr>
      <w:tr>
        <w:tc>
          <w:tcPr>
            <w:tcW w:type="dxa" w:w="20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 Version</w:t>
            </w:r>
          </w:p>
        </w:tc>
        <w:tc>
          <w:tcPr>
            <w:tcW w:type="dxa" w:w="736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1.0 – Confidentiel</w:t>
            </w:r>
          </w:p>
        </w:tc>
      </w:tr>
    </w:tbl>
    <w:p>
      <w:r>
        <w:br w:type="page"/>
      </w:r>
    </w:p>
    <w:p>
      <w:pPr>
        <w:pStyle w:val="Heading1"/>
        <w:shd w:fill="1A7A4A" w:val="clear"/>
        <w:spacing w:after="200" w:before="360"/>
        <w:ind w:left="0" w:right="0"/>
      </w:pPr>
      <w:r>
        <w:rPr>
          <w:rFonts w:ascii="Arial" w:cs="Arial" w:eastAsia="Arial" w:hAnsi="Arial"/>
          <w:b/>
          <w:bCs/>
          <w:color w:val="FFFFFF"/>
          <w:sz w:val="36"/>
          <w:szCs w:val="36"/>
        </w:rPr>
        <w:t xml:space="preserve">Résumé Exécutif</w:t>
      </w:r>
    </w:p>
    <w:p>
      <w:pPr>
        <w:spacing w:after="80" w:before="80"/>
      </w:pPr>
      <w:r>
        <w:rPr>
          <w:rFonts w:ascii="Arial" w:cs="Arial" w:eastAsia="Arial" w:hAnsi="Arial"/>
          <w:color w:val="344054"/>
          <w:sz w:val="22"/>
          <w:szCs w:val="22"/>
        </w:rPr>
        <w:t xml:space="preserve">QPB est une plateforme financière digitale conçue pour révolutionner les marchés de capitaux de la zone CEMAC en connectant établissements de crédit, institutions de microfinance, sociétés de bourse et épargnants. Elle propose des fonctionnalités de tokenisation, fractionnement de titres, crowdfunding, FCP, copy investment et gamification financière.</w:t>
      </w:r>
    </w:p>
    <w:p>
      <w:pPr>
        <w:spacing w:after="80" w:before="80"/>
      </w:pPr>
      <w:r>
        <w:rPr>
          <w:rFonts w:ascii="Arial" w:cs="Arial" w:eastAsia="Arial" w:hAnsi="Arial"/>
          <w:color w:val="344054"/>
          <w:sz w:val="22"/>
          <w:szCs w:val="22"/>
        </w:rPr>
        <w:t xml:space="preserve">La présente étude analyse l'opportunité stratégique d'intégrer une couche de finance islamique (Charia-compatible) dans l'écosystème QPB. Avec une population musulmane représentant entre 25 et 55 % selon les pays de la zone CEMAC, et un marché mondial de la finance islamique dépassant 4 000 milliards USD en 2024, cet ajout constitue un levier de différenciation majeur et d'inclusion financière considérable.</w:t>
      </w:r>
    </w:p>
    <w:p>
      <w:pPr>
        <w:spacing w:after="80" w:before="160"/>
      </w:pPr>
      <w:r>
        <w:rPr>
          <w:rFonts w:ascii="Arial" w:cs="Arial" w:eastAsia="Arial" w:hAnsi="Arial"/>
          <w:b/>
          <w:bCs/>
          <w:color w:val="1A7A4A"/>
          <w:sz w:val="22"/>
          <w:szCs w:val="22"/>
        </w:rPr>
        <w:t xml:space="preserve">Conclusions clés de l'étude :</w:t>
      </w:r>
    </w:p>
    <w:p>
      <w:pPr>
        <w:pStyle w:val="ListParagraph"/>
        <w:numPr>
          <w:ilvl w:val="0"/>
          <w:numId w:val="2"/>
        </w:numPr>
        <w:spacing w:after="60" w:before="60"/>
      </w:pPr>
      <w:r>
        <w:rPr>
          <w:rFonts w:ascii="Arial" w:cs="Arial" w:eastAsia="Arial" w:hAnsi="Arial"/>
          <w:color w:val="344054"/>
          <w:sz w:val="22"/>
          <w:szCs w:val="22"/>
        </w:rPr>
        <w:t xml:space="preserve">7 produits islamiques directement applicables aux modules QPB existants : Sukuk, Mourabaha, Moucharaka, Moudharaba, Ijara, Qard Hassan, Takaful</w:t>
      </w:r>
    </w:p>
    <w:p>
      <w:pPr>
        <w:pStyle w:val="ListParagraph"/>
        <w:numPr>
          <w:ilvl w:val="0"/>
          <w:numId w:val="2"/>
        </w:numPr>
        <w:spacing w:after="60" w:before="60"/>
      </w:pPr>
      <w:r>
        <w:rPr>
          <w:rFonts w:ascii="Arial" w:cs="Arial" w:eastAsia="Arial" w:hAnsi="Arial"/>
          <w:color w:val="344054"/>
          <w:sz w:val="22"/>
          <w:szCs w:val="22"/>
        </w:rPr>
        <w:t xml:space="preserve">Le cadre réglementaire CEMAC 2025-2026 ouvre la voie à la tokenisation de Sukuk via le règlement DEEP, en vigueur depuis janvier 2026</w:t>
      </w:r>
    </w:p>
    <w:p>
      <w:pPr>
        <w:pStyle w:val="ListParagraph"/>
        <w:numPr>
          <w:ilvl w:val="0"/>
          <w:numId w:val="2"/>
        </w:numPr>
        <w:spacing w:after="60" w:before="60"/>
      </w:pPr>
      <w:r>
        <w:rPr>
          <w:rFonts w:ascii="Arial" w:cs="Arial" w:eastAsia="Arial" w:hAnsi="Arial"/>
          <w:color w:val="344054"/>
          <w:sz w:val="22"/>
          <w:szCs w:val="22"/>
        </w:rPr>
        <w:t xml:space="preserve">Un potentiel de marché non adressé estimé à plusieurs dizaines de milliards FCFA en zone CEMAC, sans concurrent direct</w:t>
      </w:r>
    </w:p>
    <w:p>
      <w:pPr>
        <w:pStyle w:val="ListParagraph"/>
        <w:numPr>
          <w:ilvl w:val="0"/>
          <w:numId w:val="2"/>
        </w:numPr>
        <w:spacing w:after="60" w:before="60"/>
      </w:pPr>
      <w:r>
        <w:rPr>
          <w:rFonts w:ascii="Arial" w:cs="Arial" w:eastAsia="Arial" w:hAnsi="Arial"/>
          <w:color w:val="344054"/>
          <w:sz w:val="22"/>
          <w:szCs w:val="22"/>
        </w:rPr>
        <w:t xml:space="preserve">Une stratégie en 4 phases permettant une intégration progressive, sécurisée et conforme à la réglementation COSUMAF/COBAC</w:t>
      </w:r>
    </w:p>
    <w:p>
      <w:pPr>
        <w:pStyle w:val="ListParagraph"/>
        <w:numPr>
          <w:ilvl w:val="0"/>
          <w:numId w:val="2"/>
        </w:numPr>
        <w:spacing w:after="60" w:before="60"/>
      </w:pPr>
      <w:r>
        <w:rPr>
          <w:rFonts w:ascii="Arial" w:cs="Arial" w:eastAsia="Arial" w:hAnsi="Arial"/>
          <w:color w:val="344054"/>
          <w:sz w:val="22"/>
          <w:szCs w:val="22"/>
        </w:rPr>
        <w:t xml:space="preserve">Des limites réelles : absence de cadre Charia spécifique COSUMAF, rareté de scholars islamiques francophones, marché encore peu profond</w:t>
      </w:r>
    </w:p>
    <w:p>
      <w:pPr>
        <w:pBdr>
          <w:bottom w:val="single" w:color="1A7A4A" w:sz="4" w:space="1"/>
        </w:pBdr>
        <w:spacing w:after="120" w:before="120"/>
      </w:pPr>
      <w:r>
        <w:rPr>
          <w:rFonts w:ascii="Arial" w:cs="Arial" w:eastAsia="Arial" w:hAnsi="Arial"/>
        </w:rPr>
        <w:t xml:space="preserve"/>
      </w:r>
    </w:p>
    <w:p>
      <w:r>
        <w:br w:type="page"/>
      </w:r>
    </w:p>
    <w:p>
      <w:pPr>
        <w:pStyle w:val="Heading1"/>
        <w:shd w:fill="1A7A4A" w:val="clear"/>
        <w:spacing w:after="200" w:before="360"/>
        <w:ind w:left="0" w:right="0"/>
      </w:pPr>
      <w:r>
        <w:rPr>
          <w:rFonts w:ascii="Arial" w:cs="Arial" w:eastAsia="Arial" w:hAnsi="Arial"/>
          <w:b/>
          <w:bCs/>
          <w:color w:val="FFFFFF"/>
          <w:sz w:val="36"/>
          <w:szCs w:val="36"/>
        </w:rPr>
        <w:t xml:space="preserve">1. Contexte : QPB et la Zone CEMAC</w:t>
      </w:r>
    </w:p>
    <w:p>
      <w:pPr>
        <w:pStyle w:val="Heading2"/>
        <w:pBdr>
          <w:bottom w:val="single" w:color="C8972B" w:sz="6" w:space="2"/>
        </w:pBdr>
        <w:spacing w:after="120" w:before="280"/>
      </w:pPr>
      <w:r>
        <w:rPr>
          <w:rFonts w:ascii="Arial" w:cs="Arial" w:eastAsia="Arial" w:hAnsi="Arial"/>
          <w:b/>
          <w:bCs/>
          <w:color w:val="1A7A4A"/>
          <w:sz w:val="28"/>
          <w:szCs w:val="28"/>
        </w:rPr>
        <w:t xml:space="preserve">1.1 Le projet QPB en bref</w:t>
      </w:r>
    </w:p>
    <w:p>
      <w:pPr>
        <w:spacing w:after="80" w:before="80"/>
      </w:pPr>
      <w:r>
        <w:rPr>
          <w:rFonts w:ascii="Arial" w:cs="Arial" w:eastAsia="Arial" w:hAnsi="Arial"/>
          <w:color w:val="344054"/>
          <w:sz w:val="22"/>
          <w:szCs w:val="22"/>
        </w:rPr>
        <w:t xml:space="preserve">QPB est structurée autour de 6 modules principaux : (1) Découverte &amp; Information regroupant le dashboard des titres, les news et le storytelling ; (2) Mise en relation pour les appels d'offres, le rating et le crowdfunding ; (3) Investissement &amp; Épargne avec la tokenisation blockchain sur Polygon, le fractionnement de titres, les FCP et le copy investment ; (4) l'Espace Professionnel pour le KYC et les profils institutionnels ; (5) l'Apprentissage &amp; Gamification avec le simulateur boursier, les badges et les quiz ; et (6) l'Administration back-office.</w:t>
      </w:r>
    </w:p>
    <w:p>
      <w:pPr>
        <w:spacing w:after="80" w:before="80"/>
      </w:pPr>
      <w:r>
        <w:rPr>
          <w:rFonts w:ascii="Arial" w:cs="Arial" w:eastAsia="Arial" w:hAnsi="Arial"/>
          <w:color w:val="344054"/>
          <w:sz w:val="22"/>
          <w:szCs w:val="22"/>
        </w:rPr>
        <w:t xml:space="preserve">La plateforme ambitionne de devenir la première infrastructure numérique unifiée des marchés financiers CEMAC, adossée à la blockchain Polygon, compatible avec les réglementations COSUMAF, COBAC et BEAC, et pensée pour rendre l'investissement accessible à tous, du grand investisseur institutionnel au jeune étudiant camerounais avec 5 000 FCFA.</w:t>
      </w:r>
    </w:p>
    <w:p>
      <w:pPr>
        <w:pStyle w:val="Heading2"/>
        <w:pBdr>
          <w:bottom w:val="single" w:color="C8972B" w:sz="6" w:space="2"/>
        </w:pBdr>
        <w:spacing w:after="120" w:before="280"/>
      </w:pPr>
      <w:r>
        <w:rPr>
          <w:rFonts w:ascii="Arial" w:cs="Arial" w:eastAsia="Arial" w:hAnsi="Arial"/>
          <w:b/>
          <w:bCs/>
          <w:color w:val="1A7A4A"/>
          <w:sz w:val="28"/>
          <w:szCs w:val="28"/>
        </w:rPr>
        <w:t xml:space="preserve">1.2 Le contexte de la finance islamique en zone CEMAC</w:t>
      </w:r>
    </w:p>
    <w:p>
      <w:pPr>
        <w:spacing w:after="80" w:before="80"/>
      </w:pPr>
      <w:r>
        <w:rPr>
          <w:rFonts w:ascii="Arial" w:cs="Arial" w:eastAsia="Arial" w:hAnsi="Arial"/>
          <w:color w:val="344054"/>
          <w:sz w:val="22"/>
          <w:szCs w:val="22"/>
        </w:rPr>
        <w:t xml:space="preserve">La zone CEMAC compte une proportion significative de population musulmane : le Tchad dépasse 55 %, la Centrafrique approche 15 %, et le Cameroun tourne autour de 20 à 25 %. Pourtant, la finance islamique y reste quasi inexistante en termes d'offre structurée et numérique.</w:t>
      </w:r>
    </w:p>
    <w:p>
      <w:pPr>
        <w:spacing w:after="80" w:before="80"/>
      </w:pPr>
      <w:r>
        <w:rPr>
          <w:rFonts w:ascii="Arial" w:cs="Arial" w:eastAsia="Arial" w:hAnsi="Arial"/>
          <w:color w:val="344054"/>
          <w:sz w:val="22"/>
          <w:szCs w:val="22"/>
        </w:rPr>
        <w:t xml:space="preserve">Aucune banque purement islamique n'est agréée COBAC à ce jour. Quelques établissements proposent des Islamic Windows de manière informelle. Le marché financier régional BVMAC/DSX n'a jamais émis de Sukuk. Les populations musulmanes aisancisent souvent leurs économies hors du système bancaire formel ou investissent hors zone, faute d'offres Charia-compatibles disponibles localement.</w:t>
      </w:r>
    </w:p>
    <w:p>
      <w:pPr>
        <w:spacing w:after="80" w:before="80"/>
      </w:pPr>
      <w:r>
        <w:rPr>
          <w:rFonts w:ascii="Arial" w:cs="Arial" w:eastAsia="Arial" w:hAnsi="Arial"/>
          <w:color w:val="344054"/>
          <w:sz w:val="22"/>
          <w:szCs w:val="22"/>
        </w:rPr>
        <w:t xml:space="preserve">C'est précisément ce vide structurel que QPB peut combler, en devenant le premier agrégateur de finance islamique numérique structuré en zone CEMAC.</w:t>
      </w:r>
    </w:p>
    <w:p>
      <w:pPr>
        <w:pStyle w:val="Heading2"/>
        <w:pBdr>
          <w:bottom w:val="single" w:color="C8972B" w:sz="6" w:space="2"/>
        </w:pBdr>
        <w:spacing w:after="120" w:before="280"/>
      </w:pPr>
      <w:r>
        <w:rPr>
          <w:rFonts w:ascii="Arial" w:cs="Arial" w:eastAsia="Arial" w:hAnsi="Arial"/>
          <w:b/>
          <w:bCs/>
          <w:color w:val="1A7A4A"/>
          <w:sz w:val="28"/>
          <w:szCs w:val="28"/>
        </w:rPr>
        <w:t xml:space="preserve">1.3 La finance islamique mondiale : chiffres clés</w:t>
      </w:r>
    </w:p>
    <w:p>
      <w:pPr>
        <w:spacing w:after="80" w:before="80"/>
      </w:pPr>
      <w:r>
        <w:rPr>
          <w:rFonts w:ascii="Arial" w:cs="Arial" w:eastAsia="Arial" w:hAnsi="Arial"/>
          <w:color w:val="344054"/>
          <w:sz w:val="22"/>
          <w:szCs w:val="22"/>
        </w:rPr>
        <w:t xml:space="preserve">Le marché mondial de la finance islamique a dépassé 4 000 milliards USD d'actifs en 2024 selon le Conseil des Services Financiers Islamiques (IFSB). Les Sukuk représentent le segment le plus dynamique avec plus de 800 milliards USD d'émissions cumulatives. L'Afrique subsaharienne capte moins de 1 % de ce marché mondial, laissant un potentiel considérable inexploité — et QPB peut en capturer une part significative.</w:t>
      </w:r>
    </w:p>
    <w:p>
      <w:pPr>
        <w:shd w:fill="1A7A4A" w:val="clear"/>
        <w:spacing w:after="80" w:before="80"/>
        <w:ind w:left="120" w:right="120"/>
      </w:pPr>
      <w:r>
        <w:rPr>
          <w:rFonts w:ascii="Arial" w:cs="Arial" w:eastAsia="Arial" w:hAnsi="Arial"/>
          <w:b/>
          <w:bCs/>
          <w:color w:val="FFFFFF"/>
          <w:sz w:val="22"/>
          <w:szCs w:val="22"/>
        </w:rPr>
        <w:t xml:space="preserve">Pourquoi c'est le bon moment pour QPB</w:t>
      </w:r>
    </w:p>
    <w:p>
      <w:pPr>
        <w:shd w:fill="EAF7EF" w:val="clear"/>
        <w:spacing w:after="60" w:before="60"/>
        <w:ind w:left="200" w:right="120"/>
      </w:pPr>
      <w:r>
        <w:rPr>
          <w:rFonts w:ascii="Arial" w:cs="Arial" w:eastAsia="Arial" w:hAnsi="Arial"/>
          <w:color w:val="344054"/>
          <w:sz w:val="20"/>
          <w:szCs w:val="20"/>
        </w:rPr>
        <w:t xml:space="preserve">• Le règlement CEMAC 2025 sur les DEEP légalise la tokenisation de titres, y compris de Sukuk, depuis janvier 2026</w:t>
      </w:r>
    </w:p>
    <w:p>
      <w:pPr>
        <w:shd w:fill="EAF7EF" w:val="clear"/>
        <w:spacing w:after="60" w:before="60"/>
        <w:ind w:left="200" w:right="120"/>
      </w:pPr>
      <w:r>
        <w:rPr>
          <w:rFonts w:ascii="Arial" w:cs="Arial" w:eastAsia="Arial" w:hAnsi="Arial"/>
          <w:color w:val="344054"/>
          <w:sz w:val="20"/>
          <w:szCs w:val="20"/>
        </w:rPr>
        <w:t xml:space="preserve">• La COSUMAF a défini les jetons numériques comme biens incorporels représentant des droits — compatible avec la définition des Sukuk</w:t>
      </w:r>
    </w:p>
    <w:p>
      <w:pPr>
        <w:shd w:fill="EAF7EF" w:val="clear"/>
        <w:spacing w:after="60" w:before="60"/>
        <w:ind w:left="200" w:right="120"/>
      </w:pPr>
      <w:r>
        <w:rPr>
          <w:rFonts w:ascii="Arial" w:cs="Arial" w:eastAsia="Arial" w:hAnsi="Arial"/>
          <w:color w:val="344054"/>
          <w:sz w:val="20"/>
          <w:szCs w:val="20"/>
        </w:rPr>
        <w:t xml:space="preserve">• Le marché des titres publics CEMAC est en forte croissance, créant un terrain fertile aux Sukuk souverains et corporate</w:t>
      </w:r>
    </w:p>
    <w:p>
      <w:pPr>
        <w:shd w:fill="EAF7EF" w:val="clear"/>
        <w:spacing w:after="60" w:before="60"/>
        <w:ind w:left="200" w:right="120"/>
      </w:pPr>
      <w:r>
        <w:rPr>
          <w:rFonts w:ascii="Arial" w:cs="Arial" w:eastAsia="Arial" w:hAnsi="Arial"/>
          <w:color w:val="344054"/>
          <w:sz w:val="20"/>
          <w:szCs w:val="20"/>
        </w:rPr>
        <w:t xml:space="preserve">• Aucun concurrent digital n'a encore positionné la finance islamique en CEMAC — avantage first mover total</w:t>
      </w:r>
    </w:p>
    <w:p>
      <w:pPr>
        <w:shd w:fill="EAF7EF" w:val="clear"/>
        <w:spacing w:after="60" w:before="60"/>
        <w:ind w:left="200" w:right="120"/>
      </w:pPr>
      <w:r>
        <w:rPr>
          <w:rFonts w:ascii="Arial" w:cs="Arial" w:eastAsia="Arial" w:hAnsi="Arial"/>
          <w:color w:val="344054"/>
          <w:sz w:val="20"/>
          <w:szCs w:val="20"/>
        </w:rPr>
        <w:t xml:space="preserve">• La Banque Islamique de Développement (IsDB) dispose de programmes d'appui aux fintech africaines : opportunité de co-financement</w:t>
      </w:r>
    </w:p>
    <w:p>
      <w:pPr>
        <w:shd w:fill="EAF7EF" w:val="clear"/>
        <w:spacing w:after="0" w:before="60"/>
      </w:pPr>
      <w:r>
        <w:rPr>
          <w:rFonts w:ascii="Arial" w:cs="Arial" w:eastAsia="Arial" w:hAnsi="Arial"/>
        </w:rPr>
        <w:t xml:space="preserve"/>
      </w:r>
    </w:p>
    <w:p>
      <w:pPr>
        <w:pBdr>
          <w:bottom w:val="single" w:color="D0D5DD" w:sz="4" w:space="1"/>
        </w:pBdr>
        <w:spacing w:after="120" w:before="120"/>
      </w:pPr>
      <w:r>
        <w:rPr>
          <w:rFonts w:ascii="Arial" w:cs="Arial" w:eastAsia="Arial" w:hAnsi="Arial"/>
        </w:rPr>
        <w:t xml:space="preserve"/>
      </w:r>
    </w:p>
    <w:p>
      <w:r>
        <w:br w:type="page"/>
      </w:r>
    </w:p>
    <w:p>
      <w:pPr>
        <w:pStyle w:val="Heading1"/>
        <w:shd w:fill="1A7A4A" w:val="clear"/>
        <w:spacing w:after="200" w:before="360"/>
        <w:ind w:left="0" w:right="0"/>
      </w:pPr>
      <w:r>
        <w:rPr>
          <w:rFonts w:ascii="Arial" w:cs="Arial" w:eastAsia="Arial" w:hAnsi="Arial"/>
          <w:b/>
          <w:bCs/>
          <w:color w:val="FFFFFF"/>
          <w:sz w:val="36"/>
          <w:szCs w:val="36"/>
        </w:rPr>
        <w:t xml:space="preserve">2. Produits Islamiques Applicables à QPB</w:t>
      </w:r>
    </w:p>
    <w:p>
      <w:pPr>
        <w:pStyle w:val="Heading2"/>
        <w:pBdr>
          <w:bottom w:val="single" w:color="C8972B" w:sz="6" w:space="2"/>
        </w:pBdr>
        <w:spacing w:after="120" w:before="280"/>
      </w:pPr>
      <w:r>
        <w:rPr>
          <w:rFonts w:ascii="Arial" w:cs="Arial" w:eastAsia="Arial" w:hAnsi="Arial"/>
          <w:b/>
          <w:bCs/>
          <w:color w:val="1A7A4A"/>
          <w:sz w:val="28"/>
          <w:szCs w:val="28"/>
        </w:rPr>
        <w:t xml:space="preserve">2.1 Matrice de compatibilité produits × modules QPB</w:t>
      </w:r>
    </w:p>
    <w:p>
      <w:pPr>
        <w:spacing w:after="80" w:before="80"/>
      </w:pPr>
      <w:r>
        <w:rPr>
          <w:rFonts w:ascii="Arial" w:cs="Arial" w:eastAsia="Arial" w:hAnsi="Arial"/>
          <w:color w:val="344054"/>
          <w:sz w:val="22"/>
          <w:szCs w:val="22"/>
        </w:rPr>
        <w:t xml:space="preserve">Le tableau suivant présente les 7 produits islamiques les plus pertinents pour QPB, leur principe Charia, leur application concrète sur la plateforme et leur potentiel en zone CEMAC.</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100"/>
        <w:gridCol w:w="1760"/>
        <w:gridCol w:w="1900"/>
      </w:tblGrid>
      <w:tr>
        <w:trPr>
          <w:tblHeader/>
        </w:trPr>
        <w:tc>
          <w:tcPr>
            <w:tcW w:type="dxa" w:w="1500"/>
            <w:tcBorders>
              <w:top w:val="single" w:color="D0D5DD" w:sz="4"/>
              <w:left w:val="single" w:color="D0D5DD" w:sz="4"/>
              <w:bottom w:val="single" w:color="D0D5DD" w:sz="4"/>
              <w:right w:val="single" w:color="D0D5DD" w:sz="4"/>
            </w:tcBorders>
            <w:shd w:fill="1A7A4A" w:val="clear"/>
            <w:tcMar>
              <w:top w:type="dxa" w:w="100"/>
              <w:left w:type="dxa" w:w="160"/>
              <w:bottom w:type="dxa" w:w="100"/>
              <w:right w:type="dxa" w:w="160"/>
            </w:tcMar>
          </w:tcPr>
          <w:p>
            <w:pPr>
              <w:spacing w:after="60" w:before="60"/>
            </w:pPr>
            <w:r>
              <w:rPr>
                <w:rFonts w:ascii="Arial" w:cs="Arial" w:eastAsia="Arial" w:hAnsi="Arial"/>
                <w:b/>
                <w:bCs/>
                <w:color w:val="FFFFFF"/>
                <w:sz w:val="20"/>
                <w:szCs w:val="20"/>
              </w:rPr>
              <w:t xml:space="preserve">Produit</w:t>
            </w:r>
          </w:p>
        </w:tc>
        <w:tc>
          <w:tcPr>
            <w:tcW w:type="dxa" w:w="2100"/>
            <w:tcBorders>
              <w:top w:val="single" w:color="D0D5DD" w:sz="4"/>
              <w:left w:val="single" w:color="D0D5DD" w:sz="4"/>
              <w:bottom w:val="single" w:color="D0D5DD" w:sz="4"/>
              <w:right w:val="single" w:color="D0D5DD" w:sz="4"/>
            </w:tcBorders>
            <w:shd w:fill="1A7A4A" w:val="clear"/>
            <w:tcMar>
              <w:top w:type="dxa" w:w="100"/>
              <w:left w:type="dxa" w:w="160"/>
              <w:bottom w:type="dxa" w:w="100"/>
              <w:right w:type="dxa" w:w="160"/>
            </w:tcMar>
          </w:tcPr>
          <w:p>
            <w:pPr>
              <w:spacing w:after="60" w:before="60"/>
            </w:pPr>
            <w:r>
              <w:rPr>
                <w:rFonts w:ascii="Arial" w:cs="Arial" w:eastAsia="Arial" w:hAnsi="Arial"/>
                <w:b/>
                <w:bCs/>
                <w:color w:val="FFFFFF"/>
                <w:sz w:val="20"/>
                <w:szCs w:val="20"/>
              </w:rPr>
              <w:t xml:space="preserve">Principe Islamique</w:t>
            </w:r>
          </w:p>
        </w:tc>
        <w:tc>
          <w:tcPr>
            <w:tcW w:type="dxa" w:w="2100"/>
            <w:tcBorders>
              <w:top w:val="single" w:color="D0D5DD" w:sz="4"/>
              <w:left w:val="single" w:color="D0D5DD" w:sz="4"/>
              <w:bottom w:val="single" w:color="D0D5DD" w:sz="4"/>
              <w:right w:val="single" w:color="D0D5DD" w:sz="4"/>
            </w:tcBorders>
            <w:shd w:fill="1A7A4A" w:val="clear"/>
            <w:tcMar>
              <w:top w:type="dxa" w:w="100"/>
              <w:left w:type="dxa" w:w="160"/>
              <w:bottom w:type="dxa" w:w="100"/>
              <w:right w:type="dxa" w:w="160"/>
            </w:tcMar>
          </w:tcPr>
          <w:p>
            <w:pPr>
              <w:spacing w:after="60" w:before="60"/>
            </w:pPr>
            <w:r>
              <w:rPr>
                <w:rFonts w:ascii="Arial" w:cs="Arial" w:eastAsia="Arial" w:hAnsi="Arial"/>
                <w:b/>
                <w:bCs/>
                <w:color w:val="FFFFFF"/>
                <w:sz w:val="20"/>
                <w:szCs w:val="20"/>
              </w:rPr>
              <w:t xml:space="preserve">Application QPB</w:t>
            </w:r>
          </w:p>
        </w:tc>
        <w:tc>
          <w:tcPr>
            <w:tcW w:type="dxa" w:w="1760"/>
            <w:tcBorders>
              <w:top w:val="single" w:color="D0D5DD" w:sz="4"/>
              <w:left w:val="single" w:color="D0D5DD" w:sz="4"/>
              <w:bottom w:val="single" w:color="D0D5DD" w:sz="4"/>
              <w:right w:val="single" w:color="D0D5DD" w:sz="4"/>
            </w:tcBorders>
            <w:shd w:fill="1A7A4A" w:val="clear"/>
            <w:tcMar>
              <w:top w:type="dxa" w:w="100"/>
              <w:left w:type="dxa" w:w="160"/>
              <w:bottom w:type="dxa" w:w="100"/>
              <w:right w:type="dxa" w:w="160"/>
            </w:tcMar>
          </w:tcPr>
          <w:p>
            <w:pPr>
              <w:spacing w:after="60" w:before="60"/>
            </w:pPr>
            <w:r>
              <w:rPr>
                <w:rFonts w:ascii="Arial" w:cs="Arial" w:eastAsia="Arial" w:hAnsi="Arial"/>
                <w:b/>
                <w:bCs/>
                <w:color w:val="FFFFFF"/>
                <w:sz w:val="20"/>
                <w:szCs w:val="20"/>
              </w:rPr>
              <w:t xml:space="preserve">Module QPB</w:t>
            </w:r>
          </w:p>
        </w:tc>
        <w:tc>
          <w:tcPr>
            <w:tcW w:type="dxa" w:w="1900"/>
            <w:tcBorders>
              <w:top w:val="single" w:color="D0D5DD" w:sz="4"/>
              <w:left w:val="single" w:color="D0D5DD" w:sz="4"/>
              <w:bottom w:val="single" w:color="D0D5DD" w:sz="4"/>
              <w:right w:val="single" w:color="D0D5DD" w:sz="4"/>
            </w:tcBorders>
            <w:shd w:fill="1A7A4A" w:val="clear"/>
            <w:tcMar>
              <w:top w:type="dxa" w:w="100"/>
              <w:left w:type="dxa" w:w="160"/>
              <w:bottom w:type="dxa" w:w="100"/>
              <w:right w:type="dxa" w:w="160"/>
            </w:tcMar>
          </w:tcPr>
          <w:p>
            <w:pPr>
              <w:spacing w:after="60" w:before="60"/>
            </w:pPr>
            <w:r>
              <w:rPr>
                <w:rFonts w:ascii="Arial" w:cs="Arial" w:eastAsia="Arial" w:hAnsi="Arial"/>
                <w:b/>
                <w:bCs/>
                <w:color w:val="FFFFFF"/>
                <w:sz w:val="20"/>
                <w:szCs w:val="20"/>
              </w:rPr>
              <w:t xml:space="preserve">Potentiel CEMAC</w:t>
            </w:r>
          </w:p>
        </w:tc>
      </w:tr>
      <w:tr>
        <w:tc>
          <w:tcPr>
            <w:tcW w:type="dxa" w:w="15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Sukuk</w:t>
            </w:r>
          </w:p>
        </w:tc>
        <w:tc>
          <w:tcPr>
            <w:tcW w:type="dxa" w:w="21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Obligation conforme Charia : rémunération via actif sous-jacent, non par intérêt</w:t>
            </w:r>
          </w:p>
        </w:tc>
        <w:tc>
          <w:tcPr>
            <w:tcW w:type="dxa" w:w="21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Tokenisation de Sukuk sur blockchain : actifs immobiliers ou infrastructures découpés en tokens conformes</w:t>
            </w:r>
          </w:p>
        </w:tc>
        <w:tc>
          <w:tcPr>
            <w:tcW w:type="dxa" w:w="176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Tokenisation (Module 3)</w:t>
            </w:r>
          </w:p>
        </w:tc>
        <w:tc>
          <w:tcPr>
            <w:tcW w:type="dxa" w:w="19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Très élevé : financement souverain &amp; PME</w:t>
            </w:r>
          </w:p>
        </w:tc>
      </w:tr>
      <w:tr>
        <w:tc>
          <w:tcPr>
            <w:tcW w:type="dxa" w:w="15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Mourabaha</w:t>
            </w:r>
          </w:p>
        </w:tc>
        <w:tc>
          <w:tcPr>
            <w:tcW w:type="dxa" w:w="21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Vente à prix majoré connu d'avance — zéro intérêt caché</w:t>
            </w:r>
          </w:p>
        </w:tc>
        <w:tc>
          <w:tcPr>
            <w:tcW w:type="dxa" w:w="21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Financement Charia-compatible des PME via la plateforme de mise en relation</w:t>
            </w:r>
          </w:p>
        </w:tc>
        <w:tc>
          <w:tcPr>
            <w:tcW w:type="dxa" w:w="176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Mise en relation (Module 2)</w:t>
            </w:r>
          </w:p>
        </w:tc>
        <w:tc>
          <w:tcPr>
            <w:tcW w:type="dxa" w:w="19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Élevé : PME, commerce, agriculture</w:t>
            </w:r>
          </w:p>
        </w:tc>
      </w:tr>
      <w:tr>
        <w:tc>
          <w:tcPr>
            <w:tcW w:type="dxa" w:w="15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Moucharaka</w:t>
            </w:r>
          </w:p>
        </w:tc>
        <w:tc>
          <w:tcPr>
            <w:tcW w:type="dxa" w:w="21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Participation au capital et au risque. Profit/perte partagés</w:t>
            </w:r>
          </w:p>
        </w:tc>
        <w:tc>
          <w:tcPr>
            <w:tcW w:type="dxa" w:w="21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Co-investissement islamique dans projets tokenisés ou crowdfunding participatif</w:t>
            </w:r>
          </w:p>
        </w:tc>
        <w:tc>
          <w:tcPr>
            <w:tcW w:type="dxa" w:w="176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Co-investissement, Crowdfunding</w:t>
            </w:r>
          </w:p>
        </w:tc>
        <w:tc>
          <w:tcPr>
            <w:tcW w:type="dxa" w:w="19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Élevé : startups, agro-industrie</w:t>
            </w:r>
          </w:p>
        </w:tc>
      </w:tr>
      <w:tr>
        <w:tc>
          <w:tcPr>
            <w:tcW w:type="dxa" w:w="15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Moudharaba</w:t>
            </w:r>
          </w:p>
        </w:tc>
        <w:tc>
          <w:tcPr>
            <w:tcW w:type="dxa" w:w="21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Apporteur de fonds + entrepreneur. Partage du profit uniquement</w:t>
            </w:r>
          </w:p>
        </w:tc>
        <w:tc>
          <w:tcPr>
            <w:tcW w:type="dxa" w:w="21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FCP islamique : l'AM gère les fonds, les investisseurs apportent le capital</w:t>
            </w:r>
          </w:p>
        </w:tc>
        <w:tc>
          <w:tcPr>
            <w:tcW w:type="dxa" w:w="176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FCP / Copy Investment</w:t>
            </w:r>
          </w:p>
        </w:tc>
        <w:tc>
          <w:tcPr>
            <w:tcW w:type="dxa" w:w="19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Moyen : gestion collective d'actifs</w:t>
            </w:r>
          </w:p>
        </w:tc>
      </w:tr>
      <w:tr>
        <w:tc>
          <w:tcPr>
            <w:tcW w:type="dxa" w:w="15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Ijara</w:t>
            </w:r>
          </w:p>
        </w:tc>
        <w:tc>
          <w:tcPr>
            <w:tcW w:type="dxa" w:w="21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Location avec option d'achat — leasing islamique</w:t>
            </w:r>
          </w:p>
        </w:tc>
        <w:tc>
          <w:tcPr>
            <w:tcW w:type="dxa" w:w="21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Financement d'équipements pour PME via institutions partenaires (Islamic Windows)</w:t>
            </w:r>
          </w:p>
        </w:tc>
        <w:tc>
          <w:tcPr>
            <w:tcW w:type="dxa" w:w="176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Mise en relation (Module 2)</w:t>
            </w:r>
          </w:p>
        </w:tc>
        <w:tc>
          <w:tcPr>
            <w:tcW w:type="dxa" w:w="19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Élevé : PME, équipement industriel</w:t>
            </w:r>
          </w:p>
        </w:tc>
      </w:tr>
      <w:tr>
        <w:tc>
          <w:tcPr>
            <w:tcW w:type="dxa" w:w="15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Qard Hassan</w:t>
            </w:r>
          </w:p>
        </w:tc>
        <w:tc>
          <w:tcPr>
            <w:tcW w:type="dxa" w:w="21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Prêt sans intérêt — prêt solidaire communautaire</w:t>
            </w:r>
          </w:p>
        </w:tc>
        <w:tc>
          <w:tcPr>
            <w:tcW w:type="dxa" w:w="21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Crowdfunding solidaire : dons et prêts à 0% pour projets communautaires CEMAC</w:t>
            </w:r>
          </w:p>
        </w:tc>
        <w:tc>
          <w:tcPr>
            <w:tcW w:type="dxa" w:w="176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Crowdfunding (Module 2)</w:t>
            </w:r>
          </w:p>
        </w:tc>
        <w:tc>
          <w:tcPr>
            <w:tcW w:type="dxa" w:w="19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Moyen : inclusion sociale rurale</w:t>
            </w:r>
          </w:p>
        </w:tc>
      </w:tr>
      <w:tr>
        <w:tc>
          <w:tcPr>
            <w:tcW w:type="dxa" w:w="15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Takaful</w:t>
            </w:r>
          </w:p>
        </w:tc>
        <w:tc>
          <w:tcPr>
            <w:tcW w:type="dxa" w:w="21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Assurance mutuelle islamique — solidarité collective entre participants</w:t>
            </w:r>
          </w:p>
        </w:tc>
        <w:tc>
          <w:tcPr>
            <w:tcW w:type="dxa" w:w="21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Produits d'épargne-assurance Charia via partenaires agréés CIMA</w:t>
            </w:r>
          </w:p>
        </w:tc>
        <w:tc>
          <w:tcPr>
            <w:tcW w:type="dxa" w:w="176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Module futur (Phase 4)</w:t>
            </w:r>
          </w:p>
        </w:tc>
        <w:tc>
          <w:tcPr>
            <w:tcW w:type="dxa" w:w="19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Moyen : assurance inclusive</w:t>
            </w:r>
          </w:p>
        </w:tc>
      </w:tr>
    </w:tbl>
    <w:p>
      <w:pPr>
        <w:spacing w:after="120" w:before="120"/>
      </w:pPr>
      <w:r>
        <w:rPr>
          <w:rFonts w:ascii="Arial" w:cs="Arial" w:eastAsia="Arial" w:hAnsi="Arial"/>
        </w:rPr>
        <w:t xml:space="preserve"/>
      </w:r>
    </w:p>
    <w:p>
      <w:pPr>
        <w:pStyle w:val="Heading2"/>
        <w:pBdr>
          <w:bottom w:val="single" w:color="C8972B" w:sz="6" w:space="2"/>
        </w:pBdr>
        <w:spacing w:after="120" w:before="280"/>
      </w:pPr>
      <w:r>
        <w:rPr>
          <w:rFonts w:ascii="Arial" w:cs="Arial" w:eastAsia="Arial" w:hAnsi="Arial"/>
          <w:b/>
          <w:bCs/>
          <w:color w:val="1A7A4A"/>
          <w:sz w:val="28"/>
          <w:szCs w:val="28"/>
        </w:rPr>
        <w:t xml:space="preserve">2.2 Analyse détaillée des trois produits prioritaires</w:t>
      </w:r>
    </w:p>
    <w:p>
      <w:pPr>
        <w:pStyle w:val="Heading3"/>
        <w:spacing w:after="80" w:before="200"/>
      </w:pPr>
      <w:r>
        <w:rPr>
          <w:rFonts w:ascii="Arial" w:cs="Arial" w:eastAsia="Arial" w:hAnsi="Arial"/>
          <w:b/>
          <w:bCs/>
          <w:color w:val="1B4F8A"/>
          <w:sz w:val="24"/>
          <w:szCs w:val="24"/>
        </w:rPr>
        <w:t xml:space="preserve">A. Sukuk tokenisés — La grande innovation de QPB</w:t>
      </w:r>
    </w:p>
    <w:p>
      <w:pPr>
        <w:spacing w:after="80" w:before="80"/>
      </w:pPr>
      <w:r>
        <w:rPr>
          <w:rFonts w:ascii="Arial" w:cs="Arial" w:eastAsia="Arial" w:hAnsi="Arial"/>
          <w:color w:val="344054"/>
          <w:sz w:val="22"/>
          <w:szCs w:val="22"/>
        </w:rPr>
        <w:t xml:space="preserve">Le Sukuk est l'équivalent islamique de l'obligation. Contrairement à une obligation classique, il ne génère pas d'intérêts (riba interdits par la Charia) mais représente une part de propriété dans un actif réel sous-jacent : immobilier, infrastructure, projet agricole. Le porteur de Sukuk perçoit les loyers ou bénéfices générés par cet actif, pas un intérêt fixe prédéfini.</w:t>
      </w:r>
    </w:p>
    <w:p>
      <w:pPr>
        <w:spacing w:after="80" w:before="80"/>
      </w:pPr>
      <w:r>
        <w:rPr>
          <w:rFonts w:ascii="Arial" w:cs="Arial" w:eastAsia="Arial" w:hAnsi="Arial"/>
          <w:color w:val="344054"/>
          <w:sz w:val="22"/>
          <w:szCs w:val="22"/>
        </w:rPr>
        <w:t xml:space="preserve">Pour QPB, la symétrie avec le projet existant est parfaite. QPB prévoit déjà de tokeniser des actifs réels sur la blockchain Polygon, avec distribution automatique des revenus via smart contract. En appliquant les normes AAOIFI relatives aux Sukuk, QPB peut structurer ces tokens comme des Sukuk conformes Charia, ouvrant simultanément l'accès aux investisseurs conventionnels ET islamiques sur le même actif sous-jacent.</w:t>
      </w:r>
    </w:p>
    <w:p>
      <w:pPr>
        <w:pStyle w:val="ListParagraph"/>
        <w:numPr>
          <w:ilvl w:val="0"/>
          <w:numId w:val="2"/>
        </w:numPr>
        <w:spacing w:after="60" w:before="60"/>
      </w:pPr>
      <w:r>
        <w:rPr>
          <w:rFonts w:ascii="Arial" w:cs="Arial" w:eastAsia="Arial" w:hAnsi="Arial"/>
          <w:color w:val="344054"/>
          <w:sz w:val="22"/>
          <w:szCs w:val="22"/>
        </w:rPr>
        <w:t xml:space="preserve">Structure recommandée : Sukuk Ijara (basé sur la location d'un actif) ou Sukuk Moucharaka (participation au capital d'un projet agro ou immobilier)</w:t>
      </w:r>
    </w:p>
    <w:p>
      <w:pPr>
        <w:pStyle w:val="ListParagraph"/>
        <w:numPr>
          <w:ilvl w:val="0"/>
          <w:numId w:val="2"/>
        </w:numPr>
        <w:spacing w:after="60" w:before="60"/>
      </w:pPr>
      <w:r>
        <w:rPr>
          <w:rFonts w:ascii="Arial" w:cs="Arial" w:eastAsia="Arial" w:hAnsi="Arial"/>
          <w:color w:val="344054"/>
          <w:sz w:val="22"/>
          <w:szCs w:val="22"/>
        </w:rPr>
        <w:t xml:space="preserve">Taille pilote recommandée : 500 millions à 1 milliard FCFA sur un actif immobilier au Cameroun ou au Gabon</w:t>
      </w:r>
    </w:p>
    <w:p>
      <w:pPr>
        <w:pStyle w:val="ListParagraph"/>
        <w:numPr>
          <w:ilvl w:val="0"/>
          <w:numId w:val="2"/>
        </w:numPr>
        <w:spacing w:after="60" w:before="60"/>
      </w:pPr>
      <w:r>
        <w:rPr>
          <w:rFonts w:ascii="Arial" w:cs="Arial" w:eastAsia="Arial" w:hAnsi="Arial"/>
          <w:color w:val="344054"/>
          <w:sz w:val="22"/>
          <w:szCs w:val="22"/>
        </w:rPr>
        <w:t xml:space="preserve">Distribution automatique des loyers via smart contract — déjà architecturé dans QPB, sans refonte majeure</w:t>
      </w:r>
    </w:p>
    <w:p>
      <w:pPr>
        <w:pStyle w:val="ListParagraph"/>
        <w:numPr>
          <w:ilvl w:val="0"/>
          <w:numId w:val="2"/>
        </w:numPr>
        <w:spacing w:after="60" w:before="60"/>
      </w:pPr>
      <w:r>
        <w:rPr>
          <w:rFonts w:ascii="Arial" w:cs="Arial" w:eastAsia="Arial" w:hAnsi="Arial"/>
          <w:color w:val="344054"/>
          <w:sz w:val="22"/>
          <w:szCs w:val="22"/>
        </w:rPr>
        <w:t xml:space="preserve">Visa COSUMAF requis : assimilé à une offre publique de titres conformément au règlement général en vigueur</w:t>
      </w:r>
    </w:p>
    <w:p>
      <w:pPr>
        <w:pStyle w:val="ListParagraph"/>
        <w:numPr>
          <w:ilvl w:val="0"/>
          <w:numId w:val="2"/>
        </w:numPr>
        <w:spacing w:after="60" w:before="60"/>
      </w:pPr>
      <w:r>
        <w:rPr>
          <w:rFonts w:ascii="Arial" w:cs="Arial" w:eastAsia="Arial" w:hAnsi="Arial"/>
          <w:color w:val="344054"/>
          <w:sz w:val="22"/>
          <w:szCs w:val="22"/>
        </w:rPr>
        <w:t xml:space="preserve">Marché cible initial : investisseurs diaspora GCC + institutionnels islamiques régionaux (Sénégal, Côte d'Ivoire)</w:t>
      </w:r>
    </w:p>
    <w:p>
      <w:pPr>
        <w:pStyle w:val="Heading3"/>
        <w:spacing w:after="80" w:before="200"/>
      </w:pPr>
      <w:r>
        <w:rPr>
          <w:rFonts w:ascii="Arial" w:cs="Arial" w:eastAsia="Arial" w:hAnsi="Arial"/>
          <w:b/>
          <w:bCs/>
          <w:color w:val="1B4F8A"/>
          <w:sz w:val="24"/>
          <w:szCs w:val="24"/>
        </w:rPr>
        <w:t xml:space="preserve">B. Mourabaha et Ijara — Le financement des PME CEMAC</w:t>
      </w:r>
    </w:p>
    <w:p>
      <w:pPr>
        <w:spacing w:after="80" w:before="80"/>
      </w:pPr>
      <w:r>
        <w:rPr>
          <w:rFonts w:ascii="Arial" w:cs="Arial" w:eastAsia="Arial" w:hAnsi="Arial"/>
          <w:color w:val="344054"/>
          <w:sz w:val="22"/>
          <w:szCs w:val="22"/>
        </w:rPr>
        <w:t xml:space="preserve">La Mourabaha est une vente à crédit à un prix majoré connu à l'avance, sans intérêt. L'institution achète le bien voulu par le client, puis le lui revend avec une marge convenue. L'Ijara est le leasing islamique : l'institution achète le bien et le loue au client avec une option d'achat finale à maturité.</w:t>
      </w:r>
    </w:p>
    <w:p>
      <w:pPr>
        <w:spacing w:after="80" w:before="80"/>
      </w:pPr>
      <w:r>
        <w:rPr>
          <w:rFonts w:ascii="Arial" w:cs="Arial" w:eastAsia="Arial" w:hAnsi="Arial"/>
          <w:color w:val="344054"/>
          <w:sz w:val="22"/>
          <w:szCs w:val="22"/>
        </w:rPr>
        <w:t xml:space="preserve">Sur QPB, le Module 2 de mise en relation peut être enrichi d'un formulaire de demande de financement Charia-compatible, permettant aux PME de spécifier explicitement leur besoin de financement islamique. Les institutions partenaires proposant des Islamic Windows pourront filtrer et répondre spécifiquement, sans modifier l'architecture existante. C'est la modification la moins coûteuse avec l'impact marché le plus immédiat.</w:t>
      </w:r>
    </w:p>
    <w:p>
      <w:pPr>
        <w:pStyle w:val="Heading3"/>
        <w:spacing w:after="80" w:before="200"/>
      </w:pPr>
      <w:r>
        <w:rPr>
          <w:rFonts w:ascii="Arial" w:cs="Arial" w:eastAsia="Arial" w:hAnsi="Arial"/>
          <w:b/>
          <w:bCs/>
          <w:color w:val="1B4F8A"/>
          <w:sz w:val="24"/>
          <w:szCs w:val="24"/>
        </w:rPr>
        <w:t xml:space="preserve">C. Crowdfunding Moucharaka / Qard Hassan — L'inclusion financière islamique</w:t>
      </w:r>
    </w:p>
    <w:p>
      <w:pPr>
        <w:spacing w:after="80" w:before="80"/>
      </w:pPr>
      <w:r>
        <w:rPr>
          <w:rFonts w:ascii="Arial" w:cs="Arial" w:eastAsia="Arial" w:hAnsi="Arial"/>
          <w:color w:val="344054"/>
          <w:sz w:val="22"/>
          <w:szCs w:val="22"/>
        </w:rPr>
        <w:t xml:space="preserve">Le crowdfunding islamique via Moucharaka (participation aux pertes et profits) ou Qard Hassan (prêt solidaire sans intérêt) est particulièrement adapté au profil socio-économique de la zone CEMAC. Il permet d'intégrer les commerçants, artisans et populations rurales qui refusent les produits financiers conventionnels par conviction religieuse mais disposent d'épargnes significatives actuellement non mobilisées.</w:t>
      </w:r>
    </w:p>
    <w:p>
      <w:pPr>
        <w:spacing w:after="80" w:before="80"/>
      </w:pPr>
      <w:r>
        <w:rPr>
          <w:rFonts w:ascii="Arial" w:cs="Arial" w:eastAsia="Arial" w:hAnsi="Arial"/>
          <w:color w:val="344054"/>
          <w:sz w:val="22"/>
          <w:szCs w:val="22"/>
        </w:rPr>
        <w:t xml:space="preserve">Le module Crowdfunding de QPB peut être augmenté d'un label Halal et d'un type de financement Participation sans intérêts, sans refonte architecturale. Cette évolution peut être déployée en Phase 1 du projet, avant même l'obtention de tout agrément spécifique, car le don et la participation ne constituent pas des opérations de crédit au sens strict.</w:t>
      </w:r>
    </w:p>
    <w:p>
      <w:pPr>
        <w:pBdr>
          <w:bottom w:val="single" w:color="D0D5DD" w:sz="4" w:space="1"/>
        </w:pBdr>
        <w:spacing w:after="120" w:before="120"/>
      </w:pPr>
      <w:r>
        <w:rPr>
          <w:rFonts w:ascii="Arial" w:cs="Arial" w:eastAsia="Arial" w:hAnsi="Arial"/>
        </w:rPr>
        <w:t xml:space="preserve"/>
      </w:r>
    </w:p>
    <w:p>
      <w:r>
        <w:br w:type="page"/>
      </w:r>
    </w:p>
    <w:p>
      <w:pPr>
        <w:pStyle w:val="Heading1"/>
        <w:shd w:fill="1A7A4A" w:val="clear"/>
        <w:spacing w:after="200" w:before="360"/>
        <w:ind w:left="0" w:right="0"/>
      </w:pPr>
      <w:r>
        <w:rPr>
          <w:rFonts w:ascii="Arial" w:cs="Arial" w:eastAsia="Arial" w:hAnsi="Arial"/>
          <w:b/>
          <w:bCs/>
          <w:color w:val="FFFFFF"/>
          <w:sz w:val="36"/>
          <w:szCs w:val="36"/>
        </w:rPr>
        <w:t xml:space="preserve">3. Cadre Réglementaire Applicable</w:t>
      </w:r>
    </w:p>
    <w:p>
      <w:pPr>
        <w:pStyle w:val="Heading2"/>
        <w:pBdr>
          <w:bottom w:val="single" w:color="C8972B" w:sz="6" w:space="2"/>
        </w:pBdr>
        <w:spacing w:after="120" w:before="280"/>
      </w:pPr>
      <w:r>
        <w:rPr>
          <w:rFonts w:ascii="Arial" w:cs="Arial" w:eastAsia="Arial" w:hAnsi="Arial"/>
          <w:b/>
          <w:bCs/>
          <w:color w:val="1A7A4A"/>
          <w:sz w:val="28"/>
          <w:szCs w:val="28"/>
        </w:rPr>
        <w:t xml:space="preserve">3.1 Matrice réglementaire</w:t>
      </w:r>
    </w:p>
    <w:p>
      <w:pPr>
        <w:spacing w:after="80" w:before="80"/>
      </w:pPr>
      <w:r>
        <w:rPr>
          <w:rFonts w:ascii="Arial" w:cs="Arial" w:eastAsia="Arial" w:hAnsi="Arial"/>
          <w:color w:val="344054"/>
          <w:sz w:val="22"/>
          <w:szCs w:val="22"/>
        </w:rPr>
        <w:t xml:space="preserve">La finance islamique en zone CEMAC opère dans un cadre réglementaire général non spécifique à la Charia. Il n'existe pas encore de loi-cadre islamique à la COBAC ou à la COSUMAF. Cependant, plusieurs textes existants sont suffisamment neutres technologiquement pour accueillir des produits islamiques structurés avec rigueur.</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2200"/>
        <w:gridCol w:w="1800"/>
      </w:tblGrid>
      <w:tr>
        <w:trPr>
          <w:tblHeader/>
        </w:trPr>
        <w:tc>
          <w:tcPr>
            <w:tcW w:type="dxa" w:w="2200"/>
            <w:tcBorders>
              <w:top w:val="single" w:color="D0D5DD" w:sz="4"/>
              <w:left w:val="single" w:color="D0D5DD" w:sz="4"/>
              <w:bottom w:val="single" w:color="D0D5DD" w:sz="4"/>
              <w:right w:val="single" w:color="D0D5DD" w:sz="4"/>
            </w:tcBorders>
            <w:shd w:fill="1A7A4A" w:val="clear"/>
            <w:tcMar>
              <w:top w:type="dxa" w:w="100"/>
              <w:left w:type="dxa" w:w="160"/>
              <w:bottom w:type="dxa" w:w="100"/>
              <w:right w:type="dxa" w:w="160"/>
            </w:tcMar>
          </w:tcPr>
          <w:p>
            <w:pPr>
              <w:spacing w:after="60" w:before="60"/>
            </w:pPr>
            <w:r>
              <w:rPr>
                <w:rFonts w:ascii="Arial" w:cs="Arial" w:eastAsia="Arial" w:hAnsi="Arial"/>
                <w:b/>
                <w:bCs/>
                <w:color w:val="FFFFFF"/>
                <w:sz w:val="20"/>
                <w:szCs w:val="20"/>
              </w:rPr>
              <w:t xml:space="preserve">Texte / Institution</w:t>
            </w:r>
          </w:p>
        </w:tc>
        <w:tc>
          <w:tcPr>
            <w:tcW w:type="dxa" w:w="3160"/>
            <w:tcBorders>
              <w:top w:val="single" w:color="D0D5DD" w:sz="4"/>
              <w:left w:val="single" w:color="D0D5DD" w:sz="4"/>
              <w:bottom w:val="single" w:color="D0D5DD" w:sz="4"/>
              <w:right w:val="single" w:color="D0D5DD" w:sz="4"/>
            </w:tcBorders>
            <w:shd w:fill="1A7A4A" w:val="clear"/>
            <w:tcMar>
              <w:top w:type="dxa" w:w="100"/>
              <w:left w:type="dxa" w:w="160"/>
              <w:bottom w:type="dxa" w:w="100"/>
              <w:right w:type="dxa" w:w="160"/>
            </w:tcMar>
          </w:tcPr>
          <w:p>
            <w:pPr>
              <w:spacing w:after="60" w:before="60"/>
            </w:pPr>
            <w:r>
              <w:rPr>
                <w:rFonts w:ascii="Arial" w:cs="Arial" w:eastAsia="Arial" w:hAnsi="Arial"/>
                <w:b/>
                <w:bCs/>
                <w:color w:val="FFFFFF"/>
                <w:sz w:val="20"/>
                <w:szCs w:val="20"/>
              </w:rPr>
              <w:t xml:space="preserve">Contenu pertinent</w:t>
            </w:r>
          </w:p>
        </w:tc>
        <w:tc>
          <w:tcPr>
            <w:tcW w:type="dxa" w:w="2200"/>
            <w:tcBorders>
              <w:top w:val="single" w:color="D0D5DD" w:sz="4"/>
              <w:left w:val="single" w:color="D0D5DD" w:sz="4"/>
              <w:bottom w:val="single" w:color="D0D5DD" w:sz="4"/>
              <w:right w:val="single" w:color="D0D5DD" w:sz="4"/>
            </w:tcBorders>
            <w:shd w:fill="1A7A4A" w:val="clear"/>
            <w:tcMar>
              <w:top w:type="dxa" w:w="100"/>
              <w:left w:type="dxa" w:w="160"/>
              <w:bottom w:type="dxa" w:w="100"/>
              <w:right w:type="dxa" w:w="160"/>
            </w:tcMar>
          </w:tcPr>
          <w:p>
            <w:pPr>
              <w:spacing w:after="60" w:before="60"/>
            </w:pPr>
            <w:r>
              <w:rPr>
                <w:rFonts w:ascii="Arial" w:cs="Arial" w:eastAsia="Arial" w:hAnsi="Arial"/>
                <w:b/>
                <w:bCs/>
                <w:color w:val="FFFFFF"/>
                <w:sz w:val="20"/>
                <w:szCs w:val="20"/>
              </w:rPr>
              <w:t xml:space="preserve">Applicabilité QPB</w:t>
            </w:r>
          </w:p>
        </w:tc>
        <w:tc>
          <w:tcPr>
            <w:tcW w:type="dxa" w:w="1800"/>
            <w:tcBorders>
              <w:top w:val="single" w:color="D0D5DD" w:sz="4"/>
              <w:left w:val="single" w:color="D0D5DD" w:sz="4"/>
              <w:bottom w:val="single" w:color="D0D5DD" w:sz="4"/>
              <w:right w:val="single" w:color="D0D5DD" w:sz="4"/>
            </w:tcBorders>
            <w:shd w:fill="1A7A4A" w:val="clear"/>
            <w:tcMar>
              <w:top w:type="dxa" w:w="100"/>
              <w:left w:type="dxa" w:w="160"/>
              <w:bottom w:type="dxa" w:w="100"/>
              <w:right w:type="dxa" w:w="160"/>
            </w:tcMar>
          </w:tcPr>
          <w:p>
            <w:pPr>
              <w:spacing w:after="60" w:before="60"/>
            </w:pPr>
            <w:r>
              <w:rPr>
                <w:rFonts w:ascii="Arial" w:cs="Arial" w:eastAsia="Arial" w:hAnsi="Arial"/>
                <w:b/>
                <w:bCs/>
                <w:color w:val="FFFFFF"/>
                <w:sz w:val="20"/>
                <w:szCs w:val="20"/>
              </w:rPr>
              <w:t xml:space="preserve">Statut</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COSUMAF – Règlement général marché financier 2024/2025</w:t>
            </w:r>
          </w:p>
        </w:tc>
        <w:tc>
          <w:tcPr>
            <w:tcW w:type="dxa" w:w="316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Définition jetons numériques, visa obligatoire pour offres de jetons, prestataires agréés</w:t>
            </w:r>
          </w:p>
        </w:tc>
        <w:tc>
          <w:tcPr>
            <w:tcW w:type="dxa" w:w="22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Tokenisation Sukuk, émission jetons islamiques</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En vigueur</w:t>
            </w:r>
          </w:p>
        </w:tc>
      </w:tr>
      <w:tr>
        <w:tc>
          <w:tcPr>
            <w:tcW w:type="dxa" w:w="22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Règlement CEMAC 2025 – DEEP (Dispositif Électronique d'Enregistrement Partagé)</w:t>
            </w:r>
          </w:p>
        </w:tc>
        <w:tc>
          <w:tcPr>
            <w:tcW w:type="dxa" w:w="316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Inscription en compte via blockchain/DLT légalement valide au 1er janvier 2026</w:t>
            </w:r>
          </w:p>
        </w:tc>
        <w:tc>
          <w:tcPr>
            <w:tcW w:type="dxa" w:w="22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Infrastructure tokenisation Sukuk et fractions de titres islamiques</w:t>
            </w:r>
          </w:p>
        </w:tc>
        <w:tc>
          <w:tcPr>
            <w:tcW w:type="dxa" w:w="18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En vigueur (jan. 2026)</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Directive CEMAC LCB-FT 2016</w:t>
            </w:r>
          </w:p>
        </w:tc>
        <w:tc>
          <w:tcPr>
            <w:tcW w:type="dxa" w:w="316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Obligations KYC/AML, déclarations de soupçon, gel d'avoirs</w:t>
            </w:r>
          </w:p>
        </w:tc>
        <w:tc>
          <w:tcPr>
            <w:tcW w:type="dxa" w:w="22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Tous produits islamiques avec flux financiers</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En vigueur</w:t>
            </w:r>
          </w:p>
        </w:tc>
      </w:tr>
      <w:tr>
        <w:tc>
          <w:tcPr>
            <w:tcW w:type="dxa" w:w="22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COBAC R-2005/01</w:t>
            </w:r>
          </w:p>
        </w:tc>
        <w:tc>
          <w:tcPr>
            <w:tcW w:type="dxa" w:w="316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Contrôle interne des établissements financiers</w:t>
            </w:r>
          </w:p>
        </w:tc>
        <w:tc>
          <w:tcPr>
            <w:tcW w:type="dxa" w:w="22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Institutions partenaires proposant Mourabaha/Ijara</w:t>
            </w:r>
          </w:p>
        </w:tc>
        <w:tc>
          <w:tcPr>
            <w:tcW w:type="dxa" w:w="18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En vigueur</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BEAC – Réglementation des changes</w:t>
            </w:r>
          </w:p>
        </w:tc>
        <w:tc>
          <w:tcPr>
            <w:tcW w:type="dxa" w:w="316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Contrôle des flux transfrontaliers de capitaux</w:t>
            </w:r>
          </w:p>
        </w:tc>
        <w:tc>
          <w:tcPr>
            <w:tcW w:type="dxa" w:w="22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Investisseurs islamiques étrangers (GCC, Maghreb)</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En vigueur</w:t>
            </w:r>
          </w:p>
        </w:tc>
      </w:tr>
      <w:tr>
        <w:tc>
          <w:tcPr>
            <w:tcW w:type="dxa" w:w="22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IFSB (Islamic Financial Services Board)</w:t>
            </w:r>
          </w:p>
        </w:tc>
        <w:tc>
          <w:tcPr>
            <w:tcW w:type="dxa" w:w="316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Standards internationaux de finance islamique : capital, risque, gouvernance Charia</w:t>
            </w:r>
          </w:p>
        </w:tc>
        <w:tc>
          <w:tcPr>
            <w:tcW w:type="dxa" w:w="22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Référentiel gouvernance Charia de QPB</w:t>
            </w:r>
          </w:p>
        </w:tc>
        <w:tc>
          <w:tcPr>
            <w:tcW w:type="dxa" w:w="18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Standards volontaires</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AAOIFI</w:t>
            </w:r>
          </w:p>
        </w:tc>
        <w:tc>
          <w:tcPr>
            <w:tcW w:type="dxa" w:w="316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Normes comptables et Charia pour produits islamiques — référence mondiale</w:t>
            </w:r>
          </w:p>
        </w:tc>
        <w:tc>
          <w:tcPr>
            <w:tcW w:type="dxa" w:w="22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Structuration Sukuk et FCP islamiques certifiés</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Standards de référence</w:t>
            </w:r>
          </w:p>
        </w:tc>
      </w:tr>
      <w:tr>
        <w:tc>
          <w:tcPr>
            <w:tcW w:type="dxa" w:w="22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Acte uniforme OHADA sur les sûretés</w:t>
            </w:r>
          </w:p>
        </w:tc>
        <w:tc>
          <w:tcPr>
            <w:tcW w:type="dxa" w:w="316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Garanties, hypothèques, droits réels mobiliers</w:t>
            </w:r>
          </w:p>
        </w:tc>
        <w:tc>
          <w:tcPr>
            <w:tcW w:type="dxa" w:w="22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Structuration juridique Sukuk adossés à actifs OHADA</w:t>
            </w:r>
          </w:p>
        </w:tc>
        <w:tc>
          <w:tcPr>
            <w:tcW w:type="dxa" w:w="18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En vigueur</w:t>
            </w:r>
          </w:p>
        </w:tc>
      </w:tr>
    </w:tbl>
    <w:p>
      <w:pPr>
        <w:spacing w:after="120" w:before="120"/>
      </w:pPr>
      <w:r>
        <w:rPr>
          <w:rFonts w:ascii="Arial" w:cs="Arial" w:eastAsia="Arial" w:hAnsi="Arial"/>
        </w:rPr>
        <w:t xml:space="preserve"/>
      </w:r>
    </w:p>
    <w:p>
      <w:pPr>
        <w:pStyle w:val="Heading2"/>
        <w:pBdr>
          <w:bottom w:val="single" w:color="C8972B" w:sz="6" w:space="2"/>
        </w:pBdr>
        <w:spacing w:after="120" w:before="280"/>
      </w:pPr>
      <w:r>
        <w:rPr>
          <w:rFonts w:ascii="Arial" w:cs="Arial" w:eastAsia="Arial" w:hAnsi="Arial"/>
          <w:b/>
          <w:bCs/>
          <w:color w:val="1A7A4A"/>
          <w:sz w:val="28"/>
          <w:szCs w:val="28"/>
        </w:rPr>
        <w:t xml:space="preserve">3.2 La gouvernance Charia : pièce maîtresse manquante</w:t>
      </w:r>
    </w:p>
    <w:p>
      <w:pPr>
        <w:spacing w:after="80" w:before="80"/>
      </w:pPr>
      <w:r>
        <w:rPr>
          <w:rFonts w:ascii="Arial" w:cs="Arial" w:eastAsia="Arial" w:hAnsi="Arial"/>
          <w:color w:val="344054"/>
          <w:sz w:val="22"/>
          <w:szCs w:val="22"/>
        </w:rPr>
        <w:t xml:space="preserve">En finance islamique, la conformité Charia ne s'auto-décrète pas. Elle nécessite la mise en place d'un Comité Charia (Sharia Supervisory Board, SSB), composé de scholars islamiques qualifiés en jurisprudence financière, qui valide chaque produit, chaque contrat et chaque procédure avant commercialisation. Ce comité est la condition sine qua non de crédibilité auprès des investisseurs islamiques.</w:t>
      </w:r>
    </w:p>
    <w:p>
      <w:pPr>
        <w:spacing w:after="80" w:before="80"/>
      </w:pPr>
      <w:r>
        <w:rPr>
          <w:rFonts w:ascii="Arial" w:cs="Arial" w:eastAsia="Arial" w:hAnsi="Arial"/>
          <w:color w:val="344054"/>
          <w:sz w:val="22"/>
          <w:szCs w:val="22"/>
        </w:rPr>
        <w:t xml:space="preserve">En zone CEMAC, ce type de comité est quasi inexistant dans le secteur financier formel. QPB devra donc soit recruter des scholars au niveau international (Malaisie, GCC, Égypte), soit s'adosser formellement à l'AAOIFI (Bahreïn) pour valider ses produits selon les normes Charia reconnues mondialement.</w:t>
      </w:r>
    </w:p>
    <w:p>
      <w:pPr>
        <w:shd w:fill="C8972B" w:val="clear"/>
        <w:spacing w:after="80" w:before="80"/>
        <w:ind w:left="120" w:right="120"/>
      </w:pPr>
      <w:r>
        <w:rPr>
          <w:rFonts w:ascii="Arial" w:cs="Arial" w:eastAsia="Arial" w:hAnsi="Arial"/>
          <w:b/>
          <w:bCs/>
          <w:color w:val="FFFFFF"/>
          <w:sz w:val="22"/>
          <w:szCs w:val="22"/>
        </w:rPr>
        <w:t xml:space="preserve">Structure de gouvernance Charia recommandée pour QPB</w:t>
      </w:r>
    </w:p>
    <w:p>
      <w:pPr>
        <w:shd w:fill="FEF9EE" w:val="clear"/>
        <w:spacing w:after="60" w:before="60"/>
        <w:ind w:left="200" w:right="120"/>
      </w:pPr>
      <w:r>
        <w:rPr>
          <w:rFonts w:ascii="Arial" w:cs="Arial" w:eastAsia="Arial" w:hAnsi="Arial"/>
          <w:color w:val="344054"/>
          <w:sz w:val="20"/>
          <w:szCs w:val="20"/>
        </w:rPr>
        <w:t xml:space="preserve">• Comité Charia : 3 scholars minimum — 1 scholar francophone (Sénégal/Maroc) + 2 scholars internationaux (GCC ou Malaisie)</w:t>
      </w:r>
    </w:p>
    <w:p>
      <w:pPr>
        <w:shd w:fill="FEF9EE" w:val="clear"/>
        <w:spacing w:after="60" w:before="60"/>
        <w:ind w:left="200" w:right="120"/>
      </w:pPr>
      <w:r>
        <w:rPr>
          <w:rFonts w:ascii="Arial" w:cs="Arial" w:eastAsia="Arial" w:hAnsi="Arial"/>
          <w:color w:val="344054"/>
          <w:sz w:val="20"/>
          <w:szCs w:val="20"/>
        </w:rPr>
        <w:t xml:space="preserve">• Auditeur Charia interne : révision annuelle de la conformité de chaque produit et smart contract</w:t>
      </w:r>
    </w:p>
    <w:p>
      <w:pPr>
        <w:shd w:fill="FEF9EE" w:val="clear"/>
        <w:spacing w:after="60" w:before="60"/>
        <w:ind w:left="200" w:right="120"/>
      </w:pPr>
      <w:r>
        <w:rPr>
          <w:rFonts w:ascii="Arial" w:cs="Arial" w:eastAsia="Arial" w:hAnsi="Arial"/>
          <w:color w:val="344054"/>
          <w:sz w:val="20"/>
          <w:szCs w:val="20"/>
        </w:rPr>
        <w:t xml:space="preserve">• Partenariat formel AAOIFI ou IFSB pour les normes de structuration et la reconnaissance internationale</w:t>
      </w:r>
    </w:p>
    <w:p>
      <w:pPr>
        <w:shd w:fill="FEF9EE" w:val="clear"/>
        <w:spacing w:after="60" w:before="60"/>
        <w:ind w:left="200" w:right="120"/>
      </w:pPr>
      <w:r>
        <w:rPr>
          <w:rFonts w:ascii="Arial" w:cs="Arial" w:eastAsia="Arial" w:hAnsi="Arial"/>
          <w:color w:val="344054"/>
          <w:sz w:val="20"/>
          <w:szCs w:val="20"/>
        </w:rPr>
        <w:t xml:space="preserve">• Rapport Charia annuel publié sur la plateforme QPB : transparence totale pour les investisseurs</w:t>
      </w:r>
    </w:p>
    <w:p>
      <w:pPr>
        <w:shd w:fill="FEF9EE" w:val="clear"/>
        <w:spacing w:after="60" w:before="60"/>
        <w:ind w:left="200" w:right="120"/>
      </w:pPr>
      <w:r>
        <w:rPr>
          <w:rFonts w:ascii="Arial" w:cs="Arial" w:eastAsia="Arial" w:hAnsi="Arial"/>
          <w:color w:val="344054"/>
          <w:sz w:val="20"/>
          <w:szCs w:val="20"/>
        </w:rPr>
        <w:t xml:space="preserve">• Coût estimé de fonctionnement du comité : 15 à 30 millions FCFA par an (investissement de crédibilité)</w:t>
      </w:r>
    </w:p>
    <w:p>
      <w:pPr>
        <w:shd w:fill="FEF9EE" w:val="clear"/>
        <w:spacing w:after="0" w:before="60"/>
      </w:pPr>
      <w:r>
        <w:rPr>
          <w:rFonts w:ascii="Arial" w:cs="Arial" w:eastAsia="Arial" w:hAnsi="Arial"/>
        </w:rPr>
        <w:t xml:space="preserve"/>
      </w:r>
    </w:p>
    <w:p>
      <w:pPr>
        <w:pStyle w:val="Heading2"/>
        <w:pBdr>
          <w:bottom w:val="single" w:color="C8972B" w:sz="6" w:space="2"/>
        </w:pBdr>
        <w:spacing w:after="120" w:before="280"/>
      </w:pPr>
      <w:r>
        <w:rPr>
          <w:rFonts w:ascii="Arial" w:cs="Arial" w:eastAsia="Arial" w:hAnsi="Arial"/>
          <w:b/>
          <w:bCs/>
          <w:color w:val="1A7A4A"/>
          <w:sz w:val="28"/>
          <w:szCs w:val="28"/>
        </w:rPr>
        <w:t xml:space="preserve">3.3 Agréments spécifiques à obtenir pour la dimension islamique</w:t>
      </w:r>
    </w:p>
    <w:p>
      <w:pPr>
        <w:pStyle w:val="ListParagraph"/>
        <w:numPr>
          <w:ilvl w:val="0"/>
          <w:numId w:val="2"/>
        </w:numPr>
        <w:spacing w:after="60" w:before="60"/>
      </w:pPr>
      <w:r>
        <w:rPr>
          <w:rFonts w:ascii="Arial" w:cs="Arial" w:eastAsia="Arial" w:hAnsi="Arial"/>
          <w:color w:val="344054"/>
          <w:sz w:val="22"/>
          <w:szCs w:val="22"/>
        </w:rPr>
        <w:t xml:space="preserve">Pas d'agrément Islamique spécifique COBAC/COSUMAF à ce jour : QPB opère dans le droit commun des marchés financiers CEMAC, ce qui est à la fois une contrainte et une opportunité d'être pionnière</w:t>
      </w:r>
    </w:p>
    <w:p>
      <w:pPr>
        <w:pStyle w:val="ListParagraph"/>
        <w:numPr>
          <w:ilvl w:val="0"/>
          <w:numId w:val="2"/>
        </w:numPr>
        <w:spacing w:after="60" w:before="60"/>
      </w:pPr>
      <w:r>
        <w:rPr>
          <w:rFonts w:ascii="Arial" w:cs="Arial" w:eastAsia="Arial" w:hAnsi="Arial"/>
          <w:color w:val="344054"/>
          <w:sz w:val="22"/>
          <w:szCs w:val="22"/>
        </w:rPr>
        <w:t xml:space="preserve">Pour les Sukuk tokenisés : visa COSUMAF standard requis, avec un document d'information enrichi d'une section Charia (avis du SSB)</w:t>
      </w:r>
    </w:p>
    <w:p>
      <w:pPr>
        <w:pStyle w:val="ListParagraph"/>
        <w:numPr>
          <w:ilvl w:val="0"/>
          <w:numId w:val="2"/>
        </w:numPr>
        <w:spacing w:after="60" w:before="60"/>
      </w:pPr>
      <w:r>
        <w:rPr>
          <w:rFonts w:ascii="Arial" w:cs="Arial" w:eastAsia="Arial" w:hAnsi="Arial"/>
          <w:color w:val="344054"/>
          <w:sz w:val="22"/>
          <w:szCs w:val="22"/>
        </w:rPr>
        <w:t xml:space="preserve">Pour les FCP islamiques : agrément COSUMAF OPCVM standard, avec prospectus incluant l'avis du Comité Charia et la liste des exclusions sectorielles</w:t>
      </w:r>
    </w:p>
    <w:p>
      <w:pPr>
        <w:pStyle w:val="ListParagraph"/>
        <w:numPr>
          <w:ilvl w:val="0"/>
          <w:numId w:val="2"/>
        </w:numPr>
        <w:spacing w:after="60" w:before="60"/>
      </w:pPr>
      <w:r>
        <w:rPr>
          <w:rFonts w:ascii="Arial" w:cs="Arial" w:eastAsia="Arial" w:hAnsi="Arial"/>
          <w:color w:val="344054"/>
          <w:sz w:val="22"/>
          <w:szCs w:val="22"/>
        </w:rPr>
        <w:t xml:space="preserve">Pour les paiements : licence BEAC ou partenariat CinetPay/MTN MoMo — déjà prévu dans l'architecture QPB existante</w:t>
      </w:r>
    </w:p>
    <w:p>
      <w:pPr>
        <w:pStyle w:val="ListParagraph"/>
        <w:numPr>
          <w:ilvl w:val="0"/>
          <w:numId w:val="2"/>
        </w:numPr>
        <w:spacing w:after="60" w:before="60"/>
      </w:pPr>
      <w:r>
        <w:rPr>
          <w:rFonts w:ascii="Arial" w:cs="Arial" w:eastAsia="Arial" w:hAnsi="Arial"/>
          <w:color w:val="344054"/>
          <w:sz w:val="22"/>
          <w:szCs w:val="22"/>
        </w:rPr>
        <w:t xml:space="preserve">Pour les flux internationaux islamiques (investisseurs GCC) : conformité réglementation BEAC des changes — déclaration systématique obligatoire</w:t>
      </w:r>
    </w:p>
    <w:p>
      <w:pPr>
        <w:pBdr>
          <w:bottom w:val="single" w:color="D0D5DD" w:sz="4" w:space="1"/>
        </w:pBdr>
        <w:spacing w:after="120" w:before="120"/>
      </w:pPr>
      <w:r>
        <w:rPr>
          <w:rFonts w:ascii="Arial" w:cs="Arial" w:eastAsia="Arial" w:hAnsi="Arial"/>
        </w:rPr>
        <w:t xml:space="preserve"/>
      </w:r>
    </w:p>
    <w:p>
      <w:r>
        <w:br w:type="page"/>
      </w:r>
    </w:p>
    <w:p>
      <w:pPr>
        <w:pStyle w:val="Heading1"/>
        <w:shd w:fill="1A7A4A" w:val="clear"/>
        <w:spacing w:after="200" w:before="360"/>
        <w:ind w:left="0" w:right="0"/>
      </w:pPr>
      <w:r>
        <w:rPr>
          <w:rFonts w:ascii="Arial" w:cs="Arial" w:eastAsia="Arial" w:hAnsi="Arial"/>
          <w:b/>
          <w:bCs/>
          <w:color w:val="FFFFFF"/>
          <w:sz w:val="36"/>
          <w:szCs w:val="36"/>
        </w:rPr>
        <w:t xml:space="preserve">4. Mise en Pratique : Intégration dans QPB</w:t>
      </w:r>
    </w:p>
    <w:p>
      <w:pPr>
        <w:pStyle w:val="Heading2"/>
        <w:pBdr>
          <w:bottom w:val="single" w:color="C8972B" w:sz="6" w:space="2"/>
        </w:pBdr>
        <w:spacing w:after="120" w:before="280"/>
      </w:pPr>
      <w:r>
        <w:rPr>
          <w:rFonts w:ascii="Arial" w:cs="Arial" w:eastAsia="Arial" w:hAnsi="Arial"/>
          <w:b/>
          <w:bCs/>
          <w:color w:val="1A7A4A"/>
          <w:sz w:val="28"/>
          <w:szCs w:val="28"/>
        </w:rPr>
        <w:t xml:space="preserve">4.1 Feuille de route opérationnelle en 4 phases</w:t>
      </w:r>
    </w:p>
    <w:p>
      <w:pPr>
        <w:spacing w:after="80" w:before="80"/>
      </w:pPr>
      <w:r>
        <w:rPr>
          <w:rFonts w:ascii="Arial" w:cs="Arial" w:eastAsia="Arial" w:hAnsi="Arial"/>
          <w:color w:val="344054"/>
          <w:sz w:val="22"/>
          <w:szCs w:val="22"/>
        </w:rPr>
        <w:t xml:space="preserve">L'intégration de la finance islamique doit être progressive, modulaire et réaliste. La stratégie recommandée suit la logique de développement itératif déjà adoptée par QPB pour ses phases générales.</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1560"/>
        <w:gridCol w:w="1200"/>
      </w:tblGrid>
      <w:tr>
        <w:trPr>
          <w:tblHeader/>
        </w:trPr>
        <w:tc>
          <w:tcPr>
            <w:tcW w:type="dxa" w:w="1400"/>
            <w:tcBorders>
              <w:top w:val="single" w:color="D0D5DD" w:sz="4"/>
              <w:left w:val="single" w:color="D0D5DD" w:sz="4"/>
              <w:bottom w:val="single" w:color="D0D5DD" w:sz="4"/>
              <w:right w:val="single" w:color="D0D5DD" w:sz="4"/>
            </w:tcBorders>
            <w:shd w:fill="1A7A4A" w:val="clear"/>
            <w:tcMar>
              <w:top w:type="dxa" w:w="100"/>
              <w:left w:type="dxa" w:w="160"/>
              <w:bottom w:type="dxa" w:w="100"/>
              <w:right w:type="dxa" w:w="160"/>
            </w:tcMar>
          </w:tcPr>
          <w:p>
            <w:pPr>
              <w:spacing w:after="60" w:before="60"/>
            </w:pPr>
            <w:r>
              <w:rPr>
                <w:rFonts w:ascii="Arial" w:cs="Arial" w:eastAsia="Arial" w:hAnsi="Arial"/>
                <w:b/>
                <w:bCs/>
                <w:color w:val="FFFFFF"/>
                <w:sz w:val="20"/>
                <w:szCs w:val="20"/>
              </w:rPr>
              <w:t xml:space="preserve">Phase</w:t>
            </w:r>
          </w:p>
        </w:tc>
        <w:tc>
          <w:tcPr>
            <w:tcW w:type="dxa" w:w="2200"/>
            <w:tcBorders>
              <w:top w:val="single" w:color="D0D5DD" w:sz="4"/>
              <w:left w:val="single" w:color="D0D5DD" w:sz="4"/>
              <w:bottom w:val="single" w:color="D0D5DD" w:sz="4"/>
              <w:right w:val="single" w:color="D0D5DD" w:sz="4"/>
            </w:tcBorders>
            <w:shd w:fill="1A7A4A" w:val="clear"/>
            <w:tcMar>
              <w:top w:type="dxa" w:w="100"/>
              <w:left w:type="dxa" w:w="160"/>
              <w:bottom w:type="dxa" w:w="100"/>
              <w:right w:type="dxa" w:w="160"/>
            </w:tcMar>
          </w:tcPr>
          <w:p>
            <w:pPr>
              <w:spacing w:after="60" w:before="60"/>
            </w:pPr>
            <w:r>
              <w:rPr>
                <w:rFonts w:ascii="Arial" w:cs="Arial" w:eastAsia="Arial" w:hAnsi="Arial"/>
                <w:b/>
                <w:bCs/>
                <w:color w:val="FFFFFF"/>
                <w:sz w:val="20"/>
                <w:szCs w:val="20"/>
              </w:rPr>
              <w:t xml:space="preserve">Produit islamique</w:t>
            </w:r>
          </w:p>
        </w:tc>
        <w:tc>
          <w:tcPr>
            <w:tcW w:type="dxa" w:w="3000"/>
            <w:tcBorders>
              <w:top w:val="single" w:color="D0D5DD" w:sz="4"/>
              <w:left w:val="single" w:color="D0D5DD" w:sz="4"/>
              <w:bottom w:val="single" w:color="D0D5DD" w:sz="4"/>
              <w:right w:val="single" w:color="D0D5DD" w:sz="4"/>
            </w:tcBorders>
            <w:shd w:fill="1A7A4A" w:val="clear"/>
            <w:tcMar>
              <w:top w:type="dxa" w:w="100"/>
              <w:left w:type="dxa" w:w="160"/>
              <w:bottom w:type="dxa" w:w="100"/>
              <w:right w:type="dxa" w:w="160"/>
            </w:tcMar>
          </w:tcPr>
          <w:p>
            <w:pPr>
              <w:spacing w:after="60" w:before="60"/>
            </w:pPr>
            <w:r>
              <w:rPr>
                <w:rFonts w:ascii="Arial" w:cs="Arial" w:eastAsia="Arial" w:hAnsi="Arial"/>
                <w:b/>
                <w:bCs/>
                <w:color w:val="FFFFFF"/>
                <w:sz w:val="20"/>
                <w:szCs w:val="20"/>
              </w:rPr>
              <w:t xml:space="preserve">Actions concrètes QPB</w:t>
            </w:r>
          </w:p>
        </w:tc>
        <w:tc>
          <w:tcPr>
            <w:tcW w:type="dxa" w:w="1560"/>
            <w:tcBorders>
              <w:top w:val="single" w:color="D0D5DD" w:sz="4"/>
              <w:left w:val="single" w:color="D0D5DD" w:sz="4"/>
              <w:bottom w:val="single" w:color="D0D5DD" w:sz="4"/>
              <w:right w:val="single" w:color="D0D5DD" w:sz="4"/>
            </w:tcBorders>
            <w:shd w:fill="1A7A4A" w:val="clear"/>
            <w:tcMar>
              <w:top w:type="dxa" w:w="100"/>
              <w:left w:type="dxa" w:w="160"/>
              <w:bottom w:type="dxa" w:w="100"/>
              <w:right w:type="dxa" w:w="160"/>
            </w:tcMar>
          </w:tcPr>
          <w:p>
            <w:pPr>
              <w:spacing w:after="60" w:before="60"/>
            </w:pPr>
            <w:r>
              <w:rPr>
                <w:rFonts w:ascii="Arial" w:cs="Arial" w:eastAsia="Arial" w:hAnsi="Arial"/>
                <w:b/>
                <w:bCs/>
                <w:color w:val="FFFFFF"/>
                <w:sz w:val="20"/>
                <w:szCs w:val="20"/>
              </w:rPr>
              <w:t xml:space="preserve">Durée</w:t>
            </w:r>
          </w:p>
        </w:tc>
        <w:tc>
          <w:tcPr>
            <w:tcW w:type="dxa" w:w="1200"/>
            <w:tcBorders>
              <w:top w:val="single" w:color="D0D5DD" w:sz="4"/>
              <w:left w:val="single" w:color="D0D5DD" w:sz="4"/>
              <w:bottom w:val="single" w:color="D0D5DD" w:sz="4"/>
              <w:right w:val="single" w:color="D0D5DD" w:sz="4"/>
            </w:tcBorders>
            <w:shd w:fill="1A7A4A" w:val="clear"/>
            <w:tcMar>
              <w:top w:type="dxa" w:w="100"/>
              <w:left w:type="dxa" w:w="160"/>
              <w:bottom w:type="dxa" w:w="100"/>
              <w:right w:type="dxa" w:w="160"/>
            </w:tcMar>
          </w:tcPr>
          <w:p>
            <w:pPr>
              <w:spacing w:after="60" w:before="60"/>
            </w:pPr>
            <w:r>
              <w:rPr>
                <w:rFonts w:ascii="Arial" w:cs="Arial" w:eastAsia="Arial" w:hAnsi="Arial"/>
                <w:b/>
                <w:bCs/>
                <w:color w:val="FFFFFF"/>
                <w:sz w:val="20"/>
                <w:szCs w:val="20"/>
              </w:rPr>
              <w:t xml:space="preserve">Priorité</w:t>
            </w:r>
          </w:p>
        </w:tc>
      </w:tr>
      <w:tr>
        <w:tc>
          <w:tcPr>
            <w:tcW w:type="dxa" w:w="14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Phase 1 MVP+</w:t>
            </w:r>
          </w:p>
        </w:tc>
        <w:tc>
          <w:tcPr>
            <w:tcW w:type="dxa" w:w="22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Crowdfunding Qard Hassan / FCP Islamique vitrine</w:t>
            </w:r>
          </w:p>
        </w:tc>
        <w:tc>
          <w:tcPr>
            <w:tcW w:type="dxa" w:w="30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Ajouter filtre Charia-compatible sur crowdfunding. Référencer 1 FCP islamique partenaire. Label vert Conforme Charia sur fiches produit.</w:t>
            </w:r>
          </w:p>
        </w:tc>
        <w:tc>
          <w:tcPr>
            <w:tcW w:type="dxa" w:w="156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0-3 mois</w:t>
            </w:r>
          </w:p>
        </w:tc>
        <w:tc>
          <w:tcPr>
            <w:tcW w:type="dxa" w:w="12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HAUTE</w:t>
            </w:r>
          </w:p>
        </w:tc>
      </w:tr>
      <w:tr>
        <w:tc>
          <w:tcPr>
            <w:tcW w:type="dxa" w:w="14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Phase 2 Mise en relation</w:t>
            </w:r>
          </w:p>
        </w:tc>
        <w:tc>
          <w:tcPr>
            <w:tcW w:type="dxa" w:w="22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Mourabaha / Ijara / Moucharaka</w:t>
            </w:r>
          </w:p>
        </w:tc>
        <w:tc>
          <w:tcPr>
            <w:tcW w:type="dxa" w:w="30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Partenariat Islamic Window bancaire (BGFI, Afriland). Formulaire Mourabaha/Ijara. Formation Charia équipe conformité. Comité Charia constitué.</w:t>
            </w:r>
          </w:p>
        </w:tc>
        <w:tc>
          <w:tcPr>
            <w:tcW w:type="dxa" w:w="156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3-6 mois</w:t>
            </w:r>
          </w:p>
        </w:tc>
        <w:tc>
          <w:tcPr>
            <w:tcW w:type="dxa" w:w="12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HAUTE</w:t>
            </w:r>
          </w:p>
        </w:tc>
      </w:tr>
      <w:tr>
        <w:tc>
          <w:tcPr>
            <w:tcW w:type="dxa" w:w="14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Phase 3 Investissement</w:t>
            </w:r>
          </w:p>
        </w:tc>
        <w:tc>
          <w:tcPr>
            <w:tcW w:type="dxa" w:w="22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Sukuk tokenisés / FCP Moudharaba / Copy islamique</w:t>
            </w:r>
          </w:p>
        </w:tc>
        <w:tc>
          <w:tcPr>
            <w:tcW w:type="dxa" w:w="30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Structurer 1er Sukuk pilote 500M FCFA. Smart contract AAOIFI-compliant. Module Investissement Halal. Visa COSUMAF Sukuk.</w:t>
            </w:r>
          </w:p>
        </w:tc>
        <w:tc>
          <w:tcPr>
            <w:tcW w:type="dxa" w:w="156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6-12 mois</w:t>
            </w:r>
          </w:p>
        </w:tc>
        <w:tc>
          <w:tcPr>
            <w:tcW w:type="dxa" w:w="1200"/>
            <w:tcBorders>
              <w:top w:val="single" w:color="D0D5DD" w:sz="4"/>
              <w:left w:val="single" w:color="D0D5DD" w:sz="4"/>
              <w:bottom w:val="single" w:color="D0D5DD" w:sz="4"/>
              <w:right w:val="single" w:color="D0D5DD" w:sz="4"/>
            </w:tcBorders>
            <w:shd w:fill="FFFFFF"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MOYENNE</w:t>
            </w:r>
          </w:p>
        </w:tc>
      </w:tr>
      <w:tr>
        <w:tc>
          <w:tcPr>
            <w:tcW w:type="dxa" w:w="14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Phase 4 Ecosystème</w:t>
            </w:r>
          </w:p>
        </w:tc>
        <w:tc>
          <w:tcPr>
            <w:tcW w:type="dxa" w:w="22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Takaful / Waqf numérique / Marché secondaire Sukuk</w:t>
            </w:r>
          </w:p>
        </w:tc>
        <w:tc>
          <w:tcPr>
            <w:tcW w:type="dxa" w:w="30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Partenariat assureurs CIMA pour Takaful. Plateforme Waqf (dotation islamique). Marché secondaire Sukuk CEMAC.</w:t>
            </w:r>
          </w:p>
        </w:tc>
        <w:tc>
          <w:tcPr>
            <w:tcW w:type="dxa" w:w="156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12-24 mois</w:t>
            </w:r>
          </w:p>
        </w:tc>
        <w:tc>
          <w:tcPr>
            <w:tcW w:type="dxa" w:w="1200"/>
            <w:tcBorders>
              <w:top w:val="single" w:color="D0D5DD" w:sz="4"/>
              <w:left w:val="single" w:color="D0D5DD" w:sz="4"/>
              <w:bottom w:val="single" w:color="D0D5DD" w:sz="4"/>
              <w:right w:val="single" w:color="D0D5DD" w:sz="4"/>
            </w:tcBorders>
            <w:shd w:fill="F2F4F7" w:val="clear"/>
            <w:tcMar>
              <w:top w:type="dxa" w:w="100"/>
              <w:left w:type="dxa" w:w="160"/>
              <w:bottom w:type="dxa" w:w="100"/>
              <w:right w:type="dxa" w:w="160"/>
            </w:tcMar>
          </w:tcPr>
          <w:p>
            <w:pPr>
              <w:spacing w:after="60" w:before="60"/>
            </w:pPr>
            <w:r>
              <w:rPr>
                <w:rFonts w:ascii="Arial" w:cs="Arial" w:eastAsia="Arial" w:hAnsi="Arial"/>
                <w:b w:val="false"/>
                <w:bCs w:val="false"/>
                <w:color w:val="101828"/>
                <w:sz w:val="18"/>
                <w:szCs w:val="18"/>
              </w:rPr>
              <w:t xml:space="preserve">FUTURE</w:t>
            </w:r>
          </w:p>
        </w:tc>
      </w:tr>
    </w:tbl>
    <w:p>
      <w:pPr>
        <w:spacing w:after="120" w:before="120"/>
      </w:pPr>
      <w:r>
        <w:rPr>
          <w:rFonts w:ascii="Arial" w:cs="Arial" w:eastAsia="Arial" w:hAnsi="Arial"/>
        </w:rPr>
        <w:t xml:space="preserve"/>
      </w:r>
    </w:p>
    <w:p>
      <w:pPr>
        <w:pStyle w:val="Heading2"/>
        <w:pBdr>
          <w:bottom w:val="single" w:color="C8972B" w:sz="6" w:space="2"/>
        </w:pBdr>
        <w:spacing w:after="120" w:before="280"/>
      </w:pPr>
      <w:r>
        <w:rPr>
          <w:rFonts w:ascii="Arial" w:cs="Arial" w:eastAsia="Arial" w:hAnsi="Arial"/>
          <w:b/>
          <w:bCs/>
          <w:color w:val="1A7A4A"/>
          <w:sz w:val="28"/>
          <w:szCs w:val="28"/>
        </w:rPr>
        <w:t xml:space="preserve">4.2 Intégration technique dans l'architecture existante QPB</w:t>
      </w:r>
    </w:p>
    <w:p>
      <w:pPr>
        <w:pStyle w:val="Heading3"/>
        <w:spacing w:after="80" w:before="200"/>
      </w:pPr>
      <w:r>
        <w:rPr>
          <w:rFonts w:ascii="Arial" w:cs="Arial" w:eastAsia="Arial" w:hAnsi="Arial"/>
          <w:b/>
          <w:bCs/>
          <w:color w:val="1B4F8A"/>
          <w:sz w:val="24"/>
          <w:szCs w:val="24"/>
        </w:rPr>
        <w:t xml:space="preserve">Niveau 1 — Modifications légères (Phase 1, sans développement lourd)</w:t>
      </w:r>
    </w:p>
    <w:p>
      <w:pPr>
        <w:pStyle w:val="ListParagraph"/>
        <w:numPr>
          <w:ilvl w:val="0"/>
          <w:numId w:val="2"/>
        </w:numPr>
        <w:spacing w:after="60" w:before="60"/>
      </w:pPr>
      <w:r>
        <w:rPr>
          <w:rFonts w:ascii="Arial" w:cs="Arial" w:eastAsia="Arial" w:hAnsi="Arial"/>
          <w:color w:val="344054"/>
          <w:sz w:val="22"/>
          <w:szCs w:val="22"/>
        </w:rPr>
        <w:t xml:space="preserve">Ajouter un champ Charia-compatible sur les formulaires de crowdfunding et de mise en relation</w:t>
      </w:r>
    </w:p>
    <w:p>
      <w:pPr>
        <w:pStyle w:val="ListParagraph"/>
        <w:numPr>
          <w:ilvl w:val="0"/>
          <w:numId w:val="2"/>
        </w:numPr>
        <w:spacing w:after="60" w:before="60"/>
      </w:pPr>
      <w:r>
        <w:rPr>
          <w:rFonts w:ascii="Arial" w:cs="Arial" w:eastAsia="Arial" w:hAnsi="Arial"/>
          <w:color w:val="344054"/>
          <w:sz w:val="22"/>
          <w:szCs w:val="22"/>
        </w:rPr>
        <w:t xml:space="preserve">Ajouter un badge vert Halal sur les produits validés par le Comité Charia</w:t>
      </w:r>
    </w:p>
    <w:p>
      <w:pPr>
        <w:pStyle w:val="ListParagraph"/>
        <w:numPr>
          <w:ilvl w:val="0"/>
          <w:numId w:val="2"/>
        </w:numPr>
        <w:spacing w:after="60" w:before="60"/>
      </w:pPr>
      <w:r>
        <w:rPr>
          <w:rFonts w:ascii="Arial" w:cs="Arial" w:eastAsia="Arial" w:hAnsi="Arial"/>
          <w:color w:val="344054"/>
          <w:sz w:val="22"/>
          <w:szCs w:val="22"/>
        </w:rPr>
        <w:t xml:space="preserve">Créer une page Finance Islamique dans le module Découverte expliquant les principes de base</w:t>
      </w:r>
    </w:p>
    <w:p>
      <w:pPr>
        <w:pStyle w:val="ListParagraph"/>
        <w:numPr>
          <w:ilvl w:val="0"/>
          <w:numId w:val="2"/>
        </w:numPr>
        <w:spacing w:after="60" w:before="60"/>
      </w:pPr>
      <w:r>
        <w:rPr>
          <w:rFonts w:ascii="Arial" w:cs="Arial" w:eastAsia="Arial" w:hAnsi="Arial"/>
          <w:color w:val="344054"/>
          <w:sz w:val="22"/>
          <w:szCs w:val="22"/>
        </w:rPr>
        <w:t xml:space="preserve">Filtrer les résultats de recherche d'institutions par offre islamique disponible</w:t>
      </w:r>
    </w:p>
    <w:p>
      <w:pPr>
        <w:pStyle w:val="ListParagraph"/>
        <w:numPr>
          <w:ilvl w:val="0"/>
          <w:numId w:val="2"/>
        </w:numPr>
        <w:spacing w:after="60" w:before="60"/>
      </w:pPr>
      <w:r>
        <w:rPr>
          <w:rFonts w:ascii="Arial" w:cs="Arial" w:eastAsia="Arial" w:hAnsi="Arial"/>
          <w:color w:val="344054"/>
          <w:sz w:val="22"/>
          <w:szCs w:val="22"/>
        </w:rPr>
        <w:t xml:space="preserve">Ajouter un module pédagogique Comprendre la finance islamique dans la gamification QPB</w:t>
      </w:r>
    </w:p>
    <w:p>
      <w:pPr>
        <w:pStyle w:val="Heading3"/>
        <w:spacing w:after="80" w:before="200"/>
      </w:pPr>
      <w:r>
        <w:rPr>
          <w:rFonts w:ascii="Arial" w:cs="Arial" w:eastAsia="Arial" w:hAnsi="Arial"/>
          <w:b/>
          <w:bCs/>
          <w:color w:val="1B4F8A"/>
          <w:sz w:val="24"/>
          <w:szCs w:val="24"/>
        </w:rPr>
        <w:t xml:space="preserve">Niveau 2 — Modifications métiers (Phase 2-3, avec partenaires bancaires)</w:t>
      </w:r>
    </w:p>
    <w:p>
      <w:pPr>
        <w:pStyle w:val="ListParagraph"/>
        <w:numPr>
          <w:ilvl w:val="0"/>
          <w:numId w:val="2"/>
        </w:numPr>
        <w:spacing w:after="60" w:before="60"/>
      </w:pPr>
      <w:r>
        <w:rPr>
          <w:rFonts w:ascii="Arial" w:cs="Arial" w:eastAsia="Arial" w:hAnsi="Arial"/>
          <w:color w:val="344054"/>
          <w:sz w:val="22"/>
          <w:szCs w:val="22"/>
        </w:rPr>
        <w:t xml:space="preserve">Créer un profil institutionnel Islamic Window avec champs spécifiques : produits Charia, avis SSB, exclusions sectorielles</w:t>
      </w:r>
    </w:p>
    <w:p>
      <w:pPr>
        <w:pStyle w:val="ListParagraph"/>
        <w:numPr>
          <w:ilvl w:val="0"/>
          <w:numId w:val="2"/>
        </w:numPr>
        <w:spacing w:after="60" w:before="60"/>
      </w:pPr>
      <w:r>
        <w:rPr>
          <w:rFonts w:ascii="Arial" w:cs="Arial" w:eastAsia="Arial" w:hAnsi="Arial"/>
          <w:color w:val="344054"/>
          <w:sz w:val="22"/>
          <w:szCs w:val="22"/>
        </w:rPr>
        <w:t xml:space="preserve">Intégrer un workflow de demande Mourabaha/Ijara avec les documents requis (bon de commande, facture fournisseur, contrat de vente)</w:t>
      </w:r>
    </w:p>
    <w:p>
      <w:pPr>
        <w:pStyle w:val="ListParagraph"/>
        <w:numPr>
          <w:ilvl w:val="0"/>
          <w:numId w:val="2"/>
        </w:numPr>
        <w:spacing w:after="60" w:before="60"/>
      </w:pPr>
      <w:r>
        <w:rPr>
          <w:rFonts w:ascii="Arial" w:cs="Arial" w:eastAsia="Arial" w:hAnsi="Arial"/>
          <w:color w:val="344054"/>
          <w:sz w:val="22"/>
          <w:szCs w:val="22"/>
        </w:rPr>
        <w:t xml:space="preserve">Ajouter la fonctionnalité de crowdfunding Moucharaka avec règles de partage pertes/profits automatisées</w:t>
      </w:r>
    </w:p>
    <w:p>
      <w:pPr>
        <w:pStyle w:val="ListParagraph"/>
        <w:numPr>
          <w:ilvl w:val="0"/>
          <w:numId w:val="2"/>
        </w:numPr>
        <w:spacing w:after="60" w:before="60"/>
      </w:pPr>
      <w:r>
        <w:rPr>
          <w:rFonts w:ascii="Arial" w:cs="Arial" w:eastAsia="Arial" w:hAnsi="Arial"/>
          <w:color w:val="344054"/>
          <w:sz w:val="22"/>
          <w:szCs w:val="22"/>
        </w:rPr>
        <w:t xml:space="preserve">Créer un module FCP islamique avec affichage de l'avis du Comité Charia et des secteurs exclus (alcool, tabac, armes, pornographie, jeux)</w:t>
      </w:r>
    </w:p>
    <w:p>
      <w:pPr>
        <w:pStyle w:val="Heading3"/>
        <w:spacing w:after="80" w:before="200"/>
      </w:pPr>
      <w:r>
        <w:rPr>
          <w:rFonts w:ascii="Arial" w:cs="Arial" w:eastAsia="Arial" w:hAnsi="Arial"/>
          <w:b/>
          <w:bCs/>
          <w:color w:val="1B4F8A"/>
          <w:sz w:val="24"/>
          <w:szCs w:val="24"/>
        </w:rPr>
        <w:t xml:space="preserve">Niveau 3 — Tokenisation Sukuk (Phase 3-4, couche blockchain avancée)</w:t>
      </w:r>
    </w:p>
    <w:p>
      <w:pPr>
        <w:pStyle w:val="ListParagraph"/>
        <w:numPr>
          <w:ilvl w:val="0"/>
          <w:numId w:val="2"/>
        </w:numPr>
        <w:spacing w:after="60" w:before="60"/>
      </w:pPr>
      <w:r>
        <w:rPr>
          <w:rFonts w:ascii="Arial" w:cs="Arial" w:eastAsia="Arial" w:hAnsi="Arial"/>
          <w:color w:val="344054"/>
          <w:sz w:val="22"/>
          <w:szCs w:val="22"/>
        </w:rPr>
        <w:t xml:space="preserve">Modifier le smart contract ERC-20 Polygon pour inclure les paramètres Sukuk : actif sous-jacent, loyer mensuel, maturité, flag Charia-compliant</w:t>
      </w:r>
    </w:p>
    <w:p>
      <w:pPr>
        <w:pStyle w:val="ListParagraph"/>
        <w:numPr>
          <w:ilvl w:val="0"/>
          <w:numId w:val="2"/>
        </w:numPr>
        <w:spacing w:after="60" w:before="60"/>
      </w:pPr>
      <w:r>
        <w:rPr>
          <w:rFonts w:ascii="Arial" w:cs="Arial" w:eastAsia="Arial" w:hAnsi="Arial"/>
          <w:color w:val="344054"/>
          <w:sz w:val="22"/>
          <w:szCs w:val="22"/>
        </w:rPr>
        <w:t xml:space="preserve">Intégrer la validation Charia dans le workflow de tokenisation : étape Validation Comité Charia avant toute émission de tokens</w:t>
      </w:r>
    </w:p>
    <w:p>
      <w:pPr>
        <w:pStyle w:val="ListParagraph"/>
        <w:numPr>
          <w:ilvl w:val="0"/>
          <w:numId w:val="2"/>
        </w:numPr>
        <w:spacing w:after="60" w:before="60"/>
      </w:pPr>
      <w:r>
        <w:rPr>
          <w:rFonts w:ascii="Arial" w:cs="Arial" w:eastAsia="Arial" w:hAnsi="Arial"/>
          <w:color w:val="344054"/>
          <w:sz w:val="22"/>
          <w:szCs w:val="22"/>
        </w:rPr>
        <w:t xml:space="preserve">Stocker l'avis Charia sur IPFS (déjà prévu dans l'architecture QPB) pour une transparence et une auditabilité totales</w:t>
      </w:r>
    </w:p>
    <w:p>
      <w:pPr>
        <w:pStyle w:val="ListParagraph"/>
        <w:numPr>
          <w:ilvl w:val="0"/>
          <w:numId w:val="2"/>
        </w:numPr>
        <w:spacing w:after="60" w:before="60"/>
      </w:pPr>
      <w:r>
        <w:rPr>
          <w:rFonts w:ascii="Arial" w:cs="Arial" w:eastAsia="Arial" w:hAnsi="Arial"/>
          <w:color w:val="344054"/>
          <w:sz w:val="22"/>
          <w:szCs w:val="22"/>
        </w:rPr>
        <w:t xml:space="preserve">Créer un marché secondaire de Sukuk séparé du marché tokens conventionnel, avec filtres Charia et restrictions d'investisseurs qualifiés</w:t>
      </w:r>
    </w:p>
    <w:p>
      <w:pPr>
        <w:pStyle w:val="Heading2"/>
        <w:pBdr>
          <w:bottom w:val="single" w:color="C8972B" w:sz="6" w:space="2"/>
        </w:pBdr>
        <w:spacing w:after="120" w:before="280"/>
      </w:pPr>
      <w:r>
        <w:rPr>
          <w:rFonts w:ascii="Arial" w:cs="Arial" w:eastAsia="Arial" w:hAnsi="Arial"/>
          <w:b/>
          <w:bCs/>
          <w:color w:val="1A7A4A"/>
          <w:sz w:val="28"/>
          <w:szCs w:val="28"/>
        </w:rPr>
        <w:t xml:space="preserve">4.3 Partenariats clés à développer</w:t>
      </w:r>
    </w:p>
    <w:p>
      <w:pPr>
        <w:pStyle w:val="ListParagraph"/>
        <w:numPr>
          <w:ilvl w:val="0"/>
          <w:numId w:val="2"/>
        </w:numPr>
        <w:spacing w:after="60" w:before="60"/>
      </w:pPr>
      <w:r>
        <w:rPr>
          <w:rFonts w:ascii="Arial" w:cs="Arial" w:eastAsia="Arial" w:hAnsi="Arial"/>
          <w:b/>
          <w:bCs/>
          <w:color w:val="1A7A4A"/>
          <w:sz w:val="22"/>
          <w:szCs w:val="22"/>
        </w:rPr>
        <w:t xml:space="preserve">BGFI Bank (présente dans 9 pays CEMAC) pour une Islamic Window dédiée — Afriland First Bank (Cameroun) — Ecobank pour couverture régionale et liquidité internationale </w:t>
      </w:r>
      <w:r>
        <w:rPr>
          <w:rFonts w:ascii="Arial" w:cs="Arial" w:eastAsia="Arial" w:hAnsi="Arial"/>
          <w:color w:val="344054"/>
          <w:sz w:val="22"/>
          <w:szCs w:val="22"/>
        </w:rPr>
        <w:t xml:space="preserve">Institutions bancaires CEMAC :</w:t>
      </w:r>
    </w:p>
    <w:p>
      <w:pPr>
        <w:pStyle w:val="ListParagraph"/>
        <w:numPr>
          <w:ilvl w:val="0"/>
          <w:numId w:val="2"/>
        </w:numPr>
        <w:spacing w:after="60" w:before="60"/>
      </w:pPr>
      <w:r>
        <w:rPr>
          <w:rFonts w:ascii="Arial" w:cs="Arial" w:eastAsia="Arial" w:hAnsi="Arial"/>
          <w:b/>
          <w:bCs/>
          <w:color w:val="1A7A4A"/>
          <w:sz w:val="22"/>
          <w:szCs w:val="22"/>
        </w:rPr>
        <w:t xml:space="preserve">Banque Islamique de Développement (IsDB, Jeddah) pour co-financement — AAOIFI pour certification Charia — IFSB pour standards prudentiels islamiques </w:t>
      </w:r>
      <w:r>
        <w:rPr>
          <w:rFonts w:ascii="Arial" w:cs="Arial" w:eastAsia="Arial" w:hAnsi="Arial"/>
          <w:color w:val="344054"/>
          <w:sz w:val="22"/>
          <w:szCs w:val="22"/>
        </w:rPr>
        <w:t xml:space="preserve">Organismes islamiques internationaux :</w:t>
      </w:r>
    </w:p>
    <w:p>
      <w:pPr>
        <w:pStyle w:val="ListParagraph"/>
        <w:numPr>
          <w:ilvl w:val="0"/>
          <w:numId w:val="2"/>
        </w:numPr>
        <w:spacing w:after="60" w:before="60"/>
      </w:pPr>
      <w:r>
        <w:rPr>
          <w:rFonts w:ascii="Arial" w:cs="Arial" w:eastAsia="Arial" w:hAnsi="Arial"/>
          <w:b/>
          <w:bCs/>
          <w:color w:val="1A7A4A"/>
          <w:sz w:val="22"/>
          <w:szCs w:val="22"/>
        </w:rPr>
        <w:t xml:space="preserve">Fournisseurs de Charia-screening automatisé (vérification conformité des portefeuilles) — Refinitiv Islamic Finance pour données de marché islamique </w:t>
      </w:r>
      <w:r>
        <w:rPr>
          <w:rFonts w:ascii="Arial" w:cs="Arial" w:eastAsia="Arial" w:hAnsi="Arial"/>
          <w:color w:val="344054"/>
          <w:sz w:val="22"/>
          <w:szCs w:val="22"/>
        </w:rPr>
        <w:t xml:space="preserve">Acteurs technologiques :</w:t>
      </w:r>
    </w:p>
    <w:p>
      <w:pPr>
        <w:pStyle w:val="ListParagraph"/>
        <w:numPr>
          <w:ilvl w:val="0"/>
          <w:numId w:val="2"/>
        </w:numPr>
        <w:spacing w:after="60" w:before="60"/>
      </w:pPr>
      <w:r>
        <w:rPr>
          <w:rFonts w:ascii="Arial" w:cs="Arial" w:eastAsia="Arial" w:hAnsi="Arial"/>
          <w:b/>
          <w:bCs/>
          <w:color w:val="1A7A4A"/>
          <w:sz w:val="22"/>
          <w:szCs w:val="22"/>
        </w:rPr>
        <w:t xml:space="preserve">Fondations islamiques camerounaises et tchadiennes — Fonds d'investissement du Golfe ciblant l'Afrique (Saudi Fund for Development, KFAED, Abu Dhabi Fund) </w:t>
      </w:r>
      <w:r>
        <w:rPr>
          <w:rFonts w:ascii="Arial" w:cs="Arial" w:eastAsia="Arial" w:hAnsi="Arial"/>
          <w:color w:val="344054"/>
          <w:sz w:val="22"/>
          <w:szCs w:val="22"/>
        </w:rPr>
        <w:t xml:space="preserve">Diaspora &amp; GCC :</w:t>
      </w:r>
    </w:p>
    <w:p>
      <w:pPr>
        <w:pBdr>
          <w:bottom w:val="single" w:color="D0D5DD" w:sz="4" w:space="1"/>
        </w:pBdr>
        <w:spacing w:after="120" w:before="120"/>
      </w:pPr>
      <w:r>
        <w:rPr>
          <w:rFonts w:ascii="Arial" w:cs="Arial" w:eastAsia="Arial" w:hAnsi="Arial"/>
        </w:rPr>
        <w:t xml:space="preserve"/>
      </w:r>
    </w:p>
    <w:p>
      <w:r>
        <w:br w:type="page"/>
      </w:r>
    </w:p>
    <w:p>
      <w:pPr>
        <w:pStyle w:val="Heading1"/>
        <w:shd w:fill="1A7A4A" w:val="clear"/>
        <w:spacing w:after="200" w:before="360"/>
        <w:ind w:left="0" w:right="0"/>
      </w:pPr>
      <w:r>
        <w:rPr>
          <w:rFonts w:ascii="Arial" w:cs="Arial" w:eastAsia="Arial" w:hAnsi="Arial"/>
          <w:b/>
          <w:bCs/>
          <w:color w:val="FFFFFF"/>
          <w:sz w:val="36"/>
          <w:szCs w:val="36"/>
        </w:rPr>
        <w:t xml:space="preserve">5. Opportunités et Potentiel de Marché</w:t>
      </w:r>
    </w:p>
    <w:p>
      <w:pPr>
        <w:pStyle w:val="Heading2"/>
        <w:pBdr>
          <w:bottom w:val="single" w:color="C8972B" w:sz="6" w:space="2"/>
        </w:pBdr>
        <w:spacing w:after="120" w:before="280"/>
      </w:pPr>
      <w:r>
        <w:rPr>
          <w:rFonts w:ascii="Arial" w:cs="Arial" w:eastAsia="Arial" w:hAnsi="Arial"/>
          <w:b/>
          <w:bCs/>
          <w:color w:val="1A7A4A"/>
          <w:sz w:val="28"/>
          <w:szCs w:val="28"/>
        </w:rPr>
        <w:t xml:space="preserve">5.1 Segments de marché cibles</w:t>
      </w:r>
    </w:p>
    <w:p>
      <w:pPr>
        <w:pStyle w:val="ListParagraph"/>
        <w:numPr>
          <w:ilvl w:val="0"/>
          <w:numId w:val="2"/>
        </w:numPr>
        <w:spacing w:after="60" w:before="60"/>
      </w:pPr>
      <w:r>
        <w:rPr>
          <w:rFonts w:ascii="Arial" w:cs="Arial" w:eastAsia="Arial" w:hAnsi="Arial"/>
          <w:b/>
          <w:bCs/>
          <w:color w:val="1A7A4A"/>
          <w:sz w:val="22"/>
          <w:szCs w:val="22"/>
        </w:rPr>
        <w:t xml:space="preserve">Le Tchad (55 %), le Nord-Cameroun, la Centrafrique regroupent des millions de personnes dont l'épargne reste hors du système formel par conviction religieuse. La finance islamique est la porte d'entrée vers leur inclusion financière sur QPB. </w:t>
      </w:r>
      <w:r>
        <w:rPr>
          <w:rFonts w:ascii="Arial" w:cs="Arial" w:eastAsia="Arial" w:hAnsi="Arial"/>
          <w:color w:val="344054"/>
          <w:sz w:val="22"/>
          <w:szCs w:val="22"/>
        </w:rPr>
        <w:t xml:space="preserve">Population musulmane non bancarisée</w:t>
      </w:r>
    </w:p>
    <w:p>
      <w:pPr>
        <w:pStyle w:val="ListParagraph"/>
        <w:numPr>
          <w:ilvl w:val="0"/>
          <w:numId w:val="2"/>
        </w:numPr>
        <w:spacing w:after="60" w:before="60"/>
      </w:pPr>
      <w:r>
        <w:rPr>
          <w:rFonts w:ascii="Arial" w:cs="Arial" w:eastAsia="Arial" w:hAnsi="Arial"/>
          <w:b/>
          <w:bCs/>
          <w:color w:val="1A7A4A"/>
          <w:sz w:val="22"/>
          <w:szCs w:val="22"/>
        </w:rPr>
        <w:t xml:space="preserve">Commerce de produits halal, agriculture, élevage, textile, transformation artisanale. Ces entreprises recherchent des financements Charia-compatibles que les banques classiques ne proposent pas ou insuffisamment. </w:t>
      </w:r>
      <w:r>
        <w:rPr>
          <w:rFonts w:ascii="Arial" w:cs="Arial" w:eastAsia="Arial" w:hAnsi="Arial"/>
          <w:color w:val="344054"/>
          <w:sz w:val="22"/>
          <w:szCs w:val="22"/>
        </w:rPr>
        <w:t xml:space="preserve">PME du secteur halal</w:t>
      </w:r>
    </w:p>
    <w:p>
      <w:pPr>
        <w:pStyle w:val="ListParagraph"/>
        <w:numPr>
          <w:ilvl w:val="0"/>
          <w:numId w:val="2"/>
        </w:numPr>
        <w:spacing w:after="60" w:before="60"/>
      </w:pPr>
      <w:r>
        <w:rPr>
          <w:rFonts w:ascii="Arial" w:cs="Arial" w:eastAsia="Arial" w:hAnsi="Arial"/>
          <w:b/>
          <w:bCs/>
          <w:color w:val="1A7A4A"/>
          <w:sz w:val="22"/>
          <w:szCs w:val="22"/>
        </w:rPr>
        <w:t xml:space="preserve">Les Camerounais, Tchadiens et Centrafricains installés au Qatar, EAU et Arabie Saoudite disposent d'économies en instruments islamiques et cherchent à investir dans leur pays d'origine via des Sukuk ou fonds islamiques. </w:t>
      </w:r>
      <w:r>
        <w:rPr>
          <w:rFonts w:ascii="Arial" w:cs="Arial" w:eastAsia="Arial" w:hAnsi="Arial"/>
          <w:color w:val="344054"/>
          <w:sz w:val="22"/>
          <w:szCs w:val="22"/>
        </w:rPr>
        <w:t xml:space="preserve">Diaspora africaine dans les pays du Golfe</w:t>
      </w:r>
    </w:p>
    <w:p>
      <w:pPr>
        <w:pStyle w:val="ListParagraph"/>
        <w:numPr>
          <w:ilvl w:val="0"/>
          <w:numId w:val="2"/>
        </w:numPr>
        <w:spacing w:after="60" w:before="60"/>
      </w:pPr>
      <w:r>
        <w:rPr>
          <w:rFonts w:ascii="Arial" w:cs="Arial" w:eastAsia="Arial" w:hAnsi="Arial"/>
          <w:b/>
          <w:bCs/>
          <w:color w:val="1A7A4A"/>
          <w:sz w:val="22"/>
          <w:szCs w:val="22"/>
        </w:rPr>
        <w:t xml:space="preserve">Les fonds souverains et banques islamiques du Moyen-Orient cherchent activement à diversifier vers l'Afrique subsaharienne. Un Sukuk tokenisé CEMAC accessible sur QPB peut capter ces capitaux via une interface numérique moderne et conforme. </w:t>
      </w:r>
      <w:r>
        <w:rPr>
          <w:rFonts w:ascii="Arial" w:cs="Arial" w:eastAsia="Arial" w:hAnsi="Arial"/>
          <w:color w:val="344054"/>
          <w:sz w:val="22"/>
          <w:szCs w:val="22"/>
        </w:rPr>
        <w:t xml:space="preserve">Investisseurs institutionnels du Golfe (GCC)</w:t>
      </w:r>
    </w:p>
    <w:p>
      <w:pPr>
        <w:pStyle w:val="Heading2"/>
        <w:pBdr>
          <w:bottom w:val="single" w:color="C8972B" w:sz="6" w:space="2"/>
        </w:pBdr>
        <w:spacing w:after="120" w:before="280"/>
      </w:pPr>
      <w:r>
        <w:rPr>
          <w:rFonts w:ascii="Arial" w:cs="Arial" w:eastAsia="Arial" w:hAnsi="Arial"/>
          <w:b/>
          <w:bCs/>
          <w:color w:val="1A7A4A"/>
          <w:sz w:val="28"/>
          <w:szCs w:val="28"/>
        </w:rPr>
        <w:t xml:space="preserve">5.2 Estimation du potentiel de marché</w:t>
      </w:r>
    </w:p>
    <w:p>
      <w:pPr>
        <w:spacing w:after="80" w:before="80"/>
      </w:pPr>
      <w:r>
        <w:rPr>
          <w:rFonts w:ascii="Arial" w:cs="Arial" w:eastAsia="Arial" w:hAnsi="Arial"/>
          <w:color w:val="344054"/>
          <w:sz w:val="22"/>
          <w:szCs w:val="22"/>
        </w:rPr>
        <w:t xml:space="preserve">Sur la base des analogies régionales observées au Niger, Mali et Sénégal qui ont récemment émis des Sukuk souverains, les estimations suivantes peuvent être avancées à horizon 5 ans :</w:t>
      </w:r>
    </w:p>
    <w:p>
      <w:pPr>
        <w:pStyle w:val="ListParagraph"/>
        <w:numPr>
          <w:ilvl w:val="0"/>
          <w:numId w:val="2"/>
        </w:numPr>
        <w:spacing w:after="60" w:before="60"/>
      </w:pPr>
      <w:r>
        <w:rPr>
          <w:rFonts w:ascii="Arial" w:cs="Arial" w:eastAsia="Arial" w:hAnsi="Arial"/>
          <w:color w:val="344054"/>
          <w:sz w:val="22"/>
          <w:szCs w:val="22"/>
        </w:rPr>
        <w:t xml:space="preserve">Marché Sukuk souverains et corporate CEMAC : 200 à 500 milliards FCFA si les États (Cameroun, Gabon) optent pour ce mécanisme, avec QPB comme plateforme de distribution</w:t>
      </w:r>
    </w:p>
    <w:p>
      <w:pPr>
        <w:pStyle w:val="ListParagraph"/>
        <w:numPr>
          <w:ilvl w:val="0"/>
          <w:numId w:val="2"/>
        </w:numPr>
        <w:spacing w:after="60" w:before="60"/>
      </w:pPr>
      <w:r>
        <w:rPr>
          <w:rFonts w:ascii="Arial" w:cs="Arial" w:eastAsia="Arial" w:hAnsi="Arial"/>
          <w:color w:val="344054"/>
          <w:sz w:val="22"/>
          <w:szCs w:val="22"/>
        </w:rPr>
        <w:t xml:space="preserve">Marché PME Mourabaha/Ijara non adressé par les banques classiques : 50 à 150 milliards FCFA</w:t>
      </w:r>
    </w:p>
    <w:p>
      <w:pPr>
        <w:pStyle w:val="ListParagraph"/>
        <w:numPr>
          <w:ilvl w:val="0"/>
          <w:numId w:val="2"/>
        </w:numPr>
        <w:spacing w:after="60" w:before="60"/>
      </w:pPr>
      <w:r>
        <w:rPr>
          <w:rFonts w:ascii="Arial" w:cs="Arial" w:eastAsia="Arial" w:hAnsi="Arial"/>
          <w:color w:val="344054"/>
          <w:sz w:val="22"/>
          <w:szCs w:val="22"/>
        </w:rPr>
        <w:t xml:space="preserve">Crowdfunding islamique (Moucharaka/Qard Hassan) : 5 à 20 milliards FCFA sur 3 ans</w:t>
      </w:r>
    </w:p>
    <w:p>
      <w:pPr>
        <w:pStyle w:val="ListParagraph"/>
        <w:numPr>
          <w:ilvl w:val="0"/>
          <w:numId w:val="2"/>
        </w:numPr>
        <w:spacing w:after="60" w:before="60"/>
      </w:pPr>
      <w:r>
        <w:rPr>
          <w:rFonts w:ascii="Arial" w:cs="Arial" w:eastAsia="Arial" w:hAnsi="Arial"/>
          <w:color w:val="344054"/>
          <w:sz w:val="22"/>
          <w:szCs w:val="22"/>
        </w:rPr>
        <w:t xml:space="preserve">Flux diaspora GCC vers CEMAC via Sukuk tokenisés : 10 à 50 millions USD si la plateforme est certifiée AAOIFI et crédible internationalement</w:t>
      </w:r>
    </w:p>
    <w:p>
      <w:pPr>
        <w:pStyle w:val="Heading2"/>
        <w:pBdr>
          <w:bottom w:val="single" w:color="C8972B" w:sz="6" w:space="2"/>
        </w:pBdr>
        <w:spacing w:after="120" w:before="280"/>
      </w:pPr>
      <w:r>
        <w:rPr>
          <w:rFonts w:ascii="Arial" w:cs="Arial" w:eastAsia="Arial" w:hAnsi="Arial"/>
          <w:b/>
          <w:bCs/>
          <w:color w:val="1A7A4A"/>
          <w:sz w:val="28"/>
          <w:szCs w:val="28"/>
        </w:rPr>
        <w:t xml:space="preserve">5.3 Avantages concurrentiels acquis</w:t>
      </w:r>
    </w:p>
    <w:p>
      <w:pPr>
        <w:pStyle w:val="ListParagraph"/>
        <w:numPr>
          <w:ilvl w:val="0"/>
          <w:numId w:val="2"/>
        </w:numPr>
        <w:spacing w:after="60" w:before="60"/>
      </w:pPr>
      <w:r>
        <w:rPr>
          <w:rFonts w:ascii="Arial" w:cs="Arial" w:eastAsia="Arial" w:hAnsi="Arial"/>
          <w:b/>
          <w:bCs/>
          <w:color w:val="1A7A4A"/>
          <w:sz w:val="22"/>
          <w:szCs w:val="22"/>
        </w:rPr>
        <w:t xml:space="preserve">Aucune plateforme numérique ne propose la finance islamique structurée en zone CEMAC. QPB peut définir les standards du marché et construire une barrière à l'entrée durable. </w:t>
      </w:r>
      <w:r>
        <w:rPr>
          <w:rFonts w:ascii="Arial" w:cs="Arial" w:eastAsia="Arial" w:hAnsi="Arial"/>
          <w:color w:val="344054"/>
          <w:sz w:val="22"/>
          <w:szCs w:val="22"/>
        </w:rPr>
        <w:t xml:space="preserve">First mover absolu</w:t>
      </w:r>
    </w:p>
    <w:p>
      <w:pPr>
        <w:pStyle w:val="ListParagraph"/>
        <w:numPr>
          <w:ilvl w:val="0"/>
          <w:numId w:val="2"/>
        </w:numPr>
        <w:spacing w:after="60" w:before="60"/>
      </w:pPr>
      <w:r>
        <w:rPr>
          <w:rFonts w:ascii="Arial" w:cs="Arial" w:eastAsia="Arial" w:hAnsi="Arial"/>
          <w:b/>
          <w:bCs/>
          <w:color w:val="1A7A4A"/>
          <w:sz w:val="22"/>
          <w:szCs w:val="22"/>
        </w:rPr>
        <w:t xml:space="preserve">La tokenisation sur Polygon déjà architecturée dans QPB est un vecteur idéal pour les Sukuk numériques — sans surcoût architectural majeur en Phase 3. </w:t>
      </w:r>
      <w:r>
        <w:rPr>
          <w:rFonts w:ascii="Arial" w:cs="Arial" w:eastAsia="Arial" w:hAnsi="Arial"/>
          <w:color w:val="344054"/>
          <w:sz w:val="22"/>
          <w:szCs w:val="22"/>
        </w:rPr>
        <w:t xml:space="preserve">Synergie technologique native</w:t>
      </w:r>
    </w:p>
    <w:p>
      <w:pPr>
        <w:pStyle w:val="ListParagraph"/>
        <w:numPr>
          <w:ilvl w:val="0"/>
          <w:numId w:val="2"/>
        </w:numPr>
        <w:spacing w:after="60" w:before="60"/>
      </w:pPr>
      <w:r>
        <w:rPr>
          <w:rFonts w:ascii="Arial" w:cs="Arial" w:eastAsia="Arial" w:hAnsi="Arial"/>
          <w:b/>
          <w:bCs/>
          <w:color w:val="1A7A4A"/>
          <w:sz w:val="22"/>
          <w:szCs w:val="22"/>
        </w:rPr>
        <w:t xml:space="preserve">QPB adresse simultanément le marché conventionnel ET le marché islamique sur le même actif sous-jacent, maximisant la liquidité et la base investisseurs. </w:t>
      </w:r>
      <w:r>
        <w:rPr>
          <w:rFonts w:ascii="Arial" w:cs="Arial" w:eastAsia="Arial" w:hAnsi="Arial"/>
          <w:color w:val="344054"/>
          <w:sz w:val="22"/>
          <w:szCs w:val="22"/>
        </w:rPr>
        <w:t xml:space="preserve">Double adressage du marché</w:t>
      </w:r>
    </w:p>
    <w:p>
      <w:pPr>
        <w:pStyle w:val="ListParagraph"/>
        <w:numPr>
          <w:ilvl w:val="0"/>
          <w:numId w:val="2"/>
        </w:numPr>
        <w:spacing w:after="60" w:before="60"/>
      </w:pPr>
      <w:r>
        <w:rPr>
          <w:rFonts w:ascii="Arial" w:cs="Arial" w:eastAsia="Arial" w:hAnsi="Arial"/>
          <w:b/>
          <w:bCs/>
          <w:color w:val="1A7A4A"/>
          <w:sz w:val="22"/>
          <w:szCs w:val="22"/>
        </w:rPr>
        <w:t xml:space="preserve">Une labellisation AAOIFI ou un partenariat IsDB ouvrirait à QPB l'accès à des lignes de crédit concessionnelles et des subventions pour l'inclusion financière — source de financement inexploitée en CEMAC. </w:t>
      </w:r>
      <w:r>
        <w:rPr>
          <w:rFonts w:ascii="Arial" w:cs="Arial" w:eastAsia="Arial" w:hAnsi="Arial"/>
          <w:color w:val="344054"/>
          <w:sz w:val="22"/>
          <w:szCs w:val="22"/>
        </w:rPr>
        <w:t xml:space="preserve">Attractivité pour bailleurs islamiques</w:t>
      </w:r>
    </w:p>
    <w:p>
      <w:pPr>
        <w:pBdr>
          <w:bottom w:val="single" w:color="D0D5DD" w:sz="4" w:space="1"/>
        </w:pBdr>
        <w:spacing w:after="120" w:before="120"/>
      </w:pPr>
      <w:r>
        <w:rPr>
          <w:rFonts w:ascii="Arial" w:cs="Arial" w:eastAsia="Arial" w:hAnsi="Arial"/>
        </w:rPr>
        <w:t xml:space="preserve"/>
      </w:r>
    </w:p>
    <w:p>
      <w:r>
        <w:br w:type="page"/>
      </w:r>
    </w:p>
    <w:p>
      <w:pPr>
        <w:pStyle w:val="Heading1"/>
        <w:shd w:fill="1A7A4A" w:val="clear"/>
        <w:spacing w:after="200" w:before="360"/>
        <w:ind w:left="0" w:right="0"/>
      </w:pPr>
      <w:r>
        <w:rPr>
          <w:rFonts w:ascii="Arial" w:cs="Arial" w:eastAsia="Arial" w:hAnsi="Arial"/>
          <w:b/>
          <w:bCs/>
          <w:color w:val="FFFFFF"/>
          <w:sz w:val="36"/>
          <w:szCs w:val="36"/>
        </w:rPr>
        <w:t xml:space="preserve">6. Limites, Risques et Points de Vigilance</w:t>
      </w:r>
    </w:p>
    <w:p>
      <w:pPr>
        <w:pStyle w:val="Heading2"/>
        <w:pBdr>
          <w:bottom w:val="single" w:color="C8972B" w:sz="6" w:space="2"/>
        </w:pBdr>
        <w:spacing w:after="120" w:before="280"/>
      </w:pPr>
      <w:r>
        <w:rPr>
          <w:rFonts w:ascii="Arial" w:cs="Arial" w:eastAsia="Arial" w:hAnsi="Arial"/>
          <w:b/>
          <w:bCs/>
          <w:color w:val="1A7A4A"/>
          <w:sz w:val="28"/>
          <w:szCs w:val="28"/>
        </w:rPr>
        <w:t xml:space="preserve">6.1 Limites réglementaires</w:t>
      </w:r>
    </w:p>
    <w:p>
      <w:pPr>
        <w:pStyle w:val="ListParagraph"/>
        <w:numPr>
          <w:ilvl w:val="0"/>
          <w:numId w:val="2"/>
        </w:numPr>
        <w:spacing w:after="60" w:before="60"/>
      </w:pPr>
      <w:r>
        <w:rPr>
          <w:rFonts w:ascii="Arial" w:cs="Arial" w:eastAsia="Arial" w:hAnsi="Arial"/>
          <w:b/>
          <w:bCs/>
          <w:color w:val="1A7A4A"/>
          <w:sz w:val="22"/>
          <w:szCs w:val="22"/>
        </w:rPr>
        <w:t xml:space="preserve">Il n'existe pas de loi-cadre sur la finance islamique en zone CEMAC. Tout produit islamique doit s'inscrire dans le droit commun, parfois difficile à concilier : la Mourabaha implique deux ventes successives qui peuvent générer une double taxation au sens du droit OHADA et nécessite une structuration contractuelle spécifique. </w:t>
      </w:r>
      <w:r>
        <w:rPr>
          <w:rFonts w:ascii="Arial" w:cs="Arial" w:eastAsia="Arial" w:hAnsi="Arial"/>
          <w:color w:val="344054"/>
          <w:sz w:val="22"/>
          <w:szCs w:val="22"/>
        </w:rPr>
        <w:t xml:space="preserve">Absence de cadre Charia spécifique COBAC/COSUMAF</w:t>
      </w:r>
    </w:p>
    <w:p>
      <w:pPr>
        <w:pStyle w:val="ListParagraph"/>
        <w:numPr>
          <w:ilvl w:val="0"/>
          <w:numId w:val="2"/>
        </w:numPr>
        <w:spacing w:after="60" w:before="60"/>
      </w:pPr>
      <w:r>
        <w:rPr>
          <w:rFonts w:ascii="Arial" w:cs="Arial" w:eastAsia="Arial" w:hAnsi="Arial"/>
          <w:b/>
          <w:bCs/>
          <w:color w:val="1A7A4A"/>
          <w:sz w:val="22"/>
          <w:szCs w:val="22"/>
        </w:rPr>
        <w:t xml:space="preserve">Si la tokenisation est juridiquement encadrée par le règlement DEEP 2025, les Sukuk en tant que catégorie spécifique ne sont pas nommément reconnus. Leur structuration requiert un avis juridique formel COSUMAF et un montage ad hoc pour chaque émission. </w:t>
      </w:r>
      <w:r>
        <w:rPr>
          <w:rFonts w:ascii="Arial" w:cs="Arial" w:eastAsia="Arial" w:hAnsi="Arial"/>
          <w:color w:val="344054"/>
          <w:sz w:val="22"/>
          <w:szCs w:val="22"/>
        </w:rPr>
        <w:t xml:space="preserve">Flou juridique sur les Sukuk</w:t>
      </w:r>
    </w:p>
    <w:p>
      <w:pPr>
        <w:pStyle w:val="ListParagraph"/>
        <w:numPr>
          <w:ilvl w:val="0"/>
          <w:numId w:val="2"/>
        </w:numPr>
        <w:spacing w:after="60" w:before="60"/>
      </w:pPr>
      <w:r>
        <w:rPr>
          <w:rFonts w:ascii="Arial" w:cs="Arial" w:eastAsia="Arial" w:hAnsi="Arial"/>
          <w:b/>
          <w:bCs/>
          <w:color w:val="1A7A4A"/>
          <w:sz w:val="22"/>
          <w:szCs w:val="22"/>
        </w:rPr>
        <w:t xml:space="preserve">Certains produits islamiques (Mourabaha, Ijara) nécessitent que la banque ou la plateforme devienne propriétaire de l'actif avant de le céder ou louer au client. L'Acte uniforme OHADA des sûretés doit être soigneusement analysé pour éviter des conflits juridiques ou des charges fiscales imprévues. </w:t>
      </w:r>
      <w:r>
        <w:rPr>
          <w:rFonts w:ascii="Arial" w:cs="Arial" w:eastAsia="Arial" w:hAnsi="Arial"/>
          <w:color w:val="344054"/>
          <w:sz w:val="22"/>
          <w:szCs w:val="22"/>
        </w:rPr>
        <w:t xml:space="preserve">OHADA et double propriété des actifs</w:t>
      </w:r>
    </w:p>
    <w:p>
      <w:pPr>
        <w:pStyle w:val="Heading2"/>
        <w:pBdr>
          <w:bottom w:val="single" w:color="C8972B" w:sz="6" w:space="2"/>
        </w:pBdr>
        <w:spacing w:after="120" w:before="280"/>
      </w:pPr>
      <w:r>
        <w:rPr>
          <w:rFonts w:ascii="Arial" w:cs="Arial" w:eastAsia="Arial" w:hAnsi="Arial"/>
          <w:b/>
          <w:bCs/>
          <w:color w:val="1A7A4A"/>
          <w:sz w:val="28"/>
          <w:szCs w:val="28"/>
        </w:rPr>
        <w:t xml:space="preserve">6.2 Limites opérationnelles</w:t>
      </w:r>
    </w:p>
    <w:p>
      <w:pPr>
        <w:pStyle w:val="ListParagraph"/>
        <w:numPr>
          <w:ilvl w:val="0"/>
          <w:numId w:val="2"/>
        </w:numPr>
        <w:spacing w:after="60" w:before="60"/>
      </w:pPr>
      <w:r>
        <w:rPr>
          <w:rFonts w:ascii="Arial" w:cs="Arial" w:eastAsia="Arial" w:hAnsi="Arial"/>
          <w:b/>
          <w:bCs/>
          <w:color w:val="1A7A4A"/>
          <w:sz w:val="22"/>
          <w:szCs w:val="22"/>
        </w:rPr>
        <w:t xml:space="preserve">Les Comités Charia sont traditionnellement arabophones ou anglophones. Trouver des scholars français ayant l'autorité Charia suffisante pour valider des produits CEMAC est un défi opérationnel réel et un facteur de délai potentiel. </w:t>
      </w:r>
      <w:r>
        <w:rPr>
          <w:rFonts w:ascii="Arial" w:cs="Arial" w:eastAsia="Arial" w:hAnsi="Arial"/>
          <w:color w:val="344054"/>
          <w:sz w:val="22"/>
          <w:szCs w:val="22"/>
        </w:rPr>
        <w:t xml:space="preserve">Rareté de scholars islamiques francophones</w:t>
      </w:r>
    </w:p>
    <w:p>
      <w:pPr>
        <w:pStyle w:val="ListParagraph"/>
        <w:numPr>
          <w:ilvl w:val="0"/>
          <w:numId w:val="2"/>
        </w:numPr>
        <w:spacing w:after="60" w:before="60"/>
      </w:pPr>
      <w:r>
        <w:rPr>
          <w:rFonts w:ascii="Arial" w:cs="Arial" w:eastAsia="Arial" w:hAnsi="Arial"/>
          <w:b/>
          <w:bCs/>
          <w:color w:val="1A7A4A"/>
          <w:sz w:val="22"/>
          <w:szCs w:val="22"/>
        </w:rPr>
        <w:t xml:space="preserve">La finance islamique nécessite des compétences spécifiques — juriste Charia, analyste produits islamiques, structureur Sukuk — absentes du marché du travail CEMAC actuel. Un programme de formation ou recrutement externe s'impose. </w:t>
      </w:r>
      <w:r>
        <w:rPr>
          <w:rFonts w:ascii="Arial" w:cs="Arial" w:eastAsia="Arial" w:hAnsi="Arial"/>
          <w:color w:val="344054"/>
          <w:sz w:val="22"/>
          <w:szCs w:val="22"/>
        </w:rPr>
        <w:t xml:space="preserve">Formation des équipes QPB</w:t>
      </w:r>
    </w:p>
    <w:p>
      <w:pPr>
        <w:pStyle w:val="ListParagraph"/>
        <w:numPr>
          <w:ilvl w:val="0"/>
          <w:numId w:val="2"/>
        </w:numPr>
        <w:spacing w:after="60" w:before="60"/>
      </w:pPr>
      <w:r>
        <w:rPr>
          <w:rFonts w:ascii="Arial" w:cs="Arial" w:eastAsia="Arial" w:hAnsi="Arial"/>
          <w:b/>
          <w:bCs/>
          <w:color w:val="1A7A4A"/>
          <w:sz w:val="22"/>
          <w:szCs w:val="22"/>
        </w:rPr>
        <w:t xml:space="preserve">Chaque produit doit passer deux validations séquentielles : COSUMAF et Comité Charia. Ce processus double le coût et le délai de mise sur le marché, ce qui doit être intégré dans le planning et le budget QPB. </w:t>
      </w:r>
      <w:r>
        <w:rPr>
          <w:rFonts w:ascii="Arial" w:cs="Arial" w:eastAsia="Arial" w:hAnsi="Arial"/>
          <w:color w:val="344054"/>
          <w:sz w:val="22"/>
          <w:szCs w:val="22"/>
        </w:rPr>
        <w:t xml:space="preserve">Double coût de conformité</w:t>
      </w:r>
    </w:p>
    <w:p>
      <w:pPr>
        <w:pStyle w:val="Heading2"/>
        <w:pBdr>
          <w:bottom w:val="single" w:color="C8972B" w:sz="6" w:space="2"/>
        </w:pBdr>
        <w:spacing w:after="120" w:before="280"/>
      </w:pPr>
      <w:r>
        <w:rPr>
          <w:rFonts w:ascii="Arial" w:cs="Arial" w:eastAsia="Arial" w:hAnsi="Arial"/>
          <w:b/>
          <w:bCs/>
          <w:color w:val="1A7A4A"/>
          <w:sz w:val="28"/>
          <w:szCs w:val="28"/>
        </w:rPr>
        <w:t xml:space="preserve">6.3 Limites de marché</w:t>
      </w:r>
    </w:p>
    <w:p>
      <w:pPr>
        <w:pStyle w:val="ListParagraph"/>
        <w:numPr>
          <w:ilvl w:val="0"/>
          <w:numId w:val="2"/>
        </w:numPr>
        <w:spacing w:after="60" w:before="60"/>
      </w:pPr>
      <w:r>
        <w:rPr>
          <w:rFonts w:ascii="Arial" w:cs="Arial" w:eastAsia="Arial" w:hAnsi="Arial"/>
          <w:b/>
          <w:bCs/>
          <w:color w:val="1A7A4A"/>
          <w:sz w:val="22"/>
          <w:szCs w:val="22"/>
        </w:rPr>
        <w:t xml:space="preserve">Le marché financier régional CEMAC est illiquide. Même un Sukuk bien structuré peinera à trouver une masse critique d'investisseurs locaux institutionnels à court terme. La diaspora GCC et les institutionnels étrangers sont des cibles plus réalistes pour les premières émissions. </w:t>
      </w:r>
      <w:r>
        <w:rPr>
          <w:rFonts w:ascii="Arial" w:cs="Arial" w:eastAsia="Arial" w:hAnsi="Arial"/>
          <w:color w:val="344054"/>
          <w:sz w:val="22"/>
          <w:szCs w:val="22"/>
        </w:rPr>
        <w:t xml:space="preserve">Marché encore peu profond</w:t>
      </w:r>
    </w:p>
    <w:p>
      <w:pPr>
        <w:pStyle w:val="ListParagraph"/>
        <w:numPr>
          <w:ilvl w:val="0"/>
          <w:numId w:val="2"/>
        </w:numPr>
        <w:spacing w:after="60" w:before="60"/>
      </w:pPr>
      <w:r>
        <w:rPr>
          <w:rFonts w:ascii="Arial" w:cs="Arial" w:eastAsia="Arial" w:hAnsi="Arial"/>
          <w:b/>
          <w:bCs/>
          <w:color w:val="1A7A4A"/>
          <w:sz w:val="22"/>
          <w:szCs w:val="22"/>
        </w:rPr>
        <w:t xml:space="preserve">Le risque d'être accusé de proposer des produits faussement islamiques est réel et peut détruire la réputation de la plateforme irrémédiablement. Un vrai Comité Charia indépendant, visible et publiquement identifié, est la seule protection efficace contre ce risque. </w:t>
      </w:r>
      <w:r>
        <w:rPr>
          <w:rFonts w:ascii="Arial" w:cs="Arial" w:eastAsia="Arial" w:hAnsi="Arial"/>
          <w:color w:val="344054"/>
          <w:sz w:val="22"/>
          <w:szCs w:val="22"/>
        </w:rPr>
        <w:t xml:space="preserve">Risque de Halal-washing</w:t>
      </w:r>
    </w:p>
    <w:p>
      <w:pPr>
        <w:pStyle w:val="ListParagraph"/>
        <w:numPr>
          <w:ilvl w:val="0"/>
          <w:numId w:val="2"/>
        </w:numPr>
        <w:spacing w:after="60" w:before="60"/>
      </w:pPr>
      <w:r>
        <w:rPr>
          <w:rFonts w:ascii="Arial" w:cs="Arial" w:eastAsia="Arial" w:hAnsi="Arial"/>
          <w:b/>
          <w:bCs/>
          <w:color w:val="1A7A4A"/>
          <w:sz w:val="22"/>
          <w:szCs w:val="22"/>
        </w:rPr>
        <w:t xml:space="preserve">La finance islamique peut être perçue comme une question religieuse ou identitaire dans des pays à laïcité affirmée. QPB doit positionner ses produits islamiques sous l'angle de la finance éthique et participative — accessible à tous, pas uniquement aux musulmans — pour maximiser l'adoption. </w:t>
      </w:r>
      <w:r>
        <w:rPr>
          <w:rFonts w:ascii="Arial" w:cs="Arial" w:eastAsia="Arial" w:hAnsi="Arial"/>
          <w:color w:val="344054"/>
          <w:sz w:val="22"/>
          <w:szCs w:val="22"/>
        </w:rPr>
        <w:t xml:space="preserve">Sensibilité culturelle et politique</w:t>
      </w:r>
    </w:p>
    <w:p>
      <w:pPr>
        <w:pStyle w:val="Heading2"/>
        <w:pBdr>
          <w:bottom w:val="single" w:color="C8972B" w:sz="6" w:space="2"/>
        </w:pBdr>
        <w:spacing w:after="120" w:before="280"/>
      </w:pPr>
      <w:r>
        <w:rPr>
          <w:rFonts w:ascii="Arial" w:cs="Arial" w:eastAsia="Arial" w:hAnsi="Arial"/>
          <w:b/>
          <w:bCs/>
          <w:color w:val="1A7A4A"/>
          <w:sz w:val="28"/>
          <w:szCs w:val="28"/>
        </w:rPr>
        <w:t xml:space="preserve">6.4 Risques technologiques spécifiques</w:t>
      </w:r>
    </w:p>
    <w:p>
      <w:pPr>
        <w:pStyle w:val="ListParagraph"/>
        <w:numPr>
          <w:ilvl w:val="0"/>
          <w:numId w:val="2"/>
        </w:numPr>
        <w:spacing w:after="60" w:before="60"/>
      </w:pPr>
      <w:r>
        <w:rPr>
          <w:rFonts w:ascii="Arial" w:cs="Arial" w:eastAsia="Arial" w:hAnsi="Arial"/>
          <w:b/>
          <w:bCs/>
          <w:color w:val="1A7A4A"/>
          <w:sz w:val="22"/>
          <w:szCs w:val="22"/>
        </w:rPr>
        <w:t xml:space="preserve">Un smart contract ERC-20 standard peut contenir des mécanismes automatiques contraires à la Charia (pénalités de retard assimilables à des intérêts, clauses d'indexation). Chaque ligne du code du smart contract Sukuk devra être formellement validée par le Comité Charia avant déploiement. </w:t>
      </w:r>
      <w:r>
        <w:rPr>
          <w:rFonts w:ascii="Arial" w:cs="Arial" w:eastAsia="Arial" w:hAnsi="Arial"/>
          <w:color w:val="344054"/>
          <w:sz w:val="22"/>
          <w:szCs w:val="22"/>
        </w:rPr>
        <w:t xml:space="preserve">Smart contracts et conformité Charia</w:t>
      </w:r>
    </w:p>
    <w:p>
      <w:pPr>
        <w:pStyle w:val="ListParagraph"/>
        <w:numPr>
          <w:ilvl w:val="0"/>
          <w:numId w:val="2"/>
        </w:numPr>
        <w:spacing w:after="60" w:before="60"/>
      </w:pPr>
      <w:r>
        <w:rPr>
          <w:rFonts w:ascii="Arial" w:cs="Arial" w:eastAsia="Arial" w:hAnsi="Arial"/>
          <w:b/>
          <w:bCs/>
          <w:color w:val="1A7A4A"/>
          <w:sz w:val="22"/>
          <w:szCs w:val="22"/>
        </w:rPr>
        <w:t xml:space="preserve">Le règlement DEEP exige un cadre maîtrisé autour des prestataires et de l'enregistrement des titres. Polygon est un réseau public. QPB devra probablement utiliser une couche permissioned (Polygon CDK en mode privé ou réseau partenaire contrôlé) pour satisfaire aux exigences COSUMAF. </w:t>
      </w:r>
      <w:r>
        <w:rPr>
          <w:rFonts w:ascii="Arial" w:cs="Arial" w:eastAsia="Arial" w:hAnsi="Arial"/>
          <w:color w:val="344054"/>
          <w:sz w:val="22"/>
          <w:szCs w:val="22"/>
        </w:rPr>
        <w:t xml:space="preserve">Blockchain publique vs exigences CEMAC</w:t>
      </w:r>
    </w:p>
    <w:p>
      <w:pPr>
        <w:shd w:fill="1B4F8A" w:val="clear"/>
        <w:spacing w:after="80" w:before="80"/>
        <w:ind w:left="120" w:right="120"/>
      </w:pPr>
      <w:r>
        <w:rPr>
          <w:rFonts w:ascii="Arial" w:cs="Arial" w:eastAsia="Arial" w:hAnsi="Arial"/>
          <w:b/>
          <w:bCs/>
          <w:color w:val="FFFFFF"/>
          <w:sz w:val="22"/>
          <w:szCs w:val="22"/>
        </w:rPr>
        <w:t xml:space="preserve">Matrice résumée Opportunités vs Risques vs Mitigants</w:t>
      </w:r>
    </w:p>
    <w:p>
      <w:pPr>
        <w:shd w:fill="EEF4FB" w:val="clear"/>
        <w:spacing w:after="60" w:before="60"/>
        <w:ind w:left="200" w:right="120"/>
      </w:pPr>
      <w:r>
        <w:rPr>
          <w:rFonts w:ascii="Arial" w:cs="Arial" w:eastAsia="Arial" w:hAnsi="Arial"/>
          <w:color w:val="344054"/>
          <w:sz w:val="20"/>
          <w:szCs w:val="20"/>
        </w:rPr>
        <w:t xml:space="preserve">OPPORTUNITÉS : Marché vierge en CEMAC — First mover — Synergie tokenisation native — Diaspora GCC — IsDB partenaire potentiel</w:t>
      </w:r>
    </w:p>
    <w:p>
      <w:pPr>
        <w:shd w:fill="EEF4FB" w:val="clear"/>
        <w:spacing w:after="60" w:before="60"/>
        <w:ind w:left="200" w:right="120"/>
      </w:pPr>
      <w:r>
        <w:rPr>
          <w:rFonts w:ascii="Arial" w:cs="Arial" w:eastAsia="Arial" w:hAnsi="Arial"/>
          <w:color w:val="344054"/>
          <w:sz w:val="20"/>
          <w:szCs w:val="20"/>
        </w:rPr>
        <w:t xml:space="preserve">RISQUES : Absence cadre Charia COBAC/COSUMAF — Rareté scholars francophones — Double coût conformité — Marché illiquide à CT</w:t>
      </w:r>
    </w:p>
    <w:p>
      <w:pPr>
        <w:shd w:fill="EEF4FB" w:val="clear"/>
        <w:spacing w:after="60" w:before="60"/>
        <w:ind w:left="200" w:right="120"/>
      </w:pPr>
      <w:r>
        <w:rPr>
          <w:rFonts w:ascii="Arial" w:cs="Arial" w:eastAsia="Arial" w:hAnsi="Arial"/>
          <w:color w:val="344054"/>
          <w:sz w:val="20"/>
          <w:szCs w:val="20"/>
        </w:rPr>
        <w:t xml:space="preserve">MITIGANTS : Partenariat AAOIFI — Scholars GCC en remote — Lancement progressif Phase 1 sans agrément lourd — Positionnement finance éthique inclusive</w:t>
      </w:r>
    </w:p>
    <w:p>
      <w:pPr>
        <w:shd w:fill="EEF4FB" w:val="clear"/>
        <w:spacing w:after="0" w:before="60"/>
      </w:pPr>
      <w:r>
        <w:rPr>
          <w:rFonts w:ascii="Arial" w:cs="Arial" w:eastAsia="Arial" w:hAnsi="Arial"/>
        </w:rPr>
        <w:t xml:space="preserve"/>
      </w:r>
    </w:p>
    <w:p>
      <w:pPr>
        <w:pBdr>
          <w:bottom w:val="single" w:color="D0D5DD" w:sz="4" w:space="1"/>
        </w:pBdr>
        <w:spacing w:after="120" w:before="120"/>
      </w:pPr>
      <w:r>
        <w:rPr>
          <w:rFonts w:ascii="Arial" w:cs="Arial" w:eastAsia="Arial" w:hAnsi="Arial"/>
        </w:rPr>
        <w:t xml:space="preserve"/>
      </w:r>
    </w:p>
    <w:p>
      <w:r>
        <w:br w:type="page"/>
      </w:r>
    </w:p>
    <w:p>
      <w:pPr>
        <w:pStyle w:val="Heading1"/>
        <w:shd w:fill="1A7A4A" w:val="clear"/>
        <w:spacing w:after="200" w:before="360"/>
        <w:ind w:left="0" w:right="0"/>
      </w:pPr>
      <w:r>
        <w:rPr>
          <w:rFonts w:ascii="Arial" w:cs="Arial" w:eastAsia="Arial" w:hAnsi="Arial"/>
          <w:b/>
          <w:bCs/>
          <w:color w:val="FFFFFF"/>
          <w:sz w:val="36"/>
          <w:szCs w:val="36"/>
        </w:rPr>
        <w:t xml:space="preserve">7. Recommandations Stratégiques</w:t>
      </w:r>
    </w:p>
    <w:p>
      <w:pPr>
        <w:pStyle w:val="Heading2"/>
        <w:pBdr>
          <w:bottom w:val="single" w:color="C8972B" w:sz="6" w:space="2"/>
        </w:pBdr>
        <w:spacing w:after="120" w:before="280"/>
      </w:pPr>
      <w:r>
        <w:rPr>
          <w:rFonts w:ascii="Arial" w:cs="Arial" w:eastAsia="Arial" w:hAnsi="Arial"/>
          <w:b/>
          <w:bCs/>
          <w:color w:val="1A7A4A"/>
          <w:sz w:val="28"/>
          <w:szCs w:val="28"/>
        </w:rPr>
        <w:t xml:space="preserve">7.1 Les 10 actions prioritaires</w:t>
      </w:r>
    </w:p>
    <w:p>
      <w:pPr>
        <w:pStyle w:val="ListParagraph"/>
        <w:numPr>
          <w:ilvl w:val="0"/>
          <w:numId w:val="2"/>
        </w:numPr>
        <w:spacing w:after="60" w:before="60"/>
      </w:pPr>
      <w:r>
        <w:rPr>
          <w:rFonts w:ascii="Arial" w:cs="Arial" w:eastAsia="Arial" w:hAnsi="Arial"/>
          <w:color w:val="344054"/>
          <w:sz w:val="22"/>
          <w:szCs w:val="22"/>
        </w:rPr>
        <w:t xml:space="preserve">Constituer un Comité Charia Advisory (3 scholars dont 1 francophone) avant tout lancement de produit islamique — c'est la condition de crédibilité non négociable</w:t>
      </w:r>
    </w:p>
    <w:p>
      <w:pPr>
        <w:pStyle w:val="ListParagraph"/>
        <w:numPr>
          <w:ilvl w:val="0"/>
          <w:numId w:val="2"/>
        </w:numPr>
        <w:spacing w:after="60" w:before="60"/>
      </w:pPr>
      <w:r>
        <w:rPr>
          <w:rFonts w:ascii="Arial" w:cs="Arial" w:eastAsia="Arial" w:hAnsi="Arial"/>
          <w:color w:val="344054"/>
          <w:sz w:val="22"/>
          <w:szCs w:val="22"/>
        </w:rPr>
        <w:t xml:space="preserve">Solliciter un partenariat formel avec la Banque Islamique de Développement (IsDB) : programme IsDB Engage pour startups fintech africaines, potentiel de co-financement direct</w:t>
      </w:r>
    </w:p>
    <w:p>
      <w:pPr>
        <w:pStyle w:val="ListParagraph"/>
        <w:numPr>
          <w:ilvl w:val="0"/>
          <w:numId w:val="2"/>
        </w:numPr>
        <w:spacing w:after="60" w:before="60"/>
      </w:pPr>
      <w:r>
        <w:rPr>
          <w:rFonts w:ascii="Arial" w:cs="Arial" w:eastAsia="Arial" w:hAnsi="Arial"/>
          <w:color w:val="344054"/>
          <w:sz w:val="22"/>
          <w:szCs w:val="22"/>
        </w:rPr>
        <w:t xml:space="preserve">Lancer en Phase 1 un label Halal sur les produits de crowdfunding existants : zéro coût technique, impact marketing immédiat sur la cible musulmane</w:t>
      </w:r>
    </w:p>
    <w:p>
      <w:pPr>
        <w:pStyle w:val="ListParagraph"/>
        <w:numPr>
          <w:ilvl w:val="0"/>
          <w:numId w:val="2"/>
        </w:numPr>
        <w:spacing w:after="60" w:before="60"/>
      </w:pPr>
      <w:r>
        <w:rPr>
          <w:rFonts w:ascii="Arial" w:cs="Arial" w:eastAsia="Arial" w:hAnsi="Arial"/>
          <w:color w:val="344054"/>
          <w:sz w:val="22"/>
          <w:szCs w:val="22"/>
        </w:rPr>
        <w:t xml:space="preserve">Structurer un Sukuk pilote de 500 millions FCFA sur un actif immobilier à Douala ou Libreville avec une Islamic Window bancaire partenaire</w:t>
      </w:r>
    </w:p>
    <w:p>
      <w:pPr>
        <w:pStyle w:val="ListParagraph"/>
        <w:numPr>
          <w:ilvl w:val="0"/>
          <w:numId w:val="2"/>
        </w:numPr>
        <w:spacing w:after="60" w:before="60"/>
      </w:pPr>
      <w:r>
        <w:rPr>
          <w:rFonts w:ascii="Arial" w:cs="Arial" w:eastAsia="Arial" w:hAnsi="Arial"/>
          <w:color w:val="344054"/>
          <w:sz w:val="22"/>
          <w:szCs w:val="22"/>
        </w:rPr>
        <w:t xml:space="preserve">Soumettre un dossier exploratoire à la COSUMAF sur le cadre juridique applicable aux Sukuk tokenisés CEMAC — construire la jurisprudence avec le régulateur</w:t>
      </w:r>
    </w:p>
    <w:p>
      <w:pPr>
        <w:pStyle w:val="ListParagraph"/>
        <w:numPr>
          <w:ilvl w:val="0"/>
          <w:numId w:val="2"/>
        </w:numPr>
        <w:spacing w:after="60" w:before="60"/>
      </w:pPr>
      <w:r>
        <w:rPr>
          <w:rFonts w:ascii="Arial" w:cs="Arial" w:eastAsia="Arial" w:hAnsi="Arial"/>
          <w:color w:val="344054"/>
          <w:sz w:val="22"/>
          <w:szCs w:val="22"/>
        </w:rPr>
        <w:t xml:space="preserve">Recruter un juriste Charia / structureur Sukuk en mission d'assistance technique de 6 mois (profil Malaisie, GCC ou Sénégal)</w:t>
      </w:r>
    </w:p>
    <w:p>
      <w:pPr>
        <w:pStyle w:val="ListParagraph"/>
        <w:numPr>
          <w:ilvl w:val="0"/>
          <w:numId w:val="2"/>
        </w:numPr>
        <w:spacing w:after="60" w:before="60"/>
      </w:pPr>
      <w:r>
        <w:rPr>
          <w:rFonts w:ascii="Arial" w:cs="Arial" w:eastAsia="Arial" w:hAnsi="Arial"/>
          <w:color w:val="344054"/>
          <w:sz w:val="22"/>
          <w:szCs w:val="22"/>
        </w:rPr>
        <w:t xml:space="preserve">Adhérer à l'AAOIFI pour bénéficier des normes de référence mondiales et de la crédibilité internationale associée</w:t>
      </w:r>
    </w:p>
    <w:p>
      <w:pPr>
        <w:pStyle w:val="ListParagraph"/>
        <w:numPr>
          <w:ilvl w:val="0"/>
          <w:numId w:val="2"/>
        </w:numPr>
        <w:spacing w:after="60" w:before="60"/>
      </w:pPr>
      <w:r>
        <w:rPr>
          <w:rFonts w:ascii="Arial" w:cs="Arial" w:eastAsia="Arial" w:hAnsi="Arial"/>
          <w:color w:val="344054"/>
          <w:sz w:val="22"/>
          <w:szCs w:val="22"/>
        </w:rPr>
        <w:t xml:space="preserve">Intégrer un module Finance Islamique pour tous dans la gamification QPB : toucher les jeunes musulmans via le simulateur boursier avec des actifs Charia-compatibles</w:t>
      </w:r>
    </w:p>
    <w:p>
      <w:pPr>
        <w:pStyle w:val="ListParagraph"/>
        <w:numPr>
          <w:ilvl w:val="0"/>
          <w:numId w:val="2"/>
        </w:numPr>
        <w:spacing w:after="60" w:before="60"/>
      </w:pPr>
      <w:r>
        <w:rPr>
          <w:rFonts w:ascii="Arial" w:cs="Arial" w:eastAsia="Arial" w:hAnsi="Arial"/>
          <w:color w:val="344054"/>
          <w:sz w:val="22"/>
          <w:szCs w:val="22"/>
        </w:rPr>
        <w:t xml:space="preserve">Positionner QPB comme plateforme de finance éthique et participative et non uniquement islamique — maximiser l'adoption au-delà de la seule communauté musulmane</w:t>
      </w:r>
    </w:p>
    <w:p>
      <w:pPr>
        <w:pStyle w:val="ListParagraph"/>
        <w:numPr>
          <w:ilvl w:val="0"/>
          <w:numId w:val="2"/>
        </w:numPr>
        <w:spacing w:after="60" w:before="60"/>
      </w:pPr>
      <w:r>
        <w:rPr>
          <w:rFonts w:ascii="Arial" w:cs="Arial" w:eastAsia="Arial" w:hAnsi="Arial"/>
          <w:color w:val="344054"/>
          <w:sz w:val="22"/>
          <w:szCs w:val="22"/>
        </w:rPr>
        <w:t xml:space="preserve">Publier un rapport Charia annuel sur la plateforme — gage de transparence, différenciateur concurrentiel et outil de confiance pour les investisseurs islamiques internationaux</w:t>
      </w:r>
    </w:p>
    <w:p>
      <w:pPr>
        <w:pStyle w:val="Heading2"/>
        <w:pBdr>
          <w:bottom w:val="single" w:color="C8972B" w:sz="6" w:space="2"/>
        </w:pBdr>
        <w:spacing w:after="120" w:before="280"/>
      </w:pPr>
      <w:r>
        <w:rPr>
          <w:rFonts w:ascii="Arial" w:cs="Arial" w:eastAsia="Arial" w:hAnsi="Arial"/>
          <w:b/>
          <w:bCs/>
          <w:color w:val="1A7A4A"/>
          <w:sz w:val="28"/>
          <w:szCs w:val="28"/>
        </w:rPr>
        <w:t xml:space="preserve">7.2 Nouvelles sources de revenus générées par la dimension islamique</w:t>
      </w:r>
    </w:p>
    <w:p>
      <w:pPr>
        <w:pStyle w:val="ListParagraph"/>
        <w:numPr>
          <w:ilvl w:val="0"/>
          <w:numId w:val="2"/>
        </w:numPr>
        <w:spacing w:after="60" w:before="60"/>
      </w:pPr>
      <w:r>
        <w:rPr>
          <w:rFonts w:ascii="Arial" w:cs="Arial" w:eastAsia="Arial" w:hAnsi="Arial"/>
          <w:color w:val="344054"/>
          <w:sz w:val="22"/>
          <w:szCs w:val="22"/>
        </w:rPr>
        <w:t xml:space="preserve">Commission de structuration Sukuk : 1,5 à 2,5 % du montant levé — source de revenus majeure à partir de la Phase 3</w:t>
      </w:r>
    </w:p>
    <w:p>
      <w:pPr>
        <w:pStyle w:val="ListParagraph"/>
        <w:numPr>
          <w:ilvl w:val="0"/>
          <w:numId w:val="2"/>
        </w:numPr>
        <w:spacing w:after="60" w:before="60"/>
      </w:pPr>
      <w:r>
        <w:rPr>
          <w:rFonts w:ascii="Arial" w:cs="Arial" w:eastAsia="Arial" w:hAnsi="Arial"/>
          <w:color w:val="344054"/>
          <w:sz w:val="22"/>
          <w:szCs w:val="22"/>
        </w:rPr>
        <w:t xml:space="preserve">Frais de label Charia : commission fixe par produit référencé comme Halal sur la plateforme — abonnement institutionnel récurrent</w:t>
      </w:r>
    </w:p>
    <w:p>
      <w:pPr>
        <w:pStyle w:val="ListParagraph"/>
        <w:numPr>
          <w:ilvl w:val="0"/>
          <w:numId w:val="2"/>
        </w:numPr>
        <w:spacing w:after="60" w:before="60"/>
      </w:pPr>
      <w:r>
        <w:rPr>
          <w:rFonts w:ascii="Arial" w:cs="Arial" w:eastAsia="Arial" w:hAnsi="Arial"/>
          <w:color w:val="344054"/>
          <w:sz w:val="22"/>
          <w:szCs w:val="22"/>
        </w:rPr>
        <w:t xml:space="preserve">Commission Mourabaha/Ijara : 0,5 à 1 % sur les mises en relation islamiques réussies</w:t>
      </w:r>
    </w:p>
    <w:p>
      <w:pPr>
        <w:pStyle w:val="ListParagraph"/>
        <w:numPr>
          <w:ilvl w:val="0"/>
          <w:numId w:val="2"/>
        </w:numPr>
        <w:spacing w:after="60" w:before="60"/>
      </w:pPr>
      <w:r>
        <w:rPr>
          <w:rFonts w:ascii="Arial" w:cs="Arial" w:eastAsia="Arial" w:hAnsi="Arial"/>
          <w:color w:val="344054"/>
          <w:sz w:val="22"/>
          <w:szCs w:val="22"/>
        </w:rPr>
        <w:t xml:space="preserve">Webinaires et certifications finance islamique : revenus pédagogiques premium ciblant professionnels et institutions</w:t>
      </w:r>
    </w:p>
    <w:p>
      <w:pPr>
        <w:pStyle w:val="ListParagraph"/>
        <w:numPr>
          <w:ilvl w:val="0"/>
          <w:numId w:val="2"/>
        </w:numPr>
        <w:spacing w:after="60" w:before="60"/>
      </w:pPr>
      <w:r>
        <w:rPr>
          <w:rFonts w:ascii="Arial" w:cs="Arial" w:eastAsia="Arial" w:hAnsi="Arial"/>
          <w:color w:val="344054"/>
          <w:sz w:val="22"/>
          <w:szCs w:val="22"/>
        </w:rPr>
        <w:t xml:space="preserve">Revenue sharing IsDB : si QPB devient partenaire officiel, accès à des lignes concessionnelles et subventions pour l'inclusion — levier financier non conventionnel</w:t>
      </w:r>
    </w:p>
    <w:p>
      <w:pPr>
        <w:pBdr>
          <w:bottom w:val="single" w:color="D0D5DD" w:sz="4" w:space="1"/>
        </w:pBdr>
        <w:spacing w:after="120" w:before="120"/>
      </w:pPr>
      <w:r>
        <w:rPr>
          <w:rFonts w:ascii="Arial" w:cs="Arial" w:eastAsia="Arial" w:hAnsi="Arial"/>
        </w:rPr>
        <w:t xml:space="preserve"/>
      </w:r>
    </w:p>
    <w:p>
      <w:r>
        <w:br w:type="page"/>
      </w:r>
    </w:p>
    <w:p>
      <w:pPr>
        <w:pStyle w:val="Heading1"/>
        <w:shd w:fill="1A7A4A" w:val="clear"/>
        <w:spacing w:after="200" w:before="360"/>
        <w:ind w:left="0" w:right="0"/>
      </w:pPr>
      <w:r>
        <w:rPr>
          <w:rFonts w:ascii="Arial" w:cs="Arial" w:eastAsia="Arial" w:hAnsi="Arial"/>
          <w:b/>
          <w:bCs/>
          <w:color w:val="FFFFFF"/>
          <w:sz w:val="36"/>
          <w:szCs w:val="36"/>
        </w:rPr>
        <w:t xml:space="preserve">Conclusion</w:t>
      </w:r>
    </w:p>
    <w:p>
      <w:pPr>
        <w:spacing w:after="80" w:before="80"/>
      </w:pPr>
      <w:r>
        <w:rPr>
          <w:rFonts w:ascii="Arial" w:cs="Arial" w:eastAsia="Arial" w:hAnsi="Arial"/>
          <w:color w:val="344054"/>
          <w:sz w:val="22"/>
          <w:szCs w:val="22"/>
        </w:rPr>
        <w:t xml:space="preserve">La finance islamique n'est pas un simple ajout cosmétique à QPB : c'est une couche stratégique qui peut transformer la plateforme en véritable révolution financière pour la zone CEMAC. En combinant la tokenisation blockchain, la démocratisation de l'investissement et la conformité Charia, QPB peut adresser simultanément des segments de marché jusqu'ici totalement ignorés par les acteurs financiers régionaux.</w:t>
      </w:r>
    </w:p>
    <w:p>
      <w:pPr>
        <w:spacing w:after="80" w:before="80"/>
      </w:pPr>
      <w:r>
        <w:rPr>
          <w:rFonts w:ascii="Arial" w:cs="Arial" w:eastAsia="Arial" w:hAnsi="Arial"/>
          <w:color w:val="344054"/>
          <w:sz w:val="22"/>
          <w:szCs w:val="22"/>
        </w:rPr>
        <w:t xml:space="preserve">Le cadre réglementaire CEMAC 2025-2026 — avec le règlement DEEP et les avancées de la COSUMAF sur les jetons numériques — offre une fenêtre d'opportunité historique. La zone CEMAC est en phase de pré-accélération financière, et la finance islamique est un carburant puissant pour accélérer cette dynamique, en mobilisant des capitaux dormants locaux et en attirant des investissements islamiques internationaux.</w:t>
      </w:r>
    </w:p>
    <w:p>
      <w:pPr>
        <w:spacing w:after="80" w:before="80"/>
      </w:pPr>
      <w:r>
        <w:rPr>
          <w:rFonts w:ascii="Arial" w:cs="Arial" w:eastAsia="Arial" w:hAnsi="Arial"/>
          <w:color w:val="344054"/>
          <w:sz w:val="22"/>
          <w:szCs w:val="22"/>
        </w:rPr>
        <w:t xml:space="preserve">QPB a tous les atouts pour être la première plateforme à combiner tokenisation, inclusion financière totale et conformité Charia en Afrique centrale. C'est un avantage concurrentiel durable, structurellement difficile à répliquer, aligné avec les tendances mondiales de la finance durable, éthique et inclusive.</w:t>
      </w:r>
    </w:p>
    <w:p>
      <w:pPr>
        <w:pBdr>
          <w:left w:val="single" w:color="1A7A4A" w:sz="12" w:space="10"/>
        </w:pBdr>
        <w:spacing w:after="240" w:before="240"/>
        <w:ind w:left="360"/>
        <w:jc w:val="center"/>
      </w:pPr>
      <w:r>
        <w:rPr>
          <w:rFonts w:ascii="Arial" w:cs="Arial" w:eastAsia="Arial" w:hAnsi="Arial"/>
          <w:b/>
          <w:bCs/>
          <w:color w:val="1A7A4A"/>
          <w:sz w:val="24"/>
          <w:szCs w:val="24"/>
        </w:rPr>
        <w:t xml:space="preserve">La question n'est plus « si » intégrer la finance islamique dans QPB. La question est « quand et comment ». Et la réponse est : maintenant, progressivement, et avec rigueur.</w:t>
      </w:r>
    </w:p>
    <w:p>
      <w:pPr>
        <w:pBdr>
          <w:bottom w:val="single" w:color="1A7A4A" w:sz="4" w:space="1"/>
        </w:pBdr>
        <w:spacing w:after="120" w:before="120"/>
      </w:pPr>
      <w:r>
        <w:rPr>
          <w:rFonts w:ascii="Arial" w:cs="Arial" w:eastAsia="Arial" w:hAnsi="Arial"/>
        </w:rPr>
        <w:t xml:space="preserve"/>
      </w:r>
    </w:p>
    <w:p>
      <w:pPr>
        <w:spacing w:after="80" w:before="200"/>
        <w:jc w:val="center"/>
      </w:pPr>
      <w:r>
        <w:rPr>
          <w:rFonts w:ascii="Arial" w:cs="Arial" w:eastAsia="Arial" w:hAnsi="Arial"/>
          <w:color w:val="344054"/>
          <w:sz w:val="18"/>
          <w:szCs w:val="18"/>
        </w:rPr>
        <w:t xml:space="preserve">Document rédigé par Roberto Wafo Mopouong – Expert Financier CEMAC – 15 ans d'expérience – Mai 2026</w:t>
      </w:r>
    </w:p>
    <w:p>
      <w:pPr>
        <w:spacing w:after="200" w:before="80"/>
        <w:jc w:val="center"/>
      </w:pPr>
      <w:r>
        <w:rPr>
          <w:rFonts w:ascii="Arial" w:cs="Arial" w:eastAsia="Arial" w:hAnsi="Arial"/>
          <w:b/>
          <w:bCs/>
          <w:color w:val="1A7A4A"/>
          <w:sz w:val="20"/>
          <w:szCs w:val="20"/>
        </w:rPr>
        <w:t xml:space="preserve">QPB – Quelle Petite Bourse – Démocratiser la finance en Afrique centrale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4A" w:sz="4" w:space="1"/>
      </w:pBdr>
      <w:tabs>
        <w:tab w:val="right" w:pos="9026"/>
      </w:tabs>
    </w:pPr>
    <w:r>
      <w:rPr>
        <w:rFonts w:ascii="Arial" w:cs="Arial" w:eastAsia="Arial" w:hAnsi="Arial"/>
        <w:color w:val="344054"/>
        <w:sz w:val="16"/>
        <w:szCs w:val="16"/>
      </w:rPr>
      <w:t xml:space="preserve">QPB – Finance Islamique CEMAC – Confidentiel © 2026</w:t>
    </w:r>
    <w:r>
      <w:rPr>
        <w:rFonts w:ascii="Arial" w:cs="Arial" w:eastAsia="Arial" w:hAnsi="Arial"/>
        <w:color w:val="344054"/>
        <w:sz w:val="16"/>
        <w:szCs w:val="16"/>
      </w:rPr>
      <w:t xml:space="preserve">	Page </w:t>
    </w:r>
    <w:r>
      <w:rPr>
        <w:rFonts w:ascii="Arial" w:cs="Arial" w:eastAsia="Arial" w:hAnsi="Arial"/>
        <w:color w:val="1A7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4" w:space="1"/>
      </w:pBdr>
      <w:tabs>
        <w:tab w:val="right" w:pos="9026"/>
      </w:tabs>
    </w:pPr>
    <w:r>
      <w:rPr>
        <w:rFonts w:ascii="Arial" w:cs="Arial" w:eastAsia="Arial" w:hAnsi="Arial"/>
        <w:color w:val="344054"/>
        <w:sz w:val="18"/>
        <w:szCs w:val="18"/>
      </w:rPr>
      <w:t xml:space="preserve">QPB – Étude d'Intégration Finance Islamique – Zone CEMAC</w:t>
    </w:r>
    <w:r>
      <w:rPr>
        <w:rFonts w:ascii="Arial" w:cs="Arial" w:eastAsia="Arial" w:hAnsi="Arial"/>
        <w:color w:val="344054"/>
        <w:sz w:val="18"/>
        <w:szCs w:val="18"/>
      </w:rPr>
      <w:t xml:space="preserve">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4405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7A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4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2026-05-05T16:58:39.203Z</dcterms:created>
  <dcterms:modified xsi:type="dcterms:W3CDTF">2026-05-05T16:58:39.203Z</dcterms:modified>
</cp:coreProperties>
</file>

<file path=docProps/custom.xml><?xml version="1.0" encoding="utf-8"?>
<Properties xmlns="http://schemas.openxmlformats.org/officeDocument/2006/custom-properties" xmlns:vt="http://schemas.openxmlformats.org/officeDocument/2006/docPropsVTypes"/>
</file>