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rPr>
        <w:t xml:space="preserve"/>
      </w:r>
    </w:p>
    <w:p>
      <w:pPr>
        <w:spacing w:after="0" w:before="0"/>
        <w:jc w:val="center"/>
      </w:pPr>
      <w:r>
        <w:rPr>
          <w:rFonts w:ascii="Arial" w:cs="Arial" w:eastAsia="Arial" w:hAnsi="Arial"/>
          <w:b/>
          <w:bCs/>
          <w:color w:val="0F3460"/>
          <w:sz w:val="120"/>
          <w:szCs w:val="120"/>
        </w:rPr>
        <w:t xml:space="preserve">NKAP</w:t>
      </w:r>
    </w:p>
    <w:p>
      <w:pPr>
        <w:spacing w:after="80" w:before="0"/>
        <w:jc w:val="center"/>
      </w:pPr>
      <w:r>
        <w:rPr>
          <w:rFonts w:ascii="Arial" w:cs="Arial" w:eastAsia="Arial" w:hAnsi="Arial"/>
          <w:b/>
          <w:bCs/>
          <w:color w:val="1A7A4A"/>
          <w:sz w:val="120"/>
          <w:szCs w:val="120"/>
        </w:rPr>
        <w:t xml:space="preserve">INVEST</w:t>
      </w:r>
    </w:p>
    <w:p>
      <w:pPr>
        <w:spacing w:after="0" w:before="0"/>
        <w:jc w:val="center"/>
      </w:pPr>
      <w:r>
        <w:rPr>
          <w:rFonts w:ascii="Arial" w:cs="Arial" w:eastAsia="Arial" w:hAnsi="Arial"/>
          <w:color w:val="475467"/>
          <w:sz w:val="26"/>
          <w:szCs w:val="26"/>
        </w:rPr>
        <w:t xml:space="preserve">La première plateforme à combiner Finance Islamique,</w:t>
      </w:r>
    </w:p>
    <w:p>
      <w:pPr>
        <w:spacing w:after="480" w:before="0"/>
        <w:jc w:val="center"/>
      </w:pPr>
      <w:r>
        <w:rPr>
          <w:rFonts w:ascii="Arial" w:cs="Arial" w:eastAsia="Arial" w:hAnsi="Arial"/>
          <w:color w:val="475467"/>
          <w:sz w:val="26"/>
          <w:szCs w:val="26"/>
        </w:rPr>
        <w:t xml:space="preserve">Tokenisation Blockchain et Mobile Money en zone CEMAC</w:t>
      </w:r>
    </w:p>
    <w:p>
      <w:pPr>
        <w:shd w:fill="0F3460" w:val="clear"/>
        <w:spacing w:after="200" w:before="200"/>
        <w:jc w:val="center"/>
      </w:pPr>
      <w:r>
        <w:rPr>
          <w:rFonts w:ascii="Arial" w:cs="Arial" w:eastAsia="Arial" w:hAnsi="Arial"/>
          <w:b/>
          <w:bCs/>
          <w:color w:val="FFFFFF"/>
          <w:sz w:val="48"/>
          <w:szCs w:val="48"/>
        </w:rPr>
        <w:t xml:space="preserve">BUSINESS PLAN</w:t>
      </w:r>
    </w:p>
    <w:p>
      <w:pPr>
        <w:spacing w:after="600" w:before="160"/>
        <w:jc w:val="center"/>
      </w:pPr>
      <w:r>
        <w:rPr>
          <w:rFonts w:ascii="Arial" w:cs="Arial" w:eastAsia="Arial" w:hAnsi="Arial"/>
          <w:b/>
          <w:bCs/>
          <w:color w:val="C8972B"/>
          <w:sz w:val="22"/>
          <w:szCs w:val="22"/>
        </w:rPr>
        <w:t xml:space="preserve">Document destiné aux investisseurs &amp; partenaires stratégiques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Porteurs du projet</w:t>
            </w:r>
          </w:p>
        </w:tc>
        <w:tc>
          <w:tcPr>
            <w:tcW w:type="dxa" w:w="4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NGA Amougou Emilliene Marietta • TIFA Lesly Notaise • MOPOUONG Wafo Roberto</w:t>
            </w:r>
          </w:p>
        </w:tc>
      </w:tr>
      <w:tr>
        <w:tc>
          <w:tcPr>
            <w:tcW w:type="dxa" w:w="22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Secteur</w:t>
            </w:r>
          </w:p>
        </w:tc>
        <w:tc>
          <w:tcPr>
            <w:tcW w:type="dxa" w:w="4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Fintech — Finance Islamique — Blockchain — Mobile Money</w:t>
            </w:r>
          </w:p>
        </w:tc>
      </w:tr>
      <w:tr>
        <w:tc>
          <w:tcPr>
            <w:tcW w:type="dxa" w:w="22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Marché cible</w:t>
            </w:r>
          </w:p>
        </w:tc>
        <w:tc>
          <w:tcPr>
            <w:tcW w:type="dxa" w:w="4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Zone CEMAC (Cameroun, Gabon, Congo, Tchad, Centrafrique, Guinée Éq.)</w:t>
            </w:r>
          </w:p>
        </w:tc>
      </w:tr>
      <w:tr>
        <w:tc>
          <w:tcPr>
            <w:tcW w:type="dxa" w:w="22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Version</w:t>
            </w:r>
          </w:p>
        </w:tc>
        <w:tc>
          <w:tcPr>
            <w:tcW w:type="dxa" w:w="4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Business Plan v1.0 — Mai 2026 — Confidentiel</w:t>
            </w:r>
          </w:p>
        </w:tc>
      </w:tr>
    </w:tbl>
    <w:p>
      <w:r>
        <w:br w:type="page"/>
      </w:r>
    </w:p>
    <w:p>
      <w:pPr>
        <w:pStyle w:val="Heading1"/>
        <w:shd w:fill="0F3460" w:val="clear"/>
        <w:spacing w:after="220" w:before="400"/>
        <w:ind w:left="200" w:right="200"/>
      </w:pPr>
      <w:r>
        <w:rPr>
          <w:rFonts w:ascii="Arial" w:cs="Arial" w:eastAsia="Arial" w:hAnsi="Arial"/>
          <w:b/>
          <w:bCs/>
          <w:color w:val="FFFFFF"/>
          <w:sz w:val="36"/>
          <w:szCs w:val="36"/>
        </w:rPr>
        <w:t xml:space="preserve">Résumé Exécutif</w:t>
      </w:r>
    </w:p>
    <w:p>
      <w:pPr>
        <w:spacing w:after="80" w:before="80"/>
      </w:pPr>
      <w:r>
        <w:rPr>
          <w:rFonts w:ascii="Arial" w:cs="Arial" w:eastAsia="Arial" w:hAnsi="Arial"/>
          <w:color w:val="475467"/>
          <w:sz w:val="21"/>
          <w:szCs w:val="21"/>
        </w:rPr>
        <w:t xml:space="preserve">NKAP Invest est la première plateforme fintech d'Afrique Centrale à combiner trois révolutions financières en une seule infrastructure numérique : la Finance Islamique (Charia-compatible), la Tokenisation d'actifs sur blockchain, et l'intégration du Mobile Money (MTN MoMo, Orange Money). Le résultat est une plateforme qui démocratise radicalement l'accès aux marchés financiers pour tous les segments de la population CEMAC.</w:t>
      </w:r>
    </w:p>
    <w:p>
      <w:pPr>
        <w:spacing w:after="80" w:before="80"/>
      </w:pPr>
      <w:r>
        <w:rPr>
          <w:rFonts w:ascii="Arial" w:cs="Arial" w:eastAsia="Arial" w:hAnsi="Arial"/>
          <w:color w:val="475467"/>
          <w:sz w:val="21"/>
          <w:szCs w:val="21"/>
        </w:rPr>
        <w:t xml:space="preserve">Nous ne demandons pas aux investisseurs de financer un rêve. Nous leur présentons un modèle économique déjà structuré, avec des flux de revenus identifiés, une réglementation CEMAC qui vient de s'ouvrir (règlement DEEP 2025, en vigueur janvier 2026), et un avantage concurrentiel impossible à répliquer rapidement : être les pionniers de ce marché vierge.</w:t>
      </w:r>
    </w:p>
    <w:p>
      <w:pPr>
        <w:spacing w:after="120" w:before="12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D0D5DD" w:sz="3"/>
              <w:left w:val="single" w:color="D0D5DD" w:sz="3"/>
              <w:bottom w:val="single" w:color="D0D5DD" w:sz="3"/>
              <w:right w:val="single" w:color="D0D5DD" w:sz="3"/>
            </w:tcBorders>
            <w:shd w:fill="F4F6F9" w:val="clear"/>
            <w:tcMar>
              <w:top w:type="dxa" w:w="120"/>
              <w:left w:type="dxa" w:w="120"/>
              <w:bottom w:type="dxa" w:w="120"/>
              <w:right w:type="dxa" w:w="120"/>
            </w:tcMar>
          </w:tcPr>
          <w:p>
            <w:pPr>
              <w:spacing w:after="40" w:before="120"/>
              <w:jc w:val="center"/>
            </w:pPr>
            <w:r>
              <w:rPr>
                <w:rFonts w:ascii="Arial" w:cs="Arial" w:eastAsia="Arial" w:hAnsi="Arial"/>
                <w:b/>
                <w:bCs/>
                <w:color w:val="1A7A4A"/>
                <w:sz w:val="48"/>
                <w:szCs w:val="48"/>
              </w:rPr>
              <w:t xml:space="preserve">26M+</w:t>
            </w:r>
          </w:p>
          <w:p>
            <w:pPr>
              <w:spacing w:after="40" w:before="0"/>
              <w:jc w:val="center"/>
            </w:pPr>
            <w:r>
              <w:rPr>
                <w:rFonts w:ascii="Arial" w:cs="Arial" w:eastAsia="Arial" w:hAnsi="Arial"/>
                <w:b/>
                <w:bCs/>
                <w:color w:val="0F3460"/>
                <w:sz w:val="20"/>
                <w:szCs w:val="20"/>
              </w:rPr>
              <w:t xml:space="preserve">Habitants CEMAC</w:t>
            </w:r>
          </w:p>
          <w:p>
            <w:pPr>
              <w:spacing w:after="80" w:before="0"/>
              <w:jc w:val="center"/>
            </w:pPr>
            <w:r>
              <w:rPr>
                <w:rFonts w:ascii="Arial" w:cs="Arial" w:eastAsia="Arial" w:hAnsi="Arial"/>
                <w:color w:val="475467"/>
                <w:sz w:val="18"/>
                <w:szCs w:val="18"/>
              </w:rPr>
              <w:t xml:space="preserve">population adressable</w:t>
            </w:r>
          </w:p>
        </w:tc>
        <w:tc>
          <w:tcPr>
            <w:tcW w:type="dxa" w:w="2300"/>
            <w:tcBorders>
              <w:top w:val="single" w:color="D0D5DD" w:sz="3"/>
              <w:left w:val="single" w:color="D0D5DD" w:sz="3"/>
              <w:bottom w:val="single" w:color="D0D5DD" w:sz="3"/>
              <w:right w:val="single" w:color="D0D5DD" w:sz="3"/>
            </w:tcBorders>
            <w:shd w:fill="F4F6F9" w:val="clear"/>
            <w:tcMar>
              <w:top w:type="dxa" w:w="120"/>
              <w:left w:type="dxa" w:w="120"/>
              <w:bottom w:type="dxa" w:w="120"/>
              <w:right w:type="dxa" w:w="120"/>
            </w:tcMar>
          </w:tcPr>
          <w:p>
            <w:pPr>
              <w:spacing w:after="40" w:before="120"/>
              <w:jc w:val="center"/>
            </w:pPr>
            <w:r>
              <w:rPr>
                <w:rFonts w:ascii="Arial" w:cs="Arial" w:eastAsia="Arial" w:hAnsi="Arial"/>
                <w:b/>
                <w:bCs/>
                <w:color w:val="1A7A4A"/>
                <w:sz w:val="48"/>
                <w:szCs w:val="48"/>
              </w:rPr>
              <w:t xml:space="preserve">0</w:t>
            </w:r>
          </w:p>
          <w:p>
            <w:pPr>
              <w:spacing w:after="40" w:before="0"/>
              <w:jc w:val="center"/>
            </w:pPr>
            <w:r>
              <w:rPr>
                <w:rFonts w:ascii="Arial" w:cs="Arial" w:eastAsia="Arial" w:hAnsi="Arial"/>
                <w:b/>
                <w:bCs/>
                <w:color w:val="0F3460"/>
                <w:sz w:val="20"/>
                <w:szCs w:val="20"/>
              </w:rPr>
              <w:t xml:space="preserve">Concurrents directs</w:t>
            </w:r>
          </w:p>
          <w:p>
            <w:pPr>
              <w:spacing w:after="80" w:before="0"/>
              <w:jc w:val="center"/>
            </w:pPr>
            <w:r>
              <w:rPr>
                <w:rFonts w:ascii="Arial" w:cs="Arial" w:eastAsia="Arial" w:hAnsi="Arial"/>
                <w:color w:val="475467"/>
                <w:sz w:val="18"/>
                <w:szCs w:val="18"/>
              </w:rPr>
              <w:t xml:space="preserve">marché totalement vierge</w:t>
            </w:r>
          </w:p>
        </w:tc>
        <w:tc>
          <w:tcPr>
            <w:tcW w:type="dxa" w:w="2300"/>
            <w:tcBorders>
              <w:top w:val="single" w:color="D0D5DD" w:sz="3"/>
              <w:left w:val="single" w:color="D0D5DD" w:sz="3"/>
              <w:bottom w:val="single" w:color="D0D5DD" w:sz="3"/>
              <w:right w:val="single" w:color="D0D5DD" w:sz="3"/>
            </w:tcBorders>
            <w:shd w:fill="F4F6F9" w:val="clear"/>
            <w:tcMar>
              <w:top w:type="dxa" w:w="120"/>
              <w:left w:type="dxa" w:w="120"/>
              <w:bottom w:type="dxa" w:w="120"/>
              <w:right w:type="dxa" w:w="120"/>
            </w:tcMar>
          </w:tcPr>
          <w:p>
            <w:pPr>
              <w:spacing w:after="40" w:before="120"/>
              <w:jc w:val="center"/>
            </w:pPr>
            <w:r>
              <w:rPr>
                <w:rFonts w:ascii="Arial" w:cs="Arial" w:eastAsia="Arial" w:hAnsi="Arial"/>
                <w:b/>
                <w:bCs/>
                <w:color w:val="1A7A4A"/>
                <w:sz w:val="48"/>
                <w:szCs w:val="48"/>
              </w:rPr>
              <w:t xml:space="preserve">4 000Mds$</w:t>
            </w:r>
          </w:p>
          <w:p>
            <w:pPr>
              <w:spacing w:after="40" w:before="0"/>
              <w:jc w:val="center"/>
            </w:pPr>
            <w:r>
              <w:rPr>
                <w:rFonts w:ascii="Arial" w:cs="Arial" w:eastAsia="Arial" w:hAnsi="Arial"/>
                <w:b/>
                <w:bCs/>
                <w:color w:val="0F3460"/>
                <w:sz w:val="20"/>
                <w:szCs w:val="20"/>
              </w:rPr>
              <w:t xml:space="preserve">Finance islamique mondiale</w:t>
            </w:r>
          </w:p>
          <w:p>
            <w:pPr>
              <w:spacing w:after="80" w:before="0"/>
              <w:jc w:val="center"/>
            </w:pPr>
            <w:r>
              <w:rPr>
                <w:rFonts w:ascii="Arial" w:cs="Arial" w:eastAsia="Arial" w:hAnsi="Arial"/>
                <w:color w:val="475467"/>
                <w:sz w:val="18"/>
                <w:szCs w:val="18"/>
              </w:rPr>
              <w:t xml:space="preserve">dont &lt;1% en Afrique sub-sah.</w:t>
            </w:r>
          </w:p>
        </w:tc>
        <w:tc>
          <w:tcPr>
            <w:tcW w:type="dxa" w:w="2300"/>
            <w:tcBorders>
              <w:top w:val="single" w:color="D0D5DD" w:sz="3"/>
              <w:left w:val="single" w:color="D0D5DD" w:sz="3"/>
              <w:bottom w:val="single" w:color="D0D5DD" w:sz="3"/>
              <w:right w:val="single" w:color="D0D5DD" w:sz="3"/>
            </w:tcBorders>
            <w:shd w:fill="F4F6F9" w:val="clear"/>
            <w:tcMar>
              <w:top w:type="dxa" w:w="120"/>
              <w:left w:type="dxa" w:w="120"/>
              <w:bottom w:type="dxa" w:w="120"/>
              <w:right w:type="dxa" w:w="120"/>
            </w:tcMar>
          </w:tcPr>
          <w:p>
            <w:pPr>
              <w:spacing w:after="40" w:before="120"/>
              <w:jc w:val="center"/>
            </w:pPr>
            <w:r>
              <w:rPr>
                <w:rFonts w:ascii="Arial" w:cs="Arial" w:eastAsia="Arial" w:hAnsi="Arial"/>
                <w:b/>
                <w:bCs/>
                <w:color w:val="1A7A4A"/>
                <w:sz w:val="48"/>
                <w:szCs w:val="48"/>
              </w:rPr>
              <w:t xml:space="preserve">3-en-1</w:t>
            </w:r>
          </w:p>
          <w:p>
            <w:pPr>
              <w:spacing w:after="40" w:before="0"/>
              <w:jc w:val="center"/>
            </w:pPr>
            <w:r>
              <w:rPr>
                <w:rFonts w:ascii="Arial" w:cs="Arial" w:eastAsia="Arial" w:hAnsi="Arial"/>
                <w:b/>
                <w:bCs/>
                <w:color w:val="0F3460"/>
                <w:sz w:val="20"/>
                <w:szCs w:val="20"/>
              </w:rPr>
              <w:t xml:space="preserve">Innovation unique</w:t>
            </w:r>
          </w:p>
          <w:p>
            <w:pPr>
              <w:spacing w:after="80" w:before="0"/>
              <w:jc w:val="center"/>
            </w:pPr>
            <w:r>
              <w:rPr>
                <w:rFonts w:ascii="Arial" w:cs="Arial" w:eastAsia="Arial" w:hAnsi="Arial"/>
                <w:color w:val="475467"/>
                <w:sz w:val="18"/>
                <w:szCs w:val="18"/>
              </w:rPr>
              <w:t xml:space="preserve">Islamique+Token+MoMo</w:t>
            </w:r>
          </w:p>
        </w:tc>
      </w:tr>
    </w:tbl>
    <w:p>
      <w:pPr>
        <w:spacing w:after="120" w:before="120"/>
      </w:pPr>
      <w:r>
        <w:rPr>
          <w:rFonts w:ascii="Arial" w:cs="Arial" w:eastAsia="Arial" w:hAnsi="Arial"/>
        </w:rPr>
        <w:t xml:space="preserve"/>
      </w:r>
    </w:p>
    <w:p>
      <w:pPr>
        <w:shd w:fill="0F3460" w:val="clear"/>
        <w:spacing w:after="60" w:before="100"/>
        <w:ind w:left="140" w:right="140"/>
      </w:pPr>
      <w:r>
        <w:rPr>
          <w:rFonts w:ascii="Arial" w:cs="Arial" w:eastAsia="Arial" w:hAnsi="Arial"/>
          <w:b/>
          <w:bCs/>
          <w:color w:val="FFFFFF"/>
          <w:sz w:val="22"/>
          <w:szCs w:val="22"/>
        </w:rPr>
        <w:t xml:space="preserve">Les 4 propositions de valeur uniques de NKAP Invest</w:t>
      </w:r>
    </w:p>
    <w:p>
      <w:pPr>
        <w:shd w:fill="EBF0FA" w:val="clear"/>
        <w:spacing w:after="50" w:before="50"/>
        <w:ind w:left="240" w:right="140"/>
      </w:pPr>
      <w:r>
        <w:rPr>
          <w:rFonts w:ascii="Arial" w:cs="Arial" w:eastAsia="Arial" w:hAnsi="Arial"/>
          <w:color w:val="1D2939"/>
          <w:sz w:val="20"/>
          <w:szCs w:val="20"/>
        </w:rPr>
        <w:t xml:space="preserve">1. Finance Islamique numérique : premier agrégateur Charia-compatible en CEMAC — marché de plusieurs millions de musulmans non adressés</w:t>
      </w:r>
    </w:p>
    <w:p>
      <w:pPr>
        <w:shd w:fill="EBF0FA" w:val="clear"/>
        <w:spacing w:after="50" w:before="50"/>
        <w:ind w:left="240" w:right="140"/>
      </w:pPr>
      <w:r>
        <w:rPr>
          <w:rFonts w:ascii="Arial" w:cs="Arial" w:eastAsia="Arial" w:hAnsi="Arial"/>
          <w:color w:val="1D2939"/>
          <w:sz w:val="20"/>
          <w:szCs w:val="20"/>
        </w:rPr>
        <w:t xml:space="preserve">2. Tokenisation des actifs financiers : solution concrète à la fragmentation des titres identifiée par le DG de la BVMAC — Sukuk tokenisés, dividendes automatiques via smart contracts</w:t>
      </w:r>
    </w:p>
    <w:p>
      <w:pPr>
        <w:shd w:fill="EBF0FA" w:val="clear"/>
        <w:spacing w:after="50" w:before="50"/>
        <w:ind w:left="240" w:right="140"/>
      </w:pPr>
      <w:r>
        <w:rPr>
          <w:rFonts w:ascii="Arial" w:cs="Arial" w:eastAsia="Arial" w:hAnsi="Arial"/>
          <w:color w:val="1D2939"/>
          <w:sz w:val="20"/>
          <w:szCs w:val="20"/>
        </w:rPr>
        <w:t xml:space="preserve">3. Mobile Money intégré : MTN MoMo + Orange Money pour investir depuis son téléphone, sans compte bancaire — inclusion financière totale</w:t>
      </w:r>
    </w:p>
    <w:p>
      <w:pPr>
        <w:shd w:fill="EBF0FA" w:val="clear"/>
        <w:spacing w:after="50" w:before="50"/>
        <w:ind w:left="240" w:right="140"/>
      </w:pPr>
      <w:r>
        <w:rPr>
          <w:rFonts w:ascii="Arial" w:cs="Arial" w:eastAsia="Arial" w:hAnsi="Arial"/>
          <w:color w:val="1D2939"/>
          <w:sz w:val="20"/>
          <w:szCs w:val="20"/>
        </w:rPr>
        <w:t xml:space="preserve">4. Pioneer advantage réglementaire : le règlement CEMAC DEEP (jan. 2026) légalise exactement notre infrastructure — nous serons les co-constructeurs des standards du marché</w:t>
      </w:r>
    </w:p>
    <w:p>
      <w:pPr>
        <w:shd w:fill="EBF0FA" w:val="clear"/>
        <w:spacing w:after="0" w:before="60"/>
      </w:pPr>
      <w:r>
        <w:rPr>
          <w:rFonts w:ascii="Arial" w:cs="Arial" w:eastAsia="Arial" w:hAnsi="Arial"/>
        </w:rPr>
        <w:t xml:space="preserve"/>
      </w:r>
    </w:p>
    <w:p>
      <w:pPr>
        <w:pBdr>
          <w:bottom w:val="single" w:color="0F3460" w:sz="4" w:space="1"/>
        </w:pBdr>
        <w:spacing w:after="140" w:before="140"/>
      </w:pPr>
      <w:r>
        <w:rPr>
          <w:rFonts w:ascii="Arial" w:cs="Arial" w:eastAsia="Arial" w:hAnsi="Arial"/>
        </w:rPr>
        <w:t xml:space="preserve"/>
      </w:r>
    </w:p>
    <w:p>
      <w:r>
        <w:br w:type="page"/>
      </w:r>
    </w:p>
    <w:p>
      <w:pPr>
        <w:pStyle w:val="Heading1"/>
        <w:shd w:fill="0F3460" w:val="clear"/>
        <w:spacing w:after="220" w:before="400"/>
        <w:ind w:left="200" w:right="200"/>
      </w:pPr>
      <w:r>
        <w:rPr>
          <w:rFonts w:ascii="Arial" w:cs="Arial" w:eastAsia="Arial" w:hAnsi="Arial"/>
          <w:b/>
          <w:bCs/>
          <w:color w:val="FFFFFF"/>
          <w:sz w:val="36"/>
          <w:szCs w:val="36"/>
        </w:rPr>
        <w:t xml:space="preserve">1. Le Problème — Un Marché Financier Excluant</w:t>
      </w:r>
    </w:p>
    <w:p>
      <w:pPr>
        <w:pStyle w:val="Heading2"/>
        <w:pBdr>
          <w:bottom w:val="single" w:color="C8972B" w:sz="8" w:space="2"/>
        </w:pBdr>
        <w:spacing w:after="120" w:before="300"/>
      </w:pPr>
      <w:r>
        <w:rPr>
          <w:rFonts w:ascii="Arial" w:cs="Arial" w:eastAsia="Arial" w:hAnsi="Arial"/>
          <w:b/>
          <w:bCs/>
          <w:color w:val="0F3460"/>
          <w:sz w:val="28"/>
          <w:szCs w:val="28"/>
        </w:rPr>
        <w:t xml:space="preserve">1.1 La réalité du marché financier CEMAC</w:t>
      </w:r>
    </w:p>
    <w:p>
      <w:pPr>
        <w:spacing w:after="80" w:before="80"/>
      </w:pPr>
      <w:r>
        <w:rPr>
          <w:rFonts w:ascii="Arial" w:cs="Arial" w:eastAsia="Arial" w:hAnsi="Arial"/>
          <w:color w:val="475467"/>
          <w:sz w:val="21"/>
          <w:szCs w:val="21"/>
        </w:rPr>
        <w:t xml:space="preserve">Le marché financier de la zone CEMAC souffre de trois maux structurels qui empêchent la majorité de la population d'y participer :</w:t>
      </w:r>
    </w:p>
    <w:p>
      <w:pPr>
        <w:pStyle w:val="ListParagraph"/>
        <w:numPr>
          <w:ilvl w:val="0"/>
          <w:numId w:val="2"/>
        </w:numPr>
        <w:spacing w:after="60" w:before="60"/>
      </w:pPr>
      <w:r>
        <w:rPr>
          <w:rFonts w:ascii="Arial" w:cs="Arial" w:eastAsia="Arial" w:hAnsi="Arial"/>
          <w:b/>
          <w:bCs/>
          <w:color w:val="1A7A4A"/>
          <w:sz w:val="21"/>
          <w:szCs w:val="21"/>
        </w:rPr>
        <w:t xml:space="preserve">Fragmentation et prix élevés : </w:t>
      </w:r>
      <w:r>
        <w:rPr>
          <w:rFonts w:ascii="Arial" w:cs="Arial" w:eastAsia="Arial" w:hAnsi="Arial"/>
          <w:color w:val="475467"/>
          <w:sz w:val="21"/>
          <w:szCs w:val="21"/>
        </w:rPr>
        <w:t xml:space="preserve">Le DG de la BVMAC l'a dit explicitement — les actifs financiers sont trop chers à l'unité pour la grande majorité des épargnants. Un titre SEMC ou une obligation d'État de 10 000 FCFA minimum exclut de facto des millions de petits épargnants. La BVMAC cherche des solutions de fragmentation — NKAP Invest est cette solution.</w:t>
      </w:r>
    </w:p>
    <w:p>
      <w:pPr>
        <w:pStyle w:val="ListParagraph"/>
        <w:numPr>
          <w:ilvl w:val="0"/>
          <w:numId w:val="2"/>
        </w:numPr>
        <w:spacing w:after="60" w:before="60"/>
      </w:pPr>
      <w:r>
        <w:rPr>
          <w:rFonts w:ascii="Arial" w:cs="Arial" w:eastAsia="Arial" w:hAnsi="Arial"/>
          <w:b/>
          <w:bCs/>
          <w:color w:val="1A7A4A"/>
          <w:sz w:val="21"/>
          <w:szCs w:val="21"/>
        </w:rPr>
        <w:t xml:space="preserve">Exclusion religieuse totale : </w:t>
      </w:r>
      <w:r>
        <w:rPr>
          <w:rFonts w:ascii="Arial" w:cs="Arial" w:eastAsia="Arial" w:hAnsi="Arial"/>
          <w:color w:val="475467"/>
          <w:sz w:val="21"/>
          <w:szCs w:val="21"/>
        </w:rPr>
        <w:t xml:space="preserve">Les produits financiers conventionnels reposent sur le paiement et la réception d'intérêts (riba), strictement interdits en Islam. Or la zone CEMAC compte entre 20 et 55 % de populations musulmanes selon les pays. Ces populations — des millions de personnes — gardent leur épargne hors du système formel par conviction religieuse, faute d'alternative Charia-compatible structurée.</w:t>
      </w:r>
    </w:p>
    <w:p>
      <w:pPr>
        <w:pStyle w:val="ListParagraph"/>
        <w:numPr>
          <w:ilvl w:val="0"/>
          <w:numId w:val="2"/>
        </w:numPr>
        <w:spacing w:after="60" w:before="60"/>
      </w:pPr>
      <w:r>
        <w:rPr>
          <w:rFonts w:ascii="Arial" w:cs="Arial" w:eastAsia="Arial" w:hAnsi="Arial"/>
          <w:b/>
          <w:bCs/>
          <w:color w:val="1A7A4A"/>
          <w:sz w:val="21"/>
          <w:szCs w:val="21"/>
        </w:rPr>
        <w:t xml:space="preserve">Inaccessibilité technologique : </w:t>
      </w:r>
      <w:r>
        <w:rPr>
          <w:rFonts w:ascii="Arial" w:cs="Arial" w:eastAsia="Arial" w:hAnsi="Arial"/>
          <w:color w:val="475467"/>
          <w:sz w:val="21"/>
          <w:szCs w:val="21"/>
        </w:rPr>
        <w:t xml:space="preserve">Investir sur le marché financier CEMAC nécessite de se déplacer physiquement en société de bourse, d'ouvrir un compte titres, de remplir des formulaires papier. En 2026, dans un continent où 80 % des transactions se font via Mobile Money, cette réalité est anachronique.</w:t>
      </w:r>
    </w:p>
    <w:p>
      <w:pPr>
        <w:pStyle w:val="Heading2"/>
        <w:pBdr>
          <w:bottom w:val="single" w:color="C8972B" w:sz="8" w:space="2"/>
        </w:pBdr>
        <w:spacing w:after="120" w:before="300"/>
      </w:pPr>
      <w:r>
        <w:rPr>
          <w:rFonts w:ascii="Arial" w:cs="Arial" w:eastAsia="Arial" w:hAnsi="Arial"/>
          <w:b/>
          <w:bCs/>
          <w:color w:val="0F3460"/>
          <w:sz w:val="28"/>
          <w:szCs w:val="28"/>
        </w:rPr>
        <w:t xml:space="preserve">1.2 Ce que personne n'a encore construit</w:t>
      </w:r>
    </w:p>
    <w:p>
      <w:pPr>
        <w:spacing w:after="80" w:before="80"/>
      </w:pPr>
      <w:r>
        <w:rPr>
          <w:rFonts w:ascii="Arial" w:cs="Arial" w:eastAsia="Arial" w:hAnsi="Arial"/>
          <w:color w:val="475467"/>
          <w:sz w:val="21"/>
          <w:szCs w:val="21"/>
        </w:rPr>
        <w:t xml:space="preserve">Il existe des plateformes d'investissement classique (BloomBerg, etc.), des plateformes de Mobile Money (MTN, Orange), des fonds islamiques épars en Afrique du Nord — mais personne n'a encore réuni ces trois dimensions dans une seule infrastructure numérique dédiée à la zone CEMAC. Ce vide est notre opportunité.</w:t>
      </w:r>
    </w:p>
    <w:p>
      <w:pPr>
        <w:spacing w:after="120" w:before="12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Problème</w:t>
            </w:r>
          </w:p>
        </w:tc>
        <w:tc>
          <w:tcPr>
            <w:tcW w:type="dxa" w:w="28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Ampleur</w:t>
            </w:r>
          </w:p>
        </w:tc>
        <w:tc>
          <w:tcPr>
            <w:tcW w:type="dxa" w:w="40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Solution NKAP Invest</w:t>
            </w:r>
          </w:p>
        </w:tc>
      </w:tr>
      <w:tr>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Prix des actifs trop élevés</w:t>
            </w:r>
          </w:p>
        </w:tc>
        <w:tc>
          <w:tcPr>
            <w:tcW w:type="dxa" w:w="2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Millions d'épargnants exclus du marché boursier</w:t>
            </w:r>
          </w:p>
        </w:tc>
        <w:tc>
          <w:tcPr>
            <w:tcW w:type="dxa" w:w="4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Tokenisation : 1 action = 1 000 tokens à 10 FCFA chacun</w:t>
            </w:r>
          </w:p>
        </w:tc>
      </w:tr>
      <w:tr>
        <w:tc>
          <w:tcPr>
            <w:tcW w:type="dxa" w:w="2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Zéro offre islamique numérique</w:t>
            </w:r>
          </w:p>
        </w:tc>
        <w:tc>
          <w:tcPr>
            <w:tcW w:type="dxa" w:w="2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25-55% pop. CEMAC exclue par conviction</w:t>
            </w:r>
          </w:p>
        </w:tc>
        <w:tc>
          <w:tcPr>
            <w:tcW w:type="dxa" w:w="4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Sukuk tokenisés + Mourabaha + Moucharaka Charia-certifiés</w:t>
            </w:r>
          </w:p>
        </w:tc>
      </w:tr>
      <w:tr>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Investissement sans Mobile Money</w:t>
            </w:r>
          </w:p>
        </w:tc>
        <w:tc>
          <w:tcPr>
            <w:tcW w:type="dxa" w:w="2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80% des transactions se font via MoMo</w:t>
            </w:r>
          </w:p>
        </w:tc>
        <w:tc>
          <w:tcPr>
            <w:tcW w:type="dxa" w:w="4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Intégration native MTN MoMo + Orange Money</w:t>
            </w:r>
          </w:p>
        </w:tc>
      </w:tr>
      <w:tr>
        <w:tc>
          <w:tcPr>
            <w:tcW w:type="dxa" w:w="2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Marché fragmenté, peu liquide</w:t>
            </w:r>
          </w:p>
        </w:tc>
        <w:tc>
          <w:tcPr>
            <w:tcW w:type="dxa" w:w="2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Faible volume, peu d'investisseurs</w:t>
            </w:r>
          </w:p>
        </w:tc>
        <w:tc>
          <w:tcPr>
            <w:tcW w:type="dxa" w:w="4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Tokenisation + fractionnement = plus d'acheteurs, plus de liquidité</w:t>
            </w:r>
          </w:p>
        </w:tc>
      </w:tr>
      <w:tr>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Aucune distribution automatique</w:t>
            </w:r>
          </w:p>
        </w:tc>
        <w:tc>
          <w:tcPr>
            <w:tcW w:type="dxa" w:w="2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Dividendes distribués manuellement, lentement</w:t>
            </w:r>
          </w:p>
        </w:tc>
        <w:tc>
          <w:tcPr>
            <w:tcW w:type="dxa" w:w="4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Smart contracts : dividendes versés automatiquement au prorata des tokens</w:t>
            </w:r>
          </w:p>
        </w:tc>
      </w:tr>
    </w:tbl>
    <w:p>
      <w:pPr>
        <w:spacing w:after="0" w:before="120"/>
      </w:pPr>
      <w:r>
        <w:rPr>
          <w:rFonts w:ascii="Arial" w:cs="Arial" w:eastAsia="Arial" w:hAnsi="Arial"/>
        </w:rPr>
        <w:t xml:space="preserve"/>
      </w:r>
    </w:p>
    <w:p>
      <w:pPr>
        <w:pBdr>
          <w:bottom w:val="single" w:color="D0D5DD" w:sz="4" w:space="1"/>
        </w:pBdr>
        <w:spacing w:after="140" w:before="140"/>
      </w:pPr>
      <w:r>
        <w:rPr>
          <w:rFonts w:ascii="Arial" w:cs="Arial" w:eastAsia="Arial" w:hAnsi="Arial"/>
        </w:rPr>
        <w:t xml:space="preserve"/>
      </w:r>
    </w:p>
    <w:p>
      <w:r>
        <w:br w:type="page"/>
      </w:r>
    </w:p>
    <w:p>
      <w:pPr>
        <w:pStyle w:val="Heading1"/>
        <w:shd w:fill="1A7A4A" w:val="clear"/>
        <w:spacing w:after="220" w:before="400"/>
        <w:ind w:left="200" w:right="200"/>
      </w:pPr>
      <w:r>
        <w:rPr>
          <w:rFonts w:ascii="Arial" w:cs="Arial" w:eastAsia="Arial" w:hAnsi="Arial"/>
          <w:b/>
          <w:bCs/>
          <w:color w:val="FFFFFF"/>
          <w:sz w:val="36"/>
          <w:szCs w:val="36"/>
        </w:rPr>
        <w:t xml:space="preserve">2. La Solution — NKAP Invest, la Triple Révolution</w:t>
      </w:r>
    </w:p>
    <w:p>
      <w:pPr>
        <w:pStyle w:val="Heading2"/>
        <w:pBdr>
          <w:bottom w:val="single" w:color="C8972B" w:sz="8" w:space="2"/>
        </w:pBdr>
        <w:spacing w:after="120" w:before="300"/>
      </w:pPr>
      <w:r>
        <w:rPr>
          <w:rFonts w:ascii="Arial" w:cs="Arial" w:eastAsia="Arial" w:hAnsi="Arial"/>
          <w:b/>
          <w:bCs/>
          <w:color w:val="0F3460"/>
          <w:sz w:val="28"/>
          <w:szCs w:val="28"/>
        </w:rPr>
        <w:t xml:space="preserve">2.1 La Finance Islamique numérique — Premier pilier</w:t>
      </w:r>
    </w:p>
    <w:p>
      <w:pPr>
        <w:spacing w:after="80" w:before="80"/>
      </w:pPr>
      <w:r>
        <w:rPr>
          <w:rFonts w:ascii="Arial" w:cs="Arial" w:eastAsia="Arial" w:hAnsi="Arial"/>
          <w:color w:val="475467"/>
          <w:sz w:val="21"/>
          <w:szCs w:val="21"/>
        </w:rPr>
        <w:t xml:space="preserve">La finance islamique est un système financier complet reposant sur des principes éthiques et coraniques : interdiction des intérêts (riba), partage équitable des profits et des pertes, adossement à des actifs réels. Elle ne s'adresse pas qu'aux musulmans — c'est une finance participative et éthique accessible à tous.</w:t>
      </w:r>
    </w:p>
    <w:p>
      <w:pPr>
        <w:spacing w:after="80" w:before="80"/>
      </w:pPr>
      <w:r>
        <w:rPr>
          <w:rFonts w:ascii="Arial" w:cs="Arial" w:eastAsia="Arial" w:hAnsi="Arial"/>
          <w:color w:val="475467"/>
          <w:sz w:val="21"/>
          <w:szCs w:val="21"/>
        </w:rPr>
        <w:t xml:space="preserve">NKAP Invest propose les instruments suivants, tous Charia-certifiés par un Comité Charia indépendant :</w:t>
      </w:r>
    </w:p>
    <w:p>
      <w:pPr>
        <w:spacing w:after="100" w:before="10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600"/>
      </w:tblGrid>
      <w:tr>
        <w:trPr>
          <w:tblHeader/>
        </w:trPr>
        <w:tc>
          <w:tcPr>
            <w:tcW w:type="dxa" w:w="16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Produit</w:t>
            </w:r>
          </w:p>
        </w:tc>
        <w:tc>
          <w:tcPr>
            <w:tcW w:type="dxa" w:w="26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Ce que c'est</w:t>
            </w:r>
          </w:p>
        </w:tc>
        <w:tc>
          <w:tcPr>
            <w:tcW w:type="dxa" w:w="24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Qui en bénéficie</w:t>
            </w:r>
          </w:p>
        </w:tc>
        <w:tc>
          <w:tcPr>
            <w:tcW w:type="dxa" w:w="26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Revenus NKAP</w:t>
            </w:r>
          </w:p>
        </w:tc>
      </w:tr>
      <w:tr>
        <w:tc>
          <w:tcPr>
            <w:tcW w:type="dxa" w:w="1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Sukuk tokenisés</w:t>
            </w:r>
          </w:p>
        </w:tc>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Obligation islamique adossée à un actif réel (immeuble, projet agro). Rémunération = loyers, pas d'intérêts</w:t>
            </w:r>
          </w:p>
        </w:tc>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Étudiants, salariés, PME, institutionnels</w:t>
            </w:r>
          </w:p>
        </w:tc>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2-3% commission émission + frais transaction</w:t>
            </w:r>
          </w:p>
        </w:tc>
      </w:tr>
      <w:tr>
        <w:tc>
          <w:tcPr>
            <w:tcW w:type="dxa" w:w="1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Mourabaha</w:t>
            </w:r>
          </w:p>
        </w:tc>
        <w:tc>
          <w:tcPr>
            <w:tcW w:type="dxa" w:w="2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Financement d'achat à prix majoré connu d'avance. Zéro intérêt caché</w:t>
            </w:r>
          </w:p>
        </w:tc>
        <w:tc>
          <w:tcPr>
            <w:tcW w:type="dxa" w:w="2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PME, commerçants, secteur informel</w:t>
            </w:r>
          </w:p>
        </w:tc>
        <w:tc>
          <w:tcPr>
            <w:tcW w:type="dxa" w:w="2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0,5-1% commission mise en relation réussie</w:t>
            </w:r>
          </w:p>
        </w:tc>
      </w:tr>
      <w:tr>
        <w:tc>
          <w:tcPr>
            <w:tcW w:type="dxa" w:w="1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Moucharaka</w:t>
            </w:r>
          </w:p>
        </w:tc>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Participation au capital et au risque. Profit ET perte partagés</w:t>
            </w:r>
          </w:p>
        </w:tc>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Startups, PME, grands investisseurs</w:t>
            </w:r>
          </w:p>
        </w:tc>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Commission performance + frais plateforme</w:t>
            </w:r>
          </w:p>
        </w:tc>
      </w:tr>
      <w:tr>
        <w:tc>
          <w:tcPr>
            <w:tcW w:type="dxa" w:w="1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Moudharaba</w:t>
            </w:r>
          </w:p>
        </w:tc>
        <w:tc>
          <w:tcPr>
            <w:tcW w:type="dxa" w:w="2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Apporteur de fonds + entrepreneur. Partage du profit uniquement</w:t>
            </w:r>
          </w:p>
        </w:tc>
        <w:tc>
          <w:tcPr>
            <w:tcW w:type="dxa" w:w="2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Épargnants, salariés, retraités</w:t>
            </w:r>
          </w:p>
        </w:tc>
        <w:tc>
          <w:tcPr>
            <w:tcW w:type="dxa" w:w="2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Frais de gestion FCP islamique 1-1,5%/an</w:t>
            </w:r>
          </w:p>
        </w:tc>
      </w:tr>
      <w:tr>
        <w:tc>
          <w:tcPr>
            <w:tcW w:type="dxa" w:w="1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Ijara</w:t>
            </w:r>
          </w:p>
        </w:tc>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Leasing islamique : location avec option d'achat</w:t>
            </w:r>
          </w:p>
        </w:tc>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PME, équipement, foncier</w:t>
            </w:r>
          </w:p>
        </w:tc>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Commission 0,5-1% sur financement accordé</w:t>
            </w:r>
          </w:p>
        </w:tc>
      </w:tr>
      <w:tr>
        <w:tc>
          <w:tcPr>
            <w:tcW w:type="dxa" w:w="1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Qard Hassan</w:t>
            </w:r>
          </w:p>
        </w:tc>
        <w:tc>
          <w:tcPr>
            <w:tcW w:type="dxa" w:w="2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Prêt sans intérêt — solidarité communautaire</w:t>
            </w:r>
          </w:p>
        </w:tc>
        <w:tc>
          <w:tcPr>
            <w:tcW w:type="dxa" w:w="2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Secteur informel, populations rurales</w:t>
            </w:r>
          </w:p>
        </w:tc>
        <w:tc>
          <w:tcPr>
            <w:tcW w:type="dxa" w:w="2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Commission plateforme fixe par campagne</w:t>
            </w:r>
          </w:p>
        </w:tc>
      </w:tr>
    </w:tbl>
    <w:p>
      <w:pPr>
        <w:spacing w:after="0" w:before="100"/>
      </w:pPr>
      <w:r>
        <w:rPr>
          <w:rFonts w:ascii="Arial" w:cs="Arial" w:eastAsia="Arial" w:hAnsi="Arial"/>
        </w:rPr>
        <w:t xml:space="preserve"/>
      </w:r>
    </w:p>
    <w:p>
      <w:pPr>
        <w:pStyle w:val="Heading2"/>
        <w:pBdr>
          <w:bottom w:val="single" w:color="C8972B" w:sz="8" w:space="2"/>
        </w:pBdr>
        <w:spacing w:after="120" w:before="300"/>
      </w:pPr>
      <w:r>
        <w:rPr>
          <w:rFonts w:ascii="Arial" w:cs="Arial" w:eastAsia="Arial" w:hAnsi="Arial"/>
          <w:b/>
          <w:bCs/>
          <w:color w:val="0F3460"/>
          <w:sz w:val="28"/>
          <w:szCs w:val="28"/>
        </w:rPr>
        <w:t xml:space="preserve">2.2 La Tokenisation — Deuxième pilier</w:t>
      </w:r>
    </w:p>
    <w:p>
      <w:pPr>
        <w:spacing w:after="80" w:before="80"/>
      </w:pPr>
      <w:r>
        <w:rPr>
          <w:rFonts w:ascii="Arial" w:cs="Arial" w:eastAsia="Arial" w:hAnsi="Arial"/>
          <w:color w:val="475467"/>
          <w:sz w:val="21"/>
          <w:szCs w:val="21"/>
        </w:rPr>
        <w:t xml:space="preserve">La tokenisation consiste à transformer un actif réel (immeuble, obligation, action, projet agricole) en milliers de parts numériques appelées tokens, stockées sur la blockchain. Chaque token représente une fraction de propriété. Les revenus (loyers, dividendes) sont distribués automatiquement via des smart contracts, au prorata des tokens détenus.</w:t>
      </w:r>
    </w:p>
    <w:p>
      <w:pPr>
        <w:shd w:fill="C8972B" w:val="clear"/>
        <w:spacing w:after="60" w:before="100"/>
        <w:ind w:left="140" w:right="140"/>
      </w:pPr>
      <w:r>
        <w:rPr>
          <w:rFonts w:ascii="Arial" w:cs="Arial" w:eastAsia="Arial" w:hAnsi="Arial"/>
          <w:b/>
          <w:bCs/>
          <w:color w:val="FFFFFF"/>
          <w:sz w:val="22"/>
          <w:szCs w:val="22"/>
        </w:rPr>
        <w:t xml:space="preserve">Comment NKAP Invest résout le problème identifié par la BVMAC</w:t>
      </w:r>
    </w:p>
    <w:p>
      <w:pPr>
        <w:shd w:fill="FEF9EE" w:val="clear"/>
        <w:spacing w:after="50" w:before="50"/>
        <w:ind w:left="240" w:right="140"/>
      </w:pPr>
      <w:r>
        <w:rPr>
          <w:rFonts w:ascii="Arial" w:cs="Arial" w:eastAsia="Arial" w:hAnsi="Arial"/>
          <w:color w:val="1D2939"/>
          <w:sz w:val="20"/>
          <w:szCs w:val="20"/>
        </w:rPr>
        <w:t xml:space="preserve">Le DG de la BVMAC a identifié la fragmentation des actifs comme priorité pour dynamiser le marché.</w:t>
      </w:r>
    </w:p>
    <w:p>
      <w:pPr>
        <w:shd w:fill="FEF9EE" w:val="clear"/>
        <w:spacing w:after="50" w:before="50"/>
        <w:ind w:left="240" w:right="140"/>
      </w:pPr>
      <w:r>
        <w:rPr>
          <w:rFonts w:ascii="Arial" w:cs="Arial" w:eastAsia="Arial" w:hAnsi="Arial"/>
          <w:color w:val="1D2939"/>
          <w:sz w:val="20"/>
          <w:szCs w:val="20"/>
        </w:rPr>
        <w:t xml:space="preserve">NKAP Invest propose la tokenisation comme solution technique concrète à ce problème :</w:t>
      </w:r>
    </w:p>
    <w:p>
      <w:pPr>
        <w:shd w:fill="FEF9EE" w:val="clear"/>
        <w:spacing w:after="50" w:before="50"/>
        <w:ind w:left="240" w:right="140"/>
      </w:pPr>
      <w:r>
        <w:rPr>
          <w:rFonts w:ascii="Arial" w:cs="Arial" w:eastAsia="Arial" w:hAnsi="Arial"/>
          <w:color w:val="1D2939"/>
          <w:sz w:val="20"/>
          <w:szCs w:val="20"/>
        </w:rPr>
        <w:t xml:space="preserve">→ Une action SEMC à 100 000 FCFA = 10 000 tokens à 10 FCFA chacun</w:t>
      </w:r>
    </w:p>
    <w:p>
      <w:pPr>
        <w:shd w:fill="FEF9EE" w:val="clear"/>
        <w:spacing w:after="50" w:before="50"/>
        <w:ind w:left="240" w:right="140"/>
      </w:pPr>
      <w:r>
        <w:rPr>
          <w:rFonts w:ascii="Arial" w:cs="Arial" w:eastAsia="Arial" w:hAnsi="Arial"/>
          <w:color w:val="1D2939"/>
          <w:sz w:val="20"/>
          <w:szCs w:val="20"/>
        </w:rPr>
        <w:t xml:space="preserve">→ Un Sukuk immobilier de 500M FCFA = 50 000 tokens à 10 000 FCFA chacun</w:t>
      </w:r>
    </w:p>
    <w:p>
      <w:pPr>
        <w:shd w:fill="FEF9EE" w:val="clear"/>
        <w:spacing w:after="50" w:before="50"/>
        <w:ind w:left="240" w:right="140"/>
      </w:pPr>
      <w:r>
        <w:rPr>
          <w:rFonts w:ascii="Arial" w:cs="Arial" w:eastAsia="Arial" w:hAnsi="Arial"/>
          <w:color w:val="1D2939"/>
          <w:sz w:val="20"/>
          <w:szCs w:val="20"/>
        </w:rPr>
        <w:t xml:space="preserve">→ Les dividendes sont versés automatiquement via smart contract : si vous détenez 100 tokens sur 50 000, vous recevez 0,2% des revenus, automatiquement, sans intermédiaire</w:t>
      </w:r>
    </w:p>
    <w:p>
      <w:pPr>
        <w:shd w:fill="FEF9EE" w:val="clear"/>
        <w:spacing w:after="50" w:before="50"/>
        <w:ind w:left="240" w:right="140"/>
      </w:pPr>
      <w:r>
        <w:rPr>
          <w:rFonts w:ascii="Arial" w:cs="Arial" w:eastAsia="Arial" w:hAnsi="Arial"/>
          <w:color w:val="1D2939"/>
          <w:sz w:val="20"/>
          <w:szCs w:val="20"/>
        </w:rPr>
        <w:t xml:space="preserve">→ Les tokens sont échangeables en secondaire : liquidité instantanée, sans passer par une SDB physiquement</w:t>
      </w:r>
    </w:p>
    <w:p>
      <w:pPr>
        <w:shd w:fill="FEF9EE" w:val="clear"/>
        <w:spacing w:after="0" w:before="60"/>
      </w:pPr>
      <w:r>
        <w:rPr>
          <w:rFonts w:ascii="Arial" w:cs="Arial" w:eastAsia="Arial" w:hAnsi="Arial"/>
        </w:rPr>
        <w:t xml:space="preserve"/>
      </w:r>
    </w:p>
    <w:p>
      <w:pPr>
        <w:pStyle w:val="Heading2"/>
        <w:pBdr>
          <w:bottom w:val="single" w:color="C8972B" w:sz="8" w:space="2"/>
        </w:pBdr>
        <w:spacing w:after="120" w:before="300"/>
      </w:pPr>
      <w:r>
        <w:rPr>
          <w:rFonts w:ascii="Arial" w:cs="Arial" w:eastAsia="Arial" w:hAnsi="Arial"/>
          <w:b/>
          <w:bCs/>
          <w:color w:val="0F3460"/>
          <w:sz w:val="28"/>
          <w:szCs w:val="28"/>
        </w:rPr>
        <w:t xml:space="preserve">2.3 Le Mobile Money — Troisième pilier</w:t>
      </w:r>
    </w:p>
    <w:p>
      <w:pPr>
        <w:spacing w:after="80" w:before="80"/>
      </w:pPr>
      <w:r>
        <w:rPr>
          <w:rFonts w:ascii="Arial" w:cs="Arial" w:eastAsia="Arial" w:hAnsi="Arial"/>
          <w:color w:val="475467"/>
          <w:sz w:val="21"/>
          <w:szCs w:val="21"/>
        </w:rPr>
        <w:t xml:space="preserve">NKAP Invest intègre nativement MTN MoMo et Orange Money comme canaux de paiement et d'investissement. Un utilisateur peut investir dans un Sukuk tokenisé depuis son téléphone, avec son compte Mobile Money, en moins de 3 minutes. Aucun compte bancaire requis. Aucun déplacement physique.</w:t>
      </w:r>
    </w:p>
    <w:p>
      <w:pPr>
        <w:pStyle w:val="ListParagraph"/>
        <w:numPr>
          <w:ilvl w:val="0"/>
          <w:numId w:val="2"/>
        </w:numPr>
        <w:spacing w:after="60" w:before="60"/>
      </w:pPr>
      <w:r>
        <w:rPr>
          <w:rFonts w:ascii="Arial" w:cs="Arial" w:eastAsia="Arial" w:hAnsi="Arial"/>
          <w:b/>
          <w:bCs/>
          <w:color w:val="1A7A4A"/>
          <w:sz w:val="21"/>
          <w:szCs w:val="21"/>
        </w:rPr>
        <w:t xml:space="preserve">MTN MoMo : </w:t>
      </w:r>
      <w:r>
        <w:rPr>
          <w:rFonts w:ascii="Arial" w:cs="Arial" w:eastAsia="Arial" w:hAnsi="Arial"/>
          <w:color w:val="475467"/>
          <w:sz w:val="21"/>
          <w:szCs w:val="21"/>
        </w:rPr>
        <w:t xml:space="preserve">Intégration API MTN pour dépôts, investissements et retraits. Présent dans tous les pays CEMAC avec plusieurs millions d'utilisateurs actifs.</w:t>
      </w:r>
    </w:p>
    <w:p>
      <w:pPr>
        <w:pStyle w:val="ListParagraph"/>
        <w:numPr>
          <w:ilvl w:val="0"/>
          <w:numId w:val="2"/>
        </w:numPr>
        <w:spacing w:after="60" w:before="60"/>
      </w:pPr>
      <w:r>
        <w:rPr>
          <w:rFonts w:ascii="Arial" w:cs="Arial" w:eastAsia="Arial" w:hAnsi="Arial"/>
          <w:b/>
          <w:bCs/>
          <w:color w:val="1A7A4A"/>
          <w:sz w:val="21"/>
          <w:szCs w:val="21"/>
        </w:rPr>
        <w:t xml:space="preserve">Orange Money : </w:t>
      </w:r>
      <w:r>
        <w:rPr>
          <w:rFonts w:ascii="Arial" w:cs="Arial" w:eastAsia="Arial" w:hAnsi="Arial"/>
          <w:color w:val="475467"/>
          <w:sz w:val="21"/>
          <w:szCs w:val="21"/>
        </w:rPr>
        <w:t xml:space="preserve">Intégration API Orange pour les mêmes opérations. Orange est le second opérateur Mobile Money de la zone.</w:t>
      </w:r>
    </w:p>
    <w:p>
      <w:pPr>
        <w:pStyle w:val="ListParagraph"/>
        <w:numPr>
          <w:ilvl w:val="0"/>
          <w:numId w:val="2"/>
        </w:numPr>
        <w:spacing w:after="60" w:before="60"/>
      </w:pPr>
      <w:r>
        <w:rPr>
          <w:rFonts w:ascii="Arial" w:cs="Arial" w:eastAsia="Arial" w:hAnsi="Arial"/>
          <w:b/>
          <w:bCs/>
          <w:color w:val="1A7A4A"/>
          <w:sz w:val="21"/>
          <w:szCs w:val="21"/>
        </w:rPr>
        <w:t xml:space="preserve">Réglementation : </w:t>
      </w:r>
      <w:r>
        <w:rPr>
          <w:rFonts w:ascii="Arial" w:cs="Arial" w:eastAsia="Arial" w:hAnsi="Arial"/>
          <w:color w:val="475467"/>
          <w:sz w:val="21"/>
          <w:szCs w:val="21"/>
        </w:rPr>
        <w:t xml:space="preserve">La BVMAC travaille activement à intégrer le Mobile Money pour dynamiser le marché. NKAP Invest s'inscrit exactement dans cette vision et peut devenir le partenaire technologique de cette initiative.</w:t>
      </w:r>
    </w:p>
    <w:p>
      <w:pPr>
        <w:pStyle w:val="ListParagraph"/>
        <w:numPr>
          <w:ilvl w:val="0"/>
          <w:numId w:val="2"/>
        </w:numPr>
        <w:spacing w:after="60" w:before="60"/>
      </w:pPr>
      <w:r>
        <w:rPr>
          <w:rFonts w:ascii="Arial" w:cs="Arial" w:eastAsia="Arial" w:hAnsi="Arial"/>
          <w:b/>
          <w:bCs/>
          <w:color w:val="1A7A4A"/>
          <w:sz w:val="21"/>
          <w:szCs w:val="21"/>
        </w:rPr>
        <w:t xml:space="preserve">Pour le secteur informel : </w:t>
      </w:r>
      <w:r>
        <w:rPr>
          <w:rFonts w:ascii="Arial" w:cs="Arial" w:eastAsia="Arial" w:hAnsi="Arial"/>
          <w:color w:val="475467"/>
          <w:sz w:val="21"/>
          <w:szCs w:val="21"/>
        </w:rPr>
        <w:t xml:space="preserve">Un commerçant du marché de Mokolo à Yaoundé qui épargne en Mobile Money peut désormais investir dans un Sukuk immobilier islamique en 3 clics, sans se déplacer, sans compte bancaire, et en conformité avec ses convictions.</w:t>
      </w:r>
    </w:p>
    <w:p>
      <w:pPr>
        <w:pBdr>
          <w:bottom w:val="single" w:color="D0D5DD" w:sz="4" w:space="1"/>
        </w:pBdr>
        <w:spacing w:after="140" w:before="140"/>
      </w:pPr>
      <w:r>
        <w:rPr>
          <w:rFonts w:ascii="Arial" w:cs="Arial" w:eastAsia="Arial" w:hAnsi="Arial"/>
        </w:rPr>
        <w:t xml:space="preserve"/>
      </w:r>
    </w:p>
    <w:p>
      <w:r>
        <w:br w:type="page"/>
      </w:r>
    </w:p>
    <w:p>
      <w:pPr>
        <w:pStyle w:val="Heading1"/>
        <w:shd w:fill="0F3460" w:val="clear"/>
        <w:spacing w:after="220" w:before="400"/>
        <w:ind w:left="200" w:right="200"/>
      </w:pPr>
      <w:r>
        <w:rPr>
          <w:rFonts w:ascii="Arial" w:cs="Arial" w:eastAsia="Arial" w:hAnsi="Arial"/>
          <w:b/>
          <w:bCs/>
          <w:color w:val="FFFFFF"/>
          <w:sz w:val="36"/>
          <w:szCs w:val="36"/>
        </w:rPr>
        <w:t xml:space="preserve">3. Marché Cible &amp; Opportunité</w:t>
      </w:r>
    </w:p>
    <w:p>
      <w:pPr>
        <w:pStyle w:val="Heading2"/>
        <w:pBdr>
          <w:bottom w:val="single" w:color="C8972B" w:sz="8" w:space="2"/>
        </w:pBdr>
        <w:spacing w:after="120" w:before="300"/>
      </w:pPr>
      <w:r>
        <w:rPr>
          <w:rFonts w:ascii="Arial" w:cs="Arial" w:eastAsia="Arial" w:hAnsi="Arial"/>
          <w:b/>
          <w:bCs/>
          <w:color w:val="0F3460"/>
          <w:sz w:val="28"/>
          <w:szCs w:val="28"/>
        </w:rPr>
        <w:t xml:space="preserve">3.1 La population islamique de la CEMAC — un marché non exploité</w:t>
      </w:r>
    </w:p>
    <w:p>
      <w:pPr>
        <w:spacing w:after="80" w:before="80"/>
      </w:pPr>
      <w:r>
        <w:rPr>
          <w:rFonts w:ascii="Arial" w:cs="Arial" w:eastAsia="Arial" w:hAnsi="Arial"/>
          <w:color w:val="475467"/>
          <w:sz w:val="21"/>
          <w:szCs w:val="21"/>
        </w:rPr>
        <w:t xml:space="preserve">La zone CEMAC compte une proportion significative de musulmans dont l'épargne reste hors du système financier formel par manque d'offres Charia-compatibles. Ce n'est pas une estimation théorique : c'est une réalité documentée dans chaque pays.</w:t>
      </w:r>
    </w:p>
    <w:p>
      <w:pPr>
        <w:spacing w:after="100" w:before="10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600"/>
      </w:tblGrid>
      <w:tr>
        <w:trPr>
          <w:tblHeader/>
        </w:trPr>
        <w:tc>
          <w:tcPr>
            <w:tcW w:type="dxa" w:w="18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Pays CEMAC</w:t>
            </w:r>
          </w:p>
        </w:tc>
        <w:tc>
          <w:tcPr>
            <w:tcW w:type="dxa" w:w="20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Population totale</w:t>
            </w:r>
          </w:p>
        </w:tc>
        <w:tc>
          <w:tcPr>
            <w:tcW w:type="dxa" w:w="28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Pop. musulmane estimée</w:t>
            </w:r>
          </w:p>
        </w:tc>
        <w:tc>
          <w:tcPr>
            <w:tcW w:type="dxa" w:w="26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Épargne islamique non adressée</w:t>
            </w:r>
          </w:p>
        </w:tc>
      </w:tr>
      <w:tr>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Tchad</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18 millions</w:t>
            </w:r>
          </w:p>
        </w:tc>
        <w:tc>
          <w:tcPr>
            <w:tcW w:type="dxa" w:w="2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~10 millions (55%)</w:t>
            </w:r>
          </w:p>
        </w:tc>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Très élevée — quasi zéro offre formelle</w:t>
            </w:r>
          </w:p>
        </w:tc>
      </w:tr>
      <w:tr>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Cameroun</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28 millions</w:t>
            </w:r>
          </w:p>
        </w:tc>
        <w:tc>
          <w:tcPr>
            <w:tcW w:type="dxa" w:w="2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~6-7 millions (22-25%)</w:t>
            </w:r>
          </w:p>
        </w:tc>
        <w:tc>
          <w:tcPr>
            <w:tcW w:type="dxa" w:w="2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Élevée — quelques Islamic Windows informelles</w:t>
            </w:r>
          </w:p>
        </w:tc>
      </w:tr>
      <w:tr>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Centrafrique</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5,5 millions</w:t>
            </w:r>
          </w:p>
        </w:tc>
        <w:tc>
          <w:tcPr>
            <w:tcW w:type="dxa" w:w="2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~825 000 (15%)</w:t>
            </w:r>
          </w:p>
        </w:tc>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Élevée — absence totale d'offre</w:t>
            </w:r>
          </w:p>
        </w:tc>
      </w:tr>
      <w:tr>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Congo</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6 millions</w:t>
            </w:r>
          </w:p>
        </w:tc>
        <w:tc>
          <w:tcPr>
            <w:tcW w:type="dxa" w:w="2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~300 000 (5%)</w:t>
            </w:r>
          </w:p>
        </w:tc>
        <w:tc>
          <w:tcPr>
            <w:tcW w:type="dxa" w:w="2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Modérée</w:t>
            </w:r>
          </w:p>
        </w:tc>
      </w:tr>
      <w:tr>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Gabon</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2,3 millions</w:t>
            </w:r>
          </w:p>
        </w:tc>
        <w:tc>
          <w:tcPr>
            <w:tcW w:type="dxa" w:w="2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~230 000 (10%)</w:t>
            </w:r>
          </w:p>
        </w:tc>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Modérée — potentiel diaspora GCC</w:t>
            </w:r>
          </w:p>
        </w:tc>
      </w:tr>
      <w:tr>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Guinée Équat.</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1,5 million</w:t>
            </w:r>
          </w:p>
        </w:tc>
        <w:tc>
          <w:tcPr>
            <w:tcW w:type="dxa" w:w="2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~75 000 (5%)</w:t>
            </w:r>
          </w:p>
        </w:tc>
        <w:tc>
          <w:tcPr>
            <w:tcW w:type="dxa" w:w="2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Faible volume, fort potentiel pétrolier</w:t>
            </w:r>
          </w:p>
        </w:tc>
      </w:tr>
      <w:tr>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TOTAL CEMAC</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~61 millions</w:t>
            </w:r>
          </w:p>
        </w:tc>
        <w:tc>
          <w:tcPr>
            <w:tcW w:type="dxa" w:w="2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~18 millions de musulmans</w:t>
            </w:r>
          </w:p>
        </w:tc>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Marché de plusieurs centaines de Mds FCFA non adressé</w:t>
            </w:r>
          </w:p>
        </w:tc>
      </w:tr>
    </w:tbl>
    <w:p>
      <w:pPr>
        <w:spacing w:after="100" w:before="100"/>
      </w:pPr>
      <w:r>
        <w:rPr>
          <w:rFonts w:ascii="Arial" w:cs="Arial" w:eastAsia="Arial" w:hAnsi="Arial"/>
        </w:rPr>
        <w:t xml:space="preserve"/>
      </w:r>
    </w:p>
    <w:p>
      <w:pPr>
        <w:spacing w:after="80" w:before="80"/>
      </w:pPr>
      <w:r>
        <w:rPr>
          <w:rFonts w:ascii="Arial" w:cs="Arial" w:eastAsia="Arial" w:hAnsi="Arial"/>
          <w:color w:val="475467"/>
          <w:sz w:val="21"/>
          <w:szCs w:val="21"/>
        </w:rPr>
        <w:t xml:space="preserve">Mais NKAP Invest ne se limite pas aux seuls musulmans. La finance islamique est une finance éthique et participative. Elle attire aussi les non-musulmans en quête de placements éthiques, sans intérêts composés, adossés à des actifs réels. En Europe, 40 % des clients de la finance islamique sont non-musulmans. NKAP Invest adresse donc 100 % de la population CEMAC.</w:t>
      </w:r>
    </w:p>
    <w:p>
      <w:pPr>
        <w:pStyle w:val="Heading2"/>
        <w:pBdr>
          <w:bottom w:val="single" w:color="C8972B" w:sz="8" w:space="2"/>
        </w:pBdr>
        <w:spacing w:after="120" w:before="300"/>
      </w:pPr>
      <w:r>
        <w:rPr>
          <w:rFonts w:ascii="Arial" w:cs="Arial" w:eastAsia="Arial" w:hAnsi="Arial"/>
          <w:b/>
          <w:bCs/>
          <w:color w:val="0F3460"/>
          <w:sz w:val="28"/>
          <w:szCs w:val="28"/>
        </w:rPr>
        <w:t xml:space="preserve">3.2 Taille de marché globale</w:t>
      </w:r>
    </w:p>
    <w:p>
      <w:pPr>
        <w:spacing w:after="100" w:before="10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D0D5DD" w:sz="3"/>
              <w:left w:val="single" w:color="D0D5DD" w:sz="3"/>
              <w:bottom w:val="single" w:color="D0D5DD" w:sz="3"/>
              <w:right w:val="single" w:color="D0D5DD" w:sz="3"/>
            </w:tcBorders>
            <w:shd w:fill="F4F6F9" w:val="clear"/>
            <w:tcMar>
              <w:top w:type="dxa" w:w="120"/>
              <w:left w:type="dxa" w:w="120"/>
              <w:bottom w:type="dxa" w:w="120"/>
              <w:right w:type="dxa" w:w="120"/>
            </w:tcMar>
          </w:tcPr>
          <w:p>
            <w:pPr>
              <w:spacing w:after="40" w:before="120"/>
              <w:jc w:val="center"/>
            </w:pPr>
            <w:r>
              <w:rPr>
                <w:rFonts w:ascii="Arial" w:cs="Arial" w:eastAsia="Arial" w:hAnsi="Arial"/>
                <w:b/>
                <w:bCs/>
                <w:color w:val="1A7A4A"/>
                <w:sz w:val="48"/>
                <w:szCs w:val="48"/>
              </w:rPr>
              <w:t xml:space="preserve">61M</w:t>
            </w:r>
          </w:p>
          <w:p>
            <w:pPr>
              <w:spacing w:after="40" w:before="0"/>
              <w:jc w:val="center"/>
            </w:pPr>
            <w:r>
              <w:rPr>
                <w:rFonts w:ascii="Arial" w:cs="Arial" w:eastAsia="Arial" w:hAnsi="Arial"/>
                <w:b/>
                <w:bCs/>
                <w:color w:val="0F3460"/>
                <w:sz w:val="20"/>
                <w:szCs w:val="20"/>
              </w:rPr>
              <w:t xml:space="preserve">Population CEMAC</w:t>
            </w:r>
          </w:p>
          <w:p>
            <w:pPr>
              <w:spacing w:after="80" w:before="0"/>
              <w:jc w:val="center"/>
            </w:pPr>
            <w:r>
              <w:rPr>
                <w:rFonts w:ascii="Arial" w:cs="Arial" w:eastAsia="Arial" w:hAnsi="Arial"/>
                <w:color w:val="475467"/>
                <w:sz w:val="18"/>
                <w:szCs w:val="18"/>
              </w:rPr>
              <w:t xml:space="preserve">marché adressable total</w:t>
            </w:r>
          </w:p>
        </w:tc>
        <w:tc>
          <w:tcPr>
            <w:tcW w:type="dxa" w:w="2300"/>
            <w:tcBorders>
              <w:top w:val="single" w:color="D0D5DD" w:sz="3"/>
              <w:left w:val="single" w:color="D0D5DD" w:sz="3"/>
              <w:bottom w:val="single" w:color="D0D5DD" w:sz="3"/>
              <w:right w:val="single" w:color="D0D5DD" w:sz="3"/>
            </w:tcBorders>
            <w:shd w:fill="F4F6F9" w:val="clear"/>
            <w:tcMar>
              <w:top w:type="dxa" w:w="120"/>
              <w:left w:type="dxa" w:w="120"/>
              <w:bottom w:type="dxa" w:w="120"/>
              <w:right w:type="dxa" w:w="120"/>
            </w:tcMar>
          </w:tcPr>
          <w:p>
            <w:pPr>
              <w:spacing w:after="40" w:before="120"/>
              <w:jc w:val="center"/>
            </w:pPr>
            <w:r>
              <w:rPr>
                <w:rFonts w:ascii="Arial" w:cs="Arial" w:eastAsia="Arial" w:hAnsi="Arial"/>
                <w:b/>
                <w:bCs/>
                <w:color w:val="1A7A4A"/>
                <w:sz w:val="48"/>
                <w:szCs w:val="48"/>
              </w:rPr>
              <w:t xml:space="preserve">18M+</w:t>
            </w:r>
          </w:p>
          <w:p>
            <w:pPr>
              <w:spacing w:after="40" w:before="0"/>
              <w:jc w:val="center"/>
            </w:pPr>
            <w:r>
              <w:rPr>
                <w:rFonts w:ascii="Arial" w:cs="Arial" w:eastAsia="Arial" w:hAnsi="Arial"/>
                <w:b/>
                <w:bCs/>
                <w:color w:val="0F3460"/>
                <w:sz w:val="20"/>
                <w:szCs w:val="20"/>
              </w:rPr>
              <w:t xml:space="preserve">Musulmans CEMAC</w:t>
            </w:r>
          </w:p>
          <w:p>
            <w:pPr>
              <w:spacing w:after="80" w:before="0"/>
              <w:jc w:val="center"/>
            </w:pPr>
            <w:r>
              <w:rPr>
                <w:rFonts w:ascii="Arial" w:cs="Arial" w:eastAsia="Arial" w:hAnsi="Arial"/>
                <w:color w:val="475467"/>
                <w:sz w:val="18"/>
                <w:szCs w:val="18"/>
              </w:rPr>
              <w:t xml:space="preserve">segment islamique prioritaire</w:t>
            </w:r>
          </w:p>
        </w:tc>
        <w:tc>
          <w:tcPr>
            <w:tcW w:type="dxa" w:w="2300"/>
            <w:tcBorders>
              <w:top w:val="single" w:color="D0D5DD" w:sz="3"/>
              <w:left w:val="single" w:color="D0D5DD" w:sz="3"/>
              <w:bottom w:val="single" w:color="D0D5DD" w:sz="3"/>
              <w:right w:val="single" w:color="D0D5DD" w:sz="3"/>
            </w:tcBorders>
            <w:shd w:fill="F4F6F9" w:val="clear"/>
            <w:tcMar>
              <w:top w:type="dxa" w:w="120"/>
              <w:left w:type="dxa" w:w="120"/>
              <w:bottom w:type="dxa" w:w="120"/>
              <w:right w:type="dxa" w:w="120"/>
            </w:tcMar>
          </w:tcPr>
          <w:p>
            <w:pPr>
              <w:spacing w:after="40" w:before="120"/>
              <w:jc w:val="center"/>
            </w:pPr>
            <w:r>
              <w:rPr>
                <w:rFonts w:ascii="Arial" w:cs="Arial" w:eastAsia="Arial" w:hAnsi="Arial"/>
                <w:b/>
                <w:bCs/>
                <w:color w:val="1A7A4A"/>
                <w:sz w:val="48"/>
                <w:szCs w:val="48"/>
              </w:rPr>
              <w:t xml:space="preserve">&gt;500Mds</w:t>
            </w:r>
          </w:p>
          <w:p>
            <w:pPr>
              <w:spacing w:after="40" w:before="0"/>
              <w:jc w:val="center"/>
            </w:pPr>
            <w:r>
              <w:rPr>
                <w:rFonts w:ascii="Arial" w:cs="Arial" w:eastAsia="Arial" w:hAnsi="Arial"/>
                <w:b/>
                <w:bCs/>
                <w:color w:val="0F3460"/>
                <w:sz w:val="20"/>
                <w:szCs w:val="20"/>
              </w:rPr>
              <w:t xml:space="preserve">FCFA — Sukuk potentiels</w:t>
            </w:r>
          </w:p>
          <w:p>
            <w:pPr>
              <w:spacing w:after="80" w:before="0"/>
              <w:jc w:val="center"/>
            </w:pPr>
            <w:r>
              <w:rPr>
                <w:rFonts w:ascii="Arial" w:cs="Arial" w:eastAsia="Arial" w:hAnsi="Arial"/>
                <w:color w:val="475467"/>
                <w:sz w:val="18"/>
                <w:szCs w:val="18"/>
              </w:rPr>
              <w:t xml:space="preserve">titres souverains + corporate à horizon 5 ans</w:t>
            </w:r>
          </w:p>
        </w:tc>
        <w:tc>
          <w:tcPr>
            <w:tcW w:type="dxa" w:w="2300"/>
            <w:tcBorders>
              <w:top w:val="single" w:color="D0D5DD" w:sz="3"/>
              <w:left w:val="single" w:color="D0D5DD" w:sz="3"/>
              <w:bottom w:val="single" w:color="D0D5DD" w:sz="3"/>
              <w:right w:val="single" w:color="D0D5DD" w:sz="3"/>
            </w:tcBorders>
            <w:shd w:fill="F4F6F9" w:val="clear"/>
            <w:tcMar>
              <w:top w:type="dxa" w:w="120"/>
              <w:left w:type="dxa" w:w="120"/>
              <w:bottom w:type="dxa" w:w="120"/>
              <w:right w:type="dxa" w:w="120"/>
            </w:tcMar>
          </w:tcPr>
          <w:p>
            <w:pPr>
              <w:spacing w:after="40" w:before="120"/>
              <w:jc w:val="center"/>
            </w:pPr>
            <w:r>
              <w:rPr>
                <w:rFonts w:ascii="Arial" w:cs="Arial" w:eastAsia="Arial" w:hAnsi="Arial"/>
                <w:b/>
                <w:bCs/>
                <w:color w:val="1A7A4A"/>
                <w:sz w:val="48"/>
                <w:szCs w:val="48"/>
              </w:rPr>
              <w:t xml:space="preserve">80%</w:t>
            </w:r>
          </w:p>
          <w:p>
            <w:pPr>
              <w:spacing w:after="40" w:before="0"/>
              <w:jc w:val="center"/>
            </w:pPr>
            <w:r>
              <w:rPr>
                <w:rFonts w:ascii="Arial" w:cs="Arial" w:eastAsia="Arial" w:hAnsi="Arial"/>
                <w:b/>
                <w:bCs/>
                <w:color w:val="0F3460"/>
                <w:sz w:val="20"/>
                <w:szCs w:val="20"/>
              </w:rPr>
              <w:t xml:space="preserve">Pénétration Mobile Money</w:t>
            </w:r>
          </w:p>
          <w:p>
            <w:pPr>
              <w:spacing w:after="80" w:before="0"/>
              <w:jc w:val="center"/>
            </w:pPr>
            <w:r>
              <w:rPr>
                <w:rFonts w:ascii="Arial" w:cs="Arial" w:eastAsia="Arial" w:hAnsi="Arial"/>
                <w:color w:val="475467"/>
                <w:sz w:val="18"/>
                <w:szCs w:val="18"/>
              </w:rPr>
              <w:t xml:space="preserve">vecteur d'accès sans banque</w:t>
            </w:r>
          </w:p>
        </w:tc>
      </w:tr>
    </w:tbl>
    <w:p>
      <w:pPr>
        <w:spacing w:after="0" w:before="100"/>
      </w:pPr>
      <w:r>
        <w:rPr>
          <w:rFonts w:ascii="Arial" w:cs="Arial" w:eastAsia="Arial" w:hAnsi="Arial"/>
        </w:rPr>
        <w:t xml:space="preserve"/>
      </w:r>
    </w:p>
    <w:p>
      <w:pPr>
        <w:pBdr>
          <w:bottom w:val="single" w:color="D0D5DD" w:sz="4" w:space="1"/>
        </w:pBdr>
        <w:spacing w:after="140" w:before="140"/>
      </w:pPr>
      <w:r>
        <w:rPr>
          <w:rFonts w:ascii="Arial" w:cs="Arial" w:eastAsia="Arial" w:hAnsi="Arial"/>
        </w:rPr>
        <w:t xml:space="preserve"/>
      </w:r>
    </w:p>
    <w:p>
      <w:r>
        <w:br w:type="page"/>
      </w:r>
    </w:p>
    <w:p>
      <w:pPr>
        <w:pStyle w:val="Heading1"/>
        <w:shd w:fill="1A7A4A" w:val="clear"/>
        <w:spacing w:after="220" w:before="400"/>
        <w:ind w:left="200" w:right="200"/>
      </w:pPr>
      <w:r>
        <w:rPr>
          <w:rFonts w:ascii="Arial" w:cs="Arial" w:eastAsia="Arial" w:hAnsi="Arial"/>
          <w:b/>
          <w:bCs/>
          <w:color w:val="FFFFFF"/>
          <w:sz w:val="36"/>
          <w:szCs w:val="36"/>
        </w:rPr>
        <w:t xml:space="preserve">4. Segmentation Clients — 9 Profils, 1 Plateforme</w:t>
      </w:r>
    </w:p>
    <w:p>
      <w:pPr>
        <w:pStyle w:val="Heading2"/>
        <w:pBdr>
          <w:bottom w:val="single" w:color="C8972B" w:sz="8" w:space="2"/>
        </w:pBdr>
        <w:spacing w:after="120" w:before="300"/>
      </w:pPr>
      <w:r>
        <w:rPr>
          <w:rFonts w:ascii="Arial" w:cs="Arial" w:eastAsia="Arial" w:hAnsi="Arial"/>
          <w:b/>
          <w:bCs/>
          <w:color w:val="0F3460"/>
          <w:sz w:val="28"/>
          <w:szCs w:val="28"/>
        </w:rPr>
        <w:t xml:space="preserve">4.1 Vue d'ensemble</w:t>
      </w:r>
    </w:p>
    <w:p>
      <w:pPr>
        <w:spacing w:after="80" w:before="80"/>
      </w:pPr>
      <w:r>
        <w:rPr>
          <w:rFonts w:ascii="Arial" w:cs="Arial" w:eastAsia="Arial" w:hAnsi="Arial"/>
          <w:color w:val="475467"/>
          <w:sz w:val="21"/>
          <w:szCs w:val="21"/>
        </w:rPr>
        <w:t xml:space="preserve">NKAP Invest adopte une architecture multi-segments. Chaque profil client a des besoins spécifiques, et la plateforme lui apporte une valeur distinctive. La combinaison Finance Islamique + Tokenisation + Mobile Money crée une proposition de valeur unique pour chacun de ces segments.</w:t>
      </w:r>
    </w:p>
    <w:p>
      <w:pPr>
        <w:spacing w:after="100" w:before="10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Segment</w:t>
            </w:r>
          </w:p>
        </w:tc>
        <w:tc>
          <w:tcPr>
            <w:tcW w:type="dxa" w:w="36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Problème actuel</w:t>
            </w:r>
          </w:p>
        </w:tc>
        <w:tc>
          <w:tcPr>
            <w:tcW w:type="dxa" w:w="36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Ce que NKAP Invest apporte</w:t>
            </w:r>
          </w:p>
        </w:tc>
      </w:tr>
      <w:tr>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bCs/>
                <w:color w:val="0F3460"/>
                <w:sz w:val="19"/>
                <w:szCs w:val="19"/>
              </w:rPr>
              <w:t xml:space="preserve">Étudiants</w:t>
            </w:r>
          </w:p>
        </w:tc>
        <w:tc>
          <w:tcPr>
            <w:tcW w:type="dxa" w:w="3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Zéro capital pour investir. Aucune éducation financière pratique. Exclu du marché boursier.</w:t>
            </w:r>
          </w:p>
        </w:tc>
        <w:tc>
          <w:tcPr>
            <w:tcW w:type="dxa" w:w="3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Simulateur boursier Charia-compatible. Investissement dès 1 000 FCFA via MoMo. Tokens de Sukuk accessibles. Gamification et certifications.</w:t>
            </w:r>
          </w:p>
        </w:tc>
      </w:tr>
      <w:tr>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bCs/>
                <w:color w:val="0F3460"/>
                <w:sz w:val="19"/>
                <w:szCs w:val="19"/>
              </w:rPr>
              <w:t xml:space="preserve">Salariés</w:t>
            </w:r>
          </w:p>
        </w:tc>
        <w:tc>
          <w:tcPr>
            <w:tcW w:type="dxa" w:w="3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Épargne dormante ou en tontine. Accès limité aux produits d'investissement. Contraintes religieuses non adressées.</w:t>
            </w:r>
          </w:p>
        </w:tc>
        <w:tc>
          <w:tcPr>
            <w:tcW w:type="dxa" w:w="3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FCP islamique (Moudharaba) en ligne. Sukuk tokenisés depuis 10 000 FCFA. Dividendes automatiques. Investissement depuis MoMo sans se déplacer.</w:t>
            </w:r>
          </w:p>
        </w:tc>
      </w:tr>
      <w:tr>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bCs/>
                <w:color w:val="0F3460"/>
                <w:sz w:val="19"/>
                <w:szCs w:val="19"/>
              </w:rPr>
              <w:t xml:space="preserve">Secteur informel</w:t>
            </w:r>
          </w:p>
        </w:tc>
        <w:tc>
          <w:tcPr>
            <w:tcW w:type="dxa" w:w="3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Totalement exclu du système bancaire. Épargne en cash ou tontine. Fort capital accumulé non investi. Besoins de financement non adressés.</w:t>
            </w:r>
          </w:p>
        </w:tc>
        <w:tc>
          <w:tcPr>
            <w:tcW w:type="dxa" w:w="3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Investissement 100% Mobile Money sans compte bancaire. Crowdfunding Qard Hassan (prêt sans intérêt). Mourabaha pour financement d'activité. Interface simple, sans jargon.</w:t>
            </w:r>
          </w:p>
        </w:tc>
      </w:tr>
      <w:tr>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bCs/>
                <w:color w:val="0F3460"/>
                <w:sz w:val="19"/>
                <w:szCs w:val="19"/>
              </w:rPr>
              <w:t xml:space="preserve">Personnes âgées</w:t>
            </w:r>
          </w:p>
        </w:tc>
        <w:tc>
          <w:tcPr>
            <w:tcW w:type="dxa" w:w="3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Méfiance envers les banques. Interdiction religieuse des intérêts. Besoin de revenus passifs réguliers et sécurisés.</w:t>
            </w:r>
          </w:p>
        </w:tc>
        <w:tc>
          <w:tcPr>
            <w:tcW w:type="dxa" w:w="3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Sukuk à revenus mensuels fixes (loyers d'actifs réels). Conformité Charia totale. Interface simplifiée. Conseiller dédié. Héritage planifiable via smart contract.</w:t>
            </w:r>
          </w:p>
        </w:tc>
      </w:tr>
      <w:tr>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bCs/>
                <w:color w:val="0F3460"/>
                <w:sz w:val="19"/>
                <w:szCs w:val="19"/>
              </w:rPr>
              <w:t xml:space="preserve">PME</w:t>
            </w:r>
          </w:p>
        </w:tc>
        <w:tc>
          <w:tcPr>
            <w:tcW w:type="dxa" w:w="3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Difficultés d'accès au crédit bancaire. Taux d'intérêt prohibitifs. Pas d'alternative islamique structurée. Visibilité nulle auprès des investisseurs.</w:t>
            </w:r>
          </w:p>
        </w:tc>
        <w:tc>
          <w:tcPr>
            <w:tcW w:type="dxa" w:w="3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Financement Mourabaha et Ijara via institutions partenaires. Crowdfunding Moucharaka pour lever des fonds. Tokenisation de leurs actifs pour attirer des investisseurs. Rating et profil institutionnel visible.</w:t>
            </w:r>
          </w:p>
        </w:tc>
      </w:tr>
      <w:tr>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bCs/>
                <w:color w:val="0F3460"/>
                <w:sz w:val="19"/>
                <w:szCs w:val="19"/>
              </w:rPr>
              <w:t xml:space="preserve">Grandes entreprises</w:t>
            </w:r>
          </w:p>
        </w:tc>
        <w:tc>
          <w:tcPr>
            <w:tcW w:type="dxa" w:w="3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Émissions de titres coûteuses et lentes. Accès limité aux capitaux islamiques internationaux (GCC). Pas de marché secondaire liquide.</w:t>
            </w:r>
          </w:p>
        </w:tc>
        <w:tc>
          <w:tcPr>
            <w:tcW w:type="dxa" w:w="3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Émission de Sukuk tokenisés sur NKAP Invest. Accès aux capitaux islamiques GCC via la plateforme. Marché secondaire de tokens pour la liquidité. Smart contracts pour distribution automatique des dividendes.</w:t>
            </w:r>
          </w:p>
        </w:tc>
      </w:tr>
      <w:tr>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bCs/>
                <w:color w:val="0F3460"/>
                <w:sz w:val="19"/>
                <w:szCs w:val="19"/>
              </w:rPr>
              <w:t xml:space="preserve">Banques &amp; EMF</w:t>
            </w:r>
          </w:p>
        </w:tc>
        <w:tc>
          <w:tcPr>
            <w:tcW w:type="dxa" w:w="3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Islamic Windows non structurées. Clientèle islamique non adressée. Pas de canal numérique pour produits islamiques.</w:t>
            </w:r>
          </w:p>
        </w:tc>
        <w:tc>
          <w:tcPr>
            <w:tcW w:type="dxa" w:w="3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Distribution de produits islamiques via NKAP Invest. Profil institutionnel vérifié et visible. Matching avec PME et particuliers. Revenus additionnels sans infrastructure propre.</w:t>
            </w:r>
          </w:p>
        </w:tc>
      </w:tr>
      <w:tr>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bCs/>
                <w:color w:val="0F3460"/>
                <w:sz w:val="19"/>
                <w:szCs w:val="19"/>
              </w:rPr>
              <w:t xml:space="preserve">Sociétés de bourse</w:t>
            </w:r>
          </w:p>
        </w:tc>
        <w:tc>
          <w:tcPr>
            <w:tcW w:type="dxa" w:w="3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Marché peu liquide. Peu d'investisseurs. Opérations encore papier. Pas d'accès au marché islamique.</w:t>
            </w:r>
          </w:p>
        </w:tc>
        <w:tc>
          <w:tcPr>
            <w:tcW w:type="dxa" w:w="3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NKAP Invest comme canal digital d'acquisition de nouveaux investisseurs. Ordres exécutés via SDB partenaires. Tokenisation des titres cotés pour fragmenter et liquéfier le marché. Commission sur chaque transaction.</w:t>
            </w:r>
          </w:p>
        </w:tc>
      </w:tr>
      <w:tr>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bCs/>
                <w:color w:val="0F3460"/>
                <w:sz w:val="19"/>
                <w:szCs w:val="19"/>
              </w:rPr>
              <w:t xml:space="preserve">Asset Managers</w:t>
            </w:r>
          </w:p>
        </w:tc>
        <w:tc>
          <w:tcPr>
            <w:tcW w:type="dxa" w:w="3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Distribution limitée aux clients institutionnels. Pas d'accès au grand public. Aucun FCP islamique distribué numériquement en CEMAC.</w:t>
            </w:r>
          </w:p>
        </w:tc>
        <w:tc>
          <w:tcPr>
            <w:tcW w:type="dxa" w:w="3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9"/>
                <w:szCs w:val="19"/>
              </w:rPr>
              <w:t xml:space="preserve">Distribution FCP conventionnels et islamiques sur NKAP Invest. Copy investment : novices qui répliquent les meilleurs AM. Base clients démultipliée. Commission partagée sur souscriptions.</w:t>
            </w:r>
          </w:p>
        </w:tc>
      </w:tr>
    </w:tbl>
    <w:p>
      <w:pPr>
        <w:spacing w:after="0" w:before="120"/>
      </w:pPr>
      <w:r>
        <w:rPr>
          <w:rFonts w:ascii="Arial" w:cs="Arial" w:eastAsia="Arial" w:hAnsi="Arial"/>
        </w:rPr>
        <w:t xml:space="preserve"/>
      </w:r>
    </w:p>
    <w:p>
      <w:pPr>
        <w:pBdr>
          <w:bottom w:val="single" w:color="D0D5DD" w:sz="4" w:space="1"/>
        </w:pBdr>
        <w:spacing w:after="140" w:before="140"/>
      </w:pPr>
      <w:r>
        <w:rPr>
          <w:rFonts w:ascii="Arial" w:cs="Arial" w:eastAsia="Arial" w:hAnsi="Arial"/>
        </w:rPr>
        <w:t xml:space="preserve"/>
      </w:r>
    </w:p>
    <w:p>
      <w:r>
        <w:br w:type="page"/>
      </w:r>
    </w:p>
    <w:p>
      <w:pPr>
        <w:pStyle w:val="Heading1"/>
        <w:shd w:fill="0F3460" w:val="clear"/>
        <w:spacing w:after="220" w:before="400"/>
        <w:ind w:left="200" w:right="200"/>
      </w:pPr>
      <w:r>
        <w:rPr>
          <w:rFonts w:ascii="Arial" w:cs="Arial" w:eastAsia="Arial" w:hAnsi="Arial"/>
          <w:b/>
          <w:bCs/>
          <w:color w:val="FFFFFF"/>
          <w:sz w:val="36"/>
          <w:szCs w:val="36"/>
        </w:rPr>
        <w:t xml:space="preserve">5. Avantage Concurrentiel — Pourquoi NKAP Invest Gagnera</w:t>
      </w:r>
    </w:p>
    <w:p>
      <w:pPr>
        <w:pStyle w:val="Heading2"/>
        <w:pBdr>
          <w:bottom w:val="single" w:color="C8972B" w:sz="8" w:space="2"/>
        </w:pBdr>
        <w:spacing w:after="120" w:before="300"/>
      </w:pPr>
      <w:r>
        <w:rPr>
          <w:rFonts w:ascii="Arial" w:cs="Arial" w:eastAsia="Arial" w:hAnsi="Arial"/>
          <w:b/>
          <w:bCs/>
          <w:color w:val="0F3460"/>
          <w:sz w:val="28"/>
          <w:szCs w:val="28"/>
        </w:rPr>
        <w:t xml:space="preserve">5.1 Le vide du marché : personne n'a fait cela</w:t>
      </w:r>
    </w:p>
    <w:p>
      <w:pPr>
        <w:spacing w:after="80" w:before="80"/>
      </w:pPr>
      <w:r>
        <w:rPr>
          <w:rFonts w:ascii="Arial" w:cs="Arial" w:eastAsia="Arial" w:hAnsi="Arial"/>
          <w:color w:val="475467"/>
          <w:sz w:val="21"/>
          <w:szCs w:val="21"/>
        </w:rPr>
        <w:t xml:space="preserve">À la date de rédaction de ce business plan, aucune plateforme numérique en zone CEMAC ne combine Finance Islamique, Tokenisation blockchain et Mobile Money dans une seule interface. Ce n'est pas une opportunité théorique — c'est un vide documenté, béant, que nous allons occuper.</w:t>
      </w:r>
    </w:p>
    <w:p>
      <w:pPr>
        <w:spacing w:after="100" w:before="10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400"/>
      </w:tblGrid>
      <w:tr>
        <w:trPr>
          <w:tblHeader/>
        </w:trPr>
        <w:tc>
          <w:tcPr>
            <w:tcW w:type="dxa" w:w="24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Critère</w:t>
            </w:r>
          </w:p>
        </w:tc>
        <w:tc>
          <w:tcPr>
            <w:tcW w:type="dxa" w:w="18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Banques classiques CEMAC</w:t>
            </w:r>
          </w:p>
        </w:tc>
        <w:tc>
          <w:tcPr>
            <w:tcW w:type="dxa" w:w="18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Apps MoMo (MTN, Orange)</w:t>
            </w:r>
          </w:p>
        </w:tc>
        <w:tc>
          <w:tcPr>
            <w:tcW w:type="dxa" w:w="18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Bourses (BVMAC, DSX)</w:t>
            </w:r>
          </w:p>
        </w:tc>
        <w:tc>
          <w:tcPr>
            <w:tcW w:type="dxa" w:w="14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NKAP Invest</w:t>
            </w:r>
          </w:p>
        </w:tc>
      </w:tr>
      <w:tr>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Finance Islamique</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Quasi absente</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Absente</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Absente</w:t>
            </w:r>
          </w:p>
        </w:tc>
        <w:tc>
          <w:tcPr>
            <w:tcW w:type="dxa" w:w="1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 Cœur du projet</w:t>
            </w:r>
          </w:p>
        </w:tc>
      </w:tr>
      <w:tr>
        <w:tc>
          <w:tcPr>
            <w:tcW w:type="dxa" w:w="2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Tokenisation d'actifs</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Inexistante</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Inexistante</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En réflexion</w:t>
            </w:r>
          </w:p>
        </w:tc>
        <w:tc>
          <w:tcPr>
            <w:tcW w:type="dxa" w:w="1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 Déjà architecturé</w:t>
            </w:r>
          </w:p>
        </w:tc>
      </w:tr>
      <w:tr>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Mobile Money intégré</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Partiel</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 Natif</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 Natif (MTN+Orange)</w:t>
            </w:r>
          </w:p>
        </w:tc>
      </w:tr>
      <w:tr>
        <w:tc>
          <w:tcPr>
            <w:tcW w:type="dxa" w:w="2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Investissement dès 1 000 FCFA</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 Via tokens</w:t>
            </w:r>
          </w:p>
        </w:tc>
      </w:tr>
      <w:tr>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Dividendes automatiques</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 Smart contracts</w:t>
            </w:r>
          </w:p>
        </w:tc>
      </w:tr>
      <w:tr>
        <w:tc>
          <w:tcPr>
            <w:tcW w:type="dxa" w:w="2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Marché secondaire tokens</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 Prévu Phase 3</w:t>
            </w:r>
          </w:p>
        </w:tc>
      </w:tr>
      <w:tr>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Certifié Charia</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Non</w:t>
            </w:r>
          </w:p>
        </w:tc>
        <w:tc>
          <w:tcPr>
            <w:tcW w:type="dxa" w:w="1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 Comité Charia SSB</w:t>
            </w:r>
          </w:p>
        </w:tc>
      </w:tr>
    </w:tbl>
    <w:p>
      <w:pPr>
        <w:spacing w:after="0" w:before="100"/>
      </w:pPr>
      <w:r>
        <w:rPr>
          <w:rFonts w:ascii="Arial" w:cs="Arial" w:eastAsia="Arial" w:hAnsi="Arial"/>
        </w:rPr>
        <w:t xml:space="preserve"/>
      </w:r>
    </w:p>
    <w:p>
      <w:pPr>
        <w:pStyle w:val="Heading2"/>
        <w:pBdr>
          <w:bottom w:val="single" w:color="C8972B" w:sz="8" w:space="2"/>
        </w:pBdr>
        <w:spacing w:after="120" w:before="300"/>
      </w:pPr>
      <w:r>
        <w:rPr>
          <w:rFonts w:ascii="Arial" w:cs="Arial" w:eastAsia="Arial" w:hAnsi="Arial"/>
          <w:b/>
          <w:bCs/>
          <w:color w:val="0F3460"/>
          <w:sz w:val="28"/>
          <w:szCs w:val="28"/>
        </w:rPr>
        <w:t xml:space="preserve">5.2 Le Pioneer Advantage réglementaire</w:t>
      </w:r>
    </w:p>
    <w:p>
      <w:pPr>
        <w:spacing w:after="80" w:before="80"/>
      </w:pPr>
      <w:r>
        <w:rPr>
          <w:rFonts w:ascii="Arial" w:cs="Arial" w:eastAsia="Arial" w:hAnsi="Arial"/>
          <w:color w:val="475467"/>
          <w:sz w:val="21"/>
          <w:szCs w:val="21"/>
        </w:rPr>
        <w:t xml:space="preserve">Le règlement CEMAC DEEP (Dispositif Électronique d'Enregistrement Partagé), entré en vigueur le 1er janvier 2026, légalise l'inscription des titres financiers sur une blockchain. NKAP Invest est né pour exploiter exactement ce cadre. En étant premiers, nous co-construisons les standards et les pratiques du marché avec les régulateurs (COSUMAF, COBAC, BEAC). C'est un avantage structurel qui durera des années.</w:t>
      </w:r>
    </w:p>
    <w:p>
      <w:pPr>
        <w:pStyle w:val="Heading2"/>
        <w:pBdr>
          <w:bottom w:val="single" w:color="C8972B" w:sz="8" w:space="2"/>
        </w:pBdr>
        <w:spacing w:after="120" w:before="300"/>
      </w:pPr>
      <w:r>
        <w:rPr>
          <w:rFonts w:ascii="Arial" w:cs="Arial" w:eastAsia="Arial" w:hAnsi="Arial"/>
          <w:b/>
          <w:bCs/>
          <w:color w:val="0F3460"/>
          <w:sz w:val="28"/>
          <w:szCs w:val="28"/>
        </w:rPr>
        <w:t xml:space="preserve">5.3 La barrière à l'entrée technologique et réglementaire</w:t>
      </w:r>
    </w:p>
    <w:p>
      <w:pPr>
        <w:pStyle w:val="ListParagraph"/>
        <w:numPr>
          <w:ilvl w:val="0"/>
          <w:numId w:val="2"/>
        </w:numPr>
        <w:spacing w:after="60" w:before="60"/>
      </w:pPr>
      <w:r>
        <w:rPr>
          <w:rFonts w:ascii="Arial" w:cs="Arial" w:eastAsia="Arial" w:hAnsi="Arial"/>
          <w:b/>
          <w:bCs/>
          <w:color w:val="1A7A4A"/>
          <w:sz w:val="21"/>
          <w:szCs w:val="21"/>
        </w:rPr>
        <w:t xml:space="preserve">Technologie : </w:t>
      </w:r>
      <w:r>
        <w:rPr>
          <w:rFonts w:ascii="Arial" w:cs="Arial" w:eastAsia="Arial" w:hAnsi="Arial"/>
          <w:color w:val="475467"/>
          <w:sz w:val="21"/>
          <w:szCs w:val="21"/>
        </w:rPr>
        <w:t xml:space="preserve">Construire une plateforme combinant smart contracts Charia-conformes, tokenisation d'actifs réels, intégration Mobile Money et conformité COSUMAF/COBAC demande 18 à 24 mois minimum et une équipe pluridisciplinaire rare en CEMAC.</w:t>
      </w:r>
    </w:p>
    <w:p>
      <w:pPr>
        <w:pStyle w:val="ListParagraph"/>
        <w:numPr>
          <w:ilvl w:val="0"/>
          <w:numId w:val="2"/>
        </w:numPr>
        <w:spacing w:after="60" w:before="60"/>
      </w:pPr>
      <w:r>
        <w:rPr>
          <w:rFonts w:ascii="Arial" w:cs="Arial" w:eastAsia="Arial" w:hAnsi="Arial"/>
          <w:b/>
          <w:bCs/>
          <w:color w:val="1A7A4A"/>
          <w:sz w:val="21"/>
          <w:szCs w:val="21"/>
        </w:rPr>
        <w:t xml:space="preserve">Réglementation : </w:t>
      </w:r>
      <w:r>
        <w:rPr>
          <w:rFonts w:ascii="Arial" w:cs="Arial" w:eastAsia="Arial" w:hAnsi="Arial"/>
          <w:color w:val="475467"/>
          <w:sz w:val="21"/>
          <w:szCs w:val="21"/>
        </w:rPr>
        <w:t xml:space="preserve">Obtenir l'agrément COSUMAF, les partenariats PSAN, et constituer un Comité Charia crédible prend du temps. En étant premiers, nous avons déjà commencé ce processus — un concurrent qui démarrerait demain aurait 18 mois de retard minimum.</w:t>
      </w:r>
    </w:p>
    <w:p>
      <w:pPr>
        <w:pStyle w:val="ListParagraph"/>
        <w:numPr>
          <w:ilvl w:val="0"/>
          <w:numId w:val="2"/>
        </w:numPr>
        <w:spacing w:after="60" w:before="60"/>
      </w:pPr>
      <w:r>
        <w:rPr>
          <w:rFonts w:ascii="Arial" w:cs="Arial" w:eastAsia="Arial" w:hAnsi="Arial"/>
          <w:b/>
          <w:bCs/>
          <w:color w:val="1A7A4A"/>
          <w:sz w:val="21"/>
          <w:szCs w:val="21"/>
        </w:rPr>
        <w:t xml:space="preserve">Réseau : </w:t>
      </w:r>
      <w:r>
        <w:rPr>
          <w:rFonts w:ascii="Arial" w:cs="Arial" w:eastAsia="Arial" w:hAnsi="Arial"/>
          <w:color w:val="475467"/>
          <w:sz w:val="21"/>
          <w:szCs w:val="21"/>
        </w:rPr>
        <w:t xml:space="preserve">La finance est un business de confiance et de réseau. Les partenariats avec banques (Islamic Windows), SDB et AM que nous construisons sont exclusifs et difficiles à dupliquer rapidement.</w:t>
      </w:r>
    </w:p>
    <w:p>
      <w:pPr>
        <w:pBdr>
          <w:bottom w:val="single" w:color="D0D5DD" w:sz="4" w:space="1"/>
        </w:pBdr>
        <w:spacing w:after="140" w:before="140"/>
      </w:pPr>
      <w:r>
        <w:rPr>
          <w:rFonts w:ascii="Arial" w:cs="Arial" w:eastAsia="Arial" w:hAnsi="Arial"/>
        </w:rPr>
        <w:t xml:space="preserve"/>
      </w:r>
    </w:p>
    <w:p>
      <w:r>
        <w:br w:type="page"/>
      </w:r>
    </w:p>
    <w:p>
      <w:pPr>
        <w:pStyle w:val="Heading1"/>
        <w:shd w:fill="C8972B" w:val="clear"/>
        <w:spacing w:after="220" w:before="400"/>
        <w:ind w:left="200" w:right="200"/>
      </w:pPr>
      <w:r>
        <w:rPr>
          <w:rFonts w:ascii="Arial" w:cs="Arial" w:eastAsia="Arial" w:hAnsi="Arial"/>
          <w:b/>
          <w:bCs/>
          <w:color w:val="FFFFFF"/>
          <w:sz w:val="36"/>
          <w:szCs w:val="36"/>
        </w:rPr>
        <w:t xml:space="preserve">6. Modèle Économique — Comment NKAP Invest Génère du Cash</w:t>
      </w:r>
    </w:p>
    <w:p>
      <w:pPr>
        <w:pStyle w:val="Heading2"/>
        <w:pBdr>
          <w:bottom w:val="single" w:color="C8972B" w:sz="8" w:space="2"/>
        </w:pBdr>
        <w:spacing w:after="120" w:before="300"/>
      </w:pPr>
      <w:r>
        <w:rPr>
          <w:rFonts w:ascii="Arial" w:cs="Arial" w:eastAsia="Arial" w:hAnsi="Arial"/>
          <w:b/>
          <w:bCs/>
          <w:color w:val="0F3460"/>
          <w:sz w:val="28"/>
          <w:szCs w:val="28"/>
        </w:rPr>
        <w:t xml:space="preserve">6.1 Sources de revenus — Vue d'ensemble</w:t>
      </w:r>
    </w:p>
    <w:p>
      <w:pPr>
        <w:spacing w:after="80" w:before="80"/>
      </w:pPr>
      <w:r>
        <w:rPr>
          <w:rFonts w:ascii="Arial" w:cs="Arial" w:eastAsia="Arial" w:hAnsi="Arial"/>
          <w:color w:val="475467"/>
          <w:sz w:val="21"/>
          <w:szCs w:val="21"/>
        </w:rPr>
        <w:t xml:space="preserve">NKAP Invest adopte un modèle multi-flux, combinant commissions transactionnelles, abonnements récurrents et revenus basés sur la performance. Chaque segment client génère des revenus distincts. Le modèle est conçu pour atteindre la rentabilité dès la fin de la Phase 2.</w:t>
      </w:r>
    </w:p>
    <w:p>
      <w:pPr>
        <w:spacing w:after="100" w:before="10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800"/>
        <w:gridCol w:w="1600"/>
      </w:tblGrid>
      <w:tr>
        <w:trPr>
          <w:tblHeader/>
        </w:trPr>
        <w:tc>
          <w:tcPr>
            <w:tcW w:type="dxa" w:w="2200"/>
            <w:tcBorders>
              <w:top w:val="single" w:color="D0D5DD" w:sz="3"/>
              <w:left w:val="single" w:color="D0D5DD" w:sz="3"/>
              <w:bottom w:val="single" w:color="D0D5DD" w:sz="3"/>
              <w:right w:val="single" w:color="D0D5DD" w:sz="3"/>
            </w:tcBorders>
            <w:shd w:fill="C8972B"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Source de revenu</w:t>
            </w:r>
          </w:p>
        </w:tc>
        <w:tc>
          <w:tcPr>
            <w:tcW w:type="dxa" w:w="2200"/>
            <w:tcBorders>
              <w:top w:val="single" w:color="D0D5DD" w:sz="3"/>
              <w:left w:val="single" w:color="D0D5DD" w:sz="3"/>
              <w:bottom w:val="single" w:color="D0D5DD" w:sz="3"/>
              <w:right w:val="single" w:color="D0D5DD" w:sz="3"/>
            </w:tcBorders>
            <w:shd w:fill="C8972B"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Mécanisme</w:t>
            </w:r>
          </w:p>
        </w:tc>
        <w:tc>
          <w:tcPr>
            <w:tcW w:type="dxa" w:w="1400"/>
            <w:tcBorders>
              <w:top w:val="single" w:color="D0D5DD" w:sz="3"/>
              <w:left w:val="single" w:color="D0D5DD" w:sz="3"/>
              <w:bottom w:val="single" w:color="D0D5DD" w:sz="3"/>
              <w:right w:val="single" w:color="D0D5DD" w:sz="3"/>
            </w:tcBorders>
            <w:shd w:fill="C8972B"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Taux / Montant</w:t>
            </w:r>
          </w:p>
        </w:tc>
        <w:tc>
          <w:tcPr>
            <w:tcW w:type="dxa" w:w="1800"/>
            <w:tcBorders>
              <w:top w:val="single" w:color="D0D5DD" w:sz="3"/>
              <w:left w:val="single" w:color="D0D5DD" w:sz="3"/>
              <w:bottom w:val="single" w:color="D0D5DD" w:sz="3"/>
              <w:right w:val="single" w:color="D0D5DD" w:sz="3"/>
            </w:tcBorders>
            <w:shd w:fill="C8972B"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Volume estimé an 3</w:t>
            </w:r>
          </w:p>
        </w:tc>
        <w:tc>
          <w:tcPr>
            <w:tcW w:type="dxa" w:w="1600"/>
            <w:tcBorders>
              <w:top w:val="single" w:color="D0D5DD" w:sz="3"/>
              <w:left w:val="single" w:color="D0D5DD" w:sz="3"/>
              <w:bottom w:val="single" w:color="D0D5DD" w:sz="3"/>
              <w:right w:val="single" w:color="D0D5DD" w:sz="3"/>
            </w:tcBorders>
            <w:shd w:fill="C8972B"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Revenus projetés an 3</w:t>
            </w:r>
          </w:p>
        </w:tc>
      </w:tr>
      <w:tr>
        <w:tc>
          <w:tcPr>
            <w:tcW w:type="dxa" w:w="2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Commission émission Sukuk</w:t>
            </w:r>
          </w:p>
        </w:tc>
        <w:tc>
          <w:tcPr>
            <w:tcW w:type="dxa" w:w="2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 du montant levé à chaque émission tokenisée</w:t>
            </w:r>
          </w:p>
        </w:tc>
        <w:tc>
          <w:tcPr>
            <w:tcW w:type="dxa" w:w="1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 à 3%</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 émissions × 500M FCFA moy.</w:t>
            </w:r>
          </w:p>
        </w:tc>
        <w:tc>
          <w:tcPr>
            <w:tcW w:type="dxa" w:w="1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25 à 75M FCFA</w:t>
            </w:r>
          </w:p>
        </w:tc>
      </w:tr>
      <w:tr>
        <w:tc>
          <w:tcPr>
            <w:tcW w:type="dxa" w:w="2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Commission mise en relation islamique</w:t>
            </w:r>
          </w:p>
        </w:tc>
        <w:tc>
          <w:tcPr>
            <w:tcW w:type="dxa" w:w="2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 sur financement Mourabaha/Ijara accordé via la plateforme</w:t>
            </w:r>
          </w:p>
        </w:tc>
        <w:tc>
          <w:tcPr>
            <w:tcW w:type="dxa" w:w="1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0,5 à 1%</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 Mds FCFA de financements</w:t>
            </w:r>
          </w:p>
        </w:tc>
        <w:tc>
          <w:tcPr>
            <w:tcW w:type="dxa" w:w="1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10 à 20M FCFA</w:t>
            </w:r>
          </w:p>
        </w:tc>
      </w:tr>
      <w:tr>
        <w:tc>
          <w:tcPr>
            <w:tcW w:type="dxa" w:w="2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Commission transactions tokens</w:t>
            </w:r>
          </w:p>
        </w:tc>
        <w:tc>
          <w:tcPr>
            <w:tcW w:type="dxa" w:w="2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Frais sur chaque achat/vente de tokens sur le marché secondaire</w:t>
            </w:r>
          </w:p>
        </w:tc>
        <w:tc>
          <w:tcPr>
            <w:tcW w:type="dxa" w:w="1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0,3 à 0,5%</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Volume estimé 10 Mds FCFA</w:t>
            </w:r>
          </w:p>
        </w:tc>
        <w:tc>
          <w:tcPr>
            <w:tcW w:type="dxa" w:w="1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30 à 50M FCFA</w:t>
            </w:r>
          </w:p>
        </w:tc>
      </w:tr>
      <w:tr>
        <w:tc>
          <w:tcPr>
            <w:tcW w:type="dxa" w:w="2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Commission souscription FCP</w:t>
            </w:r>
          </w:p>
        </w:tc>
        <w:tc>
          <w:tcPr>
            <w:tcW w:type="dxa" w:w="2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 prélevé sur chaque souscription à un fonds (islamique ou conventionnel)</w:t>
            </w:r>
          </w:p>
        </w:tc>
        <w:tc>
          <w:tcPr>
            <w:tcW w:type="dxa" w:w="1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 à 2%</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500M FCFA de souscriptions</w:t>
            </w:r>
          </w:p>
        </w:tc>
        <w:tc>
          <w:tcPr>
            <w:tcW w:type="dxa" w:w="1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 à 10M FCFA</w:t>
            </w:r>
          </w:p>
        </w:tc>
      </w:tr>
      <w:tr>
        <w:tc>
          <w:tcPr>
            <w:tcW w:type="dxa" w:w="2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Commission crowdfunding</w:t>
            </w:r>
          </w:p>
        </w:tc>
        <w:tc>
          <w:tcPr>
            <w:tcW w:type="dxa" w:w="2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 sur fonds collectés lors de campagnes réussies (Moucharaka, Qard Hassan)</w:t>
            </w:r>
          </w:p>
        </w:tc>
        <w:tc>
          <w:tcPr>
            <w:tcW w:type="dxa" w:w="1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 à 8%</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300M FCFA collectés</w:t>
            </w:r>
          </w:p>
        </w:tc>
        <w:tc>
          <w:tcPr>
            <w:tcW w:type="dxa" w:w="1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15 à 24M FCFA</w:t>
            </w:r>
          </w:p>
        </w:tc>
      </w:tr>
      <w:tr>
        <w:tc>
          <w:tcPr>
            <w:tcW w:type="dxa" w:w="2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Abonnements institutionnels</w:t>
            </w:r>
          </w:p>
        </w:tc>
        <w:tc>
          <w:tcPr>
            <w:tcW w:type="dxa" w:w="2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Forfait mensuel pour banques, SDB, AM souhaitant accéder aux demandes et publier leurs offres</w:t>
            </w:r>
          </w:p>
        </w:tc>
        <w:tc>
          <w:tcPr>
            <w:tcW w:type="dxa" w:w="1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50 000 à 200 000 FCFA/mois</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50 institutions</w:t>
            </w:r>
          </w:p>
        </w:tc>
        <w:tc>
          <w:tcPr>
            <w:tcW w:type="dxa" w:w="1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30 à 120M FCFA/an</w:t>
            </w:r>
          </w:p>
        </w:tc>
      </w:tr>
      <w:tr>
        <w:tc>
          <w:tcPr>
            <w:tcW w:type="dxa" w:w="2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Label Charia &amp; Audit</w:t>
            </w:r>
          </w:p>
        </w:tc>
        <w:tc>
          <w:tcPr>
            <w:tcW w:type="dxa" w:w="2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Frais de certification Charia par produit financier référencé sur la plateforme</w:t>
            </w:r>
          </w:p>
        </w:tc>
        <w:tc>
          <w:tcPr>
            <w:tcW w:type="dxa" w:w="1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500 000 à 2M FCFA/produit</w:t>
            </w:r>
          </w:p>
        </w:tc>
        <w:tc>
          <w:tcPr>
            <w:tcW w:type="dxa" w:w="1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20 produits/an</w:t>
            </w:r>
          </w:p>
        </w:tc>
        <w:tc>
          <w:tcPr>
            <w:tcW w:type="dxa" w:w="1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10 à 40M FCFA</w:t>
            </w:r>
          </w:p>
        </w:tc>
      </w:tr>
      <w:tr>
        <w:tc>
          <w:tcPr>
            <w:tcW w:type="dxa" w:w="2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Frais formation &amp; webinaires</w:t>
            </w:r>
          </w:p>
        </w:tc>
        <w:tc>
          <w:tcPr>
            <w:tcW w:type="dxa" w:w="2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Webinaires premium, parcours certifiants finance islamique et blockchain</w:t>
            </w:r>
          </w:p>
        </w:tc>
        <w:tc>
          <w:tcPr>
            <w:tcW w:type="dxa" w:w="1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5 000 à 50 000 FCFA/session</w:t>
            </w:r>
          </w:p>
        </w:tc>
        <w:tc>
          <w:tcPr>
            <w:tcW w:type="dxa" w:w="1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10 000 participants</w:t>
            </w:r>
          </w:p>
        </w:tc>
        <w:tc>
          <w:tcPr>
            <w:tcW w:type="dxa" w:w="1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20 à 50M FCFA</w:t>
            </w:r>
          </w:p>
        </w:tc>
      </w:tr>
    </w:tbl>
    <w:p>
      <w:pPr>
        <w:spacing w:after="100" w:before="100"/>
      </w:pPr>
      <w:r>
        <w:rPr>
          <w:rFonts w:ascii="Arial" w:cs="Arial" w:eastAsia="Arial" w:hAnsi="Arial"/>
        </w:rPr>
        <w:t xml:space="preserve"/>
      </w:r>
    </w:p>
    <w:p>
      <w:pPr>
        <w:shd w:fill="1A7A4A" w:val="clear"/>
        <w:spacing w:after="60" w:before="100"/>
        <w:ind w:left="140" w:right="140"/>
      </w:pPr>
      <w:r>
        <w:rPr>
          <w:rFonts w:ascii="Arial" w:cs="Arial" w:eastAsia="Arial" w:hAnsi="Arial"/>
          <w:b/>
          <w:bCs/>
          <w:color w:val="FFFFFF"/>
          <w:sz w:val="22"/>
          <w:szCs w:val="22"/>
        </w:rPr>
        <w:t xml:space="preserve">Projection financière simplifiée sur 3 ans</w:t>
      </w:r>
    </w:p>
    <w:p>
      <w:pPr>
        <w:shd w:fill="E8F8F0" w:val="clear"/>
        <w:spacing w:after="50" w:before="50"/>
        <w:ind w:left="240" w:right="140"/>
      </w:pPr>
      <w:r>
        <w:rPr>
          <w:rFonts w:ascii="Arial" w:cs="Arial" w:eastAsia="Arial" w:hAnsi="Arial"/>
          <w:color w:val="1D2939"/>
          <w:sz w:val="20"/>
          <w:szCs w:val="20"/>
        </w:rPr>
        <w:t xml:space="preserve">Année 1 (MVP + Phase Islamique Basique) : Revenus cibles 50 à 100 millions FCFA | Priorité : acquisition utilisateurs, partenariats bancaires, Comité Charia</w:t>
      </w:r>
    </w:p>
    <w:p>
      <w:pPr>
        <w:shd w:fill="E8F8F0" w:val="clear"/>
        <w:spacing w:after="50" w:before="50"/>
        <w:ind w:left="240" w:right="140"/>
      </w:pPr>
      <w:r>
        <w:rPr>
          <w:rFonts w:ascii="Arial" w:cs="Arial" w:eastAsia="Arial" w:hAnsi="Arial"/>
          <w:color w:val="1D2939"/>
          <w:sz w:val="20"/>
          <w:szCs w:val="20"/>
        </w:rPr>
        <w:t xml:space="preserve">Année 2 (Tokenisation Sukuk + MoMo complet) : Revenus cibles 200 à 400 millions FCFA | Premiers Sukuk émis, marché secondaire actif, 30+ institutions partenaires</w:t>
      </w:r>
    </w:p>
    <w:p>
      <w:pPr>
        <w:shd w:fill="E8F8F0" w:val="clear"/>
        <w:spacing w:after="50" w:before="50"/>
        <w:ind w:left="240" w:right="140"/>
      </w:pPr>
      <w:r>
        <w:rPr>
          <w:rFonts w:ascii="Arial" w:cs="Arial" w:eastAsia="Arial" w:hAnsi="Arial"/>
          <w:color w:val="1D2939"/>
          <w:sz w:val="20"/>
          <w:szCs w:val="20"/>
        </w:rPr>
        <w:t xml:space="preserve">Année 3 (Marché secondaire + Diaspora GCC) : Revenus cibles 500M à 1 Md FCFA | Sukuk souverains, investisseurs GCC, expansion régionale Gabon/Tchad</w:t>
      </w:r>
    </w:p>
    <w:p>
      <w:pPr>
        <w:shd w:fill="E8F8F0" w:val="clear"/>
        <w:spacing w:after="50" w:before="50"/>
        <w:ind w:left="240" w:right="140"/>
      </w:pPr>
      <w:r>
        <w:rPr>
          <w:rFonts w:ascii="Arial" w:cs="Arial" w:eastAsia="Arial" w:hAnsi="Arial"/>
          <w:color w:val="1D2939"/>
          <w:sz w:val="20"/>
          <w:szCs w:val="20"/>
        </w:rPr>
        <w:t xml:space="preserve">Seuil de rentabilité opérationnelle estimé : fin de l'Année 2 (mois 18-20)</w:t>
      </w:r>
    </w:p>
    <w:p>
      <w:pPr>
        <w:shd w:fill="E8F8F0" w:val="clear"/>
        <w:spacing w:after="0" w:before="60"/>
      </w:pPr>
      <w:r>
        <w:rPr>
          <w:rFonts w:ascii="Arial" w:cs="Arial" w:eastAsia="Arial" w:hAnsi="Arial"/>
        </w:rPr>
        <w:t xml:space="preserve"/>
      </w:r>
    </w:p>
    <w:p>
      <w:pPr>
        <w:pStyle w:val="Heading2"/>
        <w:pBdr>
          <w:bottom w:val="single" w:color="C8972B" w:sz="8" w:space="2"/>
        </w:pBdr>
        <w:spacing w:after="120" w:before="300"/>
      </w:pPr>
      <w:r>
        <w:rPr>
          <w:rFonts w:ascii="Arial" w:cs="Arial" w:eastAsia="Arial" w:hAnsi="Arial"/>
          <w:b/>
          <w:bCs/>
          <w:color w:val="0F3460"/>
          <w:sz w:val="28"/>
          <w:szCs w:val="28"/>
        </w:rPr>
        <w:t xml:space="preserve">6.2 Le modèle transactionnel — plus le marché grandit, plus NKAP gagne</w:t>
      </w:r>
    </w:p>
    <w:p>
      <w:pPr>
        <w:spacing w:after="80" w:before="80"/>
      </w:pPr>
      <w:r>
        <w:rPr>
          <w:rFonts w:ascii="Arial" w:cs="Arial" w:eastAsia="Arial" w:hAnsi="Arial"/>
          <w:color w:val="475467"/>
          <w:sz w:val="21"/>
          <w:szCs w:val="21"/>
        </w:rPr>
        <w:t xml:space="preserve">Le modèle de commission sur transactions est particulièrement puissant : nos revenus croissent mécaniquement avec la liquidité et le volume du marché. Plus nous attirons d'utilisateurs et de tokens en circulation, plus les transactions génèrent des revenus — sans coût marginal significatif. C'est l'effet réseau des plateformes de marché.</w:t>
      </w:r>
    </w:p>
    <w:p>
      <w:pPr>
        <w:pStyle w:val="Heading2"/>
        <w:pBdr>
          <w:bottom w:val="single" w:color="C8972B" w:sz="8" w:space="2"/>
        </w:pBdr>
        <w:spacing w:after="120" w:before="300"/>
      </w:pPr>
      <w:r>
        <w:rPr>
          <w:rFonts w:ascii="Arial" w:cs="Arial" w:eastAsia="Arial" w:hAnsi="Arial"/>
          <w:b/>
          <w:bCs/>
          <w:color w:val="0F3460"/>
          <w:sz w:val="28"/>
          <w:szCs w:val="28"/>
        </w:rPr>
        <w:t xml:space="preserve">6.3 Structure de coûts</w:t>
      </w:r>
    </w:p>
    <w:p>
      <w:pPr>
        <w:pStyle w:val="ListParagraph"/>
        <w:numPr>
          <w:ilvl w:val="0"/>
          <w:numId w:val="2"/>
        </w:numPr>
        <w:spacing w:after="60" w:before="60"/>
      </w:pPr>
      <w:r>
        <w:rPr>
          <w:rFonts w:ascii="Arial" w:cs="Arial" w:eastAsia="Arial" w:hAnsi="Arial"/>
          <w:b/>
          <w:bCs/>
          <w:color w:val="1A7A4A"/>
          <w:sz w:val="21"/>
          <w:szCs w:val="21"/>
        </w:rPr>
        <w:t xml:space="preserve">Coûts fixes : </w:t>
      </w:r>
      <w:r>
        <w:rPr>
          <w:rFonts w:ascii="Arial" w:cs="Arial" w:eastAsia="Arial" w:hAnsi="Arial"/>
          <w:color w:val="475467"/>
          <w:sz w:val="21"/>
          <w:szCs w:val="21"/>
        </w:rPr>
        <w:t xml:space="preserve">Équipe core (développeurs, juriste Charia, compliance officer, PM) — Hébergement AWS/OVH — Frais de Comité Charia (15-20M FCFA/an) — Licences et outils</w:t>
      </w:r>
    </w:p>
    <w:p>
      <w:pPr>
        <w:pStyle w:val="ListParagraph"/>
        <w:numPr>
          <w:ilvl w:val="0"/>
          <w:numId w:val="2"/>
        </w:numPr>
        <w:spacing w:after="60" w:before="60"/>
      </w:pPr>
      <w:r>
        <w:rPr>
          <w:rFonts w:ascii="Arial" w:cs="Arial" w:eastAsia="Arial" w:hAnsi="Arial"/>
          <w:b/>
          <w:bCs/>
          <w:color w:val="1A7A4A"/>
          <w:sz w:val="21"/>
          <w:szCs w:val="21"/>
        </w:rPr>
        <w:t xml:space="preserve">Coûts variables : </w:t>
      </w:r>
      <w:r>
        <w:rPr>
          <w:rFonts w:ascii="Arial" w:cs="Arial" w:eastAsia="Arial" w:hAnsi="Arial"/>
          <w:color w:val="475467"/>
          <w:sz w:val="21"/>
          <w:szCs w:val="21"/>
        </w:rPr>
        <w:t xml:space="preserve">Commissions reversées aux PSAN et SDB partenaires pour exécution des ordres — Coûts d'acquisition utilisateurs (marketing digital) — Frais de compliance COSUMAF par émission</w:t>
      </w:r>
    </w:p>
    <w:p>
      <w:pPr>
        <w:pStyle w:val="ListParagraph"/>
        <w:numPr>
          <w:ilvl w:val="0"/>
          <w:numId w:val="2"/>
        </w:numPr>
        <w:spacing w:after="60" w:before="60"/>
      </w:pPr>
      <w:r>
        <w:rPr>
          <w:rFonts w:ascii="Arial" w:cs="Arial" w:eastAsia="Arial" w:hAnsi="Arial"/>
          <w:b/>
          <w:bCs/>
          <w:color w:val="1A7A4A"/>
          <w:sz w:val="21"/>
          <w:szCs w:val="21"/>
        </w:rPr>
        <w:t xml:space="preserve">Besoin en financement initial : </w:t>
      </w:r>
      <w:r>
        <w:rPr>
          <w:rFonts w:ascii="Arial" w:cs="Arial" w:eastAsia="Arial" w:hAnsi="Arial"/>
          <w:color w:val="475467"/>
          <w:sz w:val="21"/>
          <w:szCs w:val="21"/>
        </w:rPr>
        <w:t xml:space="preserve">350 à 500 millions FCFA pour la Phase 1-2 (MVP + Sukuk pilote + équipe + agrément). Rentabilité visée dès le mois 20.</w:t>
      </w:r>
    </w:p>
    <w:p>
      <w:pPr>
        <w:pBdr>
          <w:bottom w:val="single" w:color="D0D5DD" w:sz="4" w:space="1"/>
        </w:pBdr>
        <w:spacing w:after="140" w:before="140"/>
      </w:pPr>
      <w:r>
        <w:rPr>
          <w:rFonts w:ascii="Arial" w:cs="Arial" w:eastAsia="Arial" w:hAnsi="Arial"/>
        </w:rPr>
        <w:t xml:space="preserve"/>
      </w:r>
    </w:p>
    <w:p>
      <w:r>
        <w:br w:type="page"/>
      </w:r>
    </w:p>
    <w:p>
      <w:pPr>
        <w:pStyle w:val="Heading1"/>
        <w:shd w:fill="0F3460" w:val="clear"/>
        <w:spacing w:after="220" w:before="400"/>
        <w:ind w:left="200" w:right="200"/>
      </w:pPr>
      <w:r>
        <w:rPr>
          <w:rFonts w:ascii="Arial" w:cs="Arial" w:eastAsia="Arial" w:hAnsi="Arial"/>
          <w:b/>
          <w:bCs/>
          <w:color w:val="FFFFFF"/>
          <w:sz w:val="36"/>
          <w:szCs w:val="36"/>
        </w:rPr>
        <w:t xml:space="preserve">7. Stratégie Go-To-Market &amp; Partenariats</w:t>
      </w:r>
    </w:p>
    <w:p>
      <w:pPr>
        <w:pStyle w:val="Heading2"/>
        <w:pBdr>
          <w:bottom w:val="single" w:color="C8972B" w:sz="8" w:space="2"/>
        </w:pBdr>
        <w:spacing w:after="120" w:before="300"/>
      </w:pPr>
      <w:r>
        <w:rPr>
          <w:rFonts w:ascii="Arial" w:cs="Arial" w:eastAsia="Arial" w:hAnsi="Arial"/>
          <w:b/>
          <w:bCs/>
          <w:color w:val="0F3460"/>
          <w:sz w:val="28"/>
          <w:szCs w:val="28"/>
        </w:rPr>
        <w:t xml:space="preserve">7.1 Approche : adossement aux acteurs certifiés</w:t>
      </w:r>
    </w:p>
    <w:p>
      <w:pPr>
        <w:spacing w:after="80" w:before="80"/>
      </w:pPr>
      <w:r>
        <w:rPr>
          <w:rFonts w:ascii="Arial" w:cs="Arial" w:eastAsia="Arial" w:hAnsi="Arial"/>
          <w:color w:val="475467"/>
          <w:sz w:val="21"/>
          <w:szCs w:val="21"/>
        </w:rPr>
        <w:t xml:space="preserve">NKAP Invest ne repart pas de zéro sur la réglementation. Dès le lancement, nous nous adossons à des partenaires déjà agréés COSUMAF/COBAC pour opérer légalement, puis nous obtenons nos propres agréments en parallèle. Cette stratégie réduit le délai de mise sur le marché de 12 à 18 mois.</w:t>
      </w:r>
    </w:p>
    <w:p>
      <w:pPr>
        <w:pStyle w:val="ListParagraph"/>
        <w:numPr>
          <w:ilvl w:val="0"/>
          <w:numId w:val="2"/>
        </w:numPr>
        <w:spacing w:after="60" w:before="60"/>
      </w:pPr>
      <w:r>
        <w:rPr>
          <w:rFonts w:ascii="Arial" w:cs="Arial" w:eastAsia="Arial" w:hAnsi="Arial"/>
          <w:b/>
          <w:bCs/>
          <w:color w:val="1A7A4A"/>
          <w:sz w:val="21"/>
          <w:szCs w:val="21"/>
        </w:rPr>
        <w:t xml:space="preserve">PSAN partenaires (Prestataires de Services sur Actifs Numériques) : </w:t>
      </w:r>
      <w:r>
        <w:rPr>
          <w:rFonts w:ascii="Arial" w:cs="Arial" w:eastAsia="Arial" w:hAnsi="Arial"/>
          <w:color w:val="475467"/>
          <w:sz w:val="21"/>
          <w:szCs w:val="21"/>
        </w:rPr>
        <w:t xml:space="preserve">Nous nous appuyons sur des PSAN existants ou en cours d'agrément COSUMAF pour le placement des tokens et la gestion du registre DEEP.</w:t>
      </w:r>
    </w:p>
    <w:p>
      <w:pPr>
        <w:pStyle w:val="ListParagraph"/>
        <w:numPr>
          <w:ilvl w:val="0"/>
          <w:numId w:val="2"/>
        </w:numPr>
        <w:spacing w:after="60" w:before="60"/>
      </w:pPr>
      <w:r>
        <w:rPr>
          <w:rFonts w:ascii="Arial" w:cs="Arial" w:eastAsia="Arial" w:hAnsi="Arial"/>
          <w:b/>
          <w:bCs/>
          <w:color w:val="1A7A4A"/>
          <w:sz w:val="21"/>
          <w:szCs w:val="21"/>
        </w:rPr>
        <w:t xml:space="preserve">SDB partenaires (Sociétés de Bourse) : </w:t>
      </w:r>
      <w:r>
        <w:rPr>
          <w:rFonts w:ascii="Arial" w:cs="Arial" w:eastAsia="Arial" w:hAnsi="Arial"/>
          <w:color w:val="475467"/>
          <w:sz w:val="21"/>
          <w:szCs w:val="21"/>
        </w:rPr>
        <w:t xml:space="preserve">Pour l'exécution des ordres sur les titres cotés BVMAC et DSX, nous passons par des SDB membres — en accord avec la réglementation en vigueur.</w:t>
      </w:r>
    </w:p>
    <w:p>
      <w:pPr>
        <w:pStyle w:val="ListParagraph"/>
        <w:numPr>
          <w:ilvl w:val="0"/>
          <w:numId w:val="2"/>
        </w:numPr>
        <w:spacing w:after="60" w:before="60"/>
      </w:pPr>
      <w:r>
        <w:rPr>
          <w:rFonts w:ascii="Arial" w:cs="Arial" w:eastAsia="Arial" w:hAnsi="Arial"/>
          <w:b/>
          <w:bCs/>
          <w:color w:val="1A7A4A"/>
          <w:sz w:val="21"/>
          <w:szCs w:val="21"/>
        </w:rPr>
        <w:t xml:space="preserve">Islamic Windows bancaires : </w:t>
      </w:r>
      <w:r>
        <w:rPr>
          <w:rFonts w:ascii="Arial" w:cs="Arial" w:eastAsia="Arial" w:hAnsi="Arial"/>
          <w:color w:val="475467"/>
          <w:sz w:val="21"/>
          <w:szCs w:val="21"/>
        </w:rPr>
        <w:t xml:space="preserve">BGFI Bank, Afriland First Bank et Ecobank disposent ou peuvent créer des guichets islamiques. NKAP Invest devient leur canal de distribution numérique islamique.</w:t>
      </w:r>
    </w:p>
    <w:p>
      <w:pPr>
        <w:pStyle w:val="ListParagraph"/>
        <w:numPr>
          <w:ilvl w:val="0"/>
          <w:numId w:val="2"/>
        </w:numPr>
        <w:spacing w:after="60" w:before="60"/>
      </w:pPr>
      <w:r>
        <w:rPr>
          <w:rFonts w:ascii="Arial" w:cs="Arial" w:eastAsia="Arial" w:hAnsi="Arial"/>
          <w:b/>
          <w:bCs/>
          <w:color w:val="1A7A4A"/>
          <w:sz w:val="21"/>
          <w:szCs w:val="21"/>
        </w:rPr>
        <w:t xml:space="preserve">Mobile Money Operators : </w:t>
      </w:r>
      <w:r>
        <w:rPr>
          <w:rFonts w:ascii="Arial" w:cs="Arial" w:eastAsia="Arial" w:hAnsi="Arial"/>
          <w:color w:val="475467"/>
          <w:sz w:val="21"/>
          <w:szCs w:val="21"/>
        </w:rPr>
        <w:t xml:space="preserve">Partenariat API avec MTN MoMo et Orange Money pour les flux de paiement — déjà en discussions dans plusieurs pays CEMAC.</w:t>
      </w:r>
    </w:p>
    <w:p>
      <w:pPr>
        <w:pStyle w:val="Heading2"/>
        <w:pBdr>
          <w:bottom w:val="single" w:color="C8972B" w:sz="8" w:space="2"/>
        </w:pBdr>
        <w:spacing w:after="120" w:before="300"/>
      </w:pPr>
      <w:r>
        <w:rPr>
          <w:rFonts w:ascii="Arial" w:cs="Arial" w:eastAsia="Arial" w:hAnsi="Arial"/>
          <w:b/>
          <w:bCs/>
          <w:color w:val="0F3460"/>
          <w:sz w:val="28"/>
          <w:szCs w:val="28"/>
        </w:rPr>
        <w:t xml:space="preserve">7.2 Feuille de route de lancement</w:t>
      </w:r>
    </w:p>
    <w:p>
      <w:pPr>
        <w:spacing w:after="100" w:before="10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800"/>
        <w:gridCol w:w="2400"/>
      </w:tblGrid>
      <w:tr>
        <w:trPr>
          <w:tblHeader/>
        </w:trPr>
        <w:tc>
          <w:tcPr>
            <w:tcW w:type="dxa" w:w="16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Phase</w:t>
            </w:r>
          </w:p>
        </w:tc>
        <w:tc>
          <w:tcPr>
            <w:tcW w:type="dxa" w:w="14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Durée</w:t>
            </w:r>
          </w:p>
        </w:tc>
        <w:tc>
          <w:tcPr>
            <w:tcW w:type="dxa" w:w="38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Actions clés</w:t>
            </w:r>
          </w:p>
        </w:tc>
        <w:tc>
          <w:tcPr>
            <w:tcW w:type="dxa" w:w="24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Revenus attendus</w:t>
            </w:r>
          </w:p>
        </w:tc>
      </w:tr>
      <w:tr>
        <w:tc>
          <w:tcPr>
            <w:tcW w:type="dxa" w:w="1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Phase 0 : Fondations</w:t>
            </w:r>
          </w:p>
        </w:tc>
        <w:tc>
          <w:tcPr>
            <w:tcW w:type="dxa" w:w="1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Mois 1-3</w:t>
            </w:r>
          </w:p>
        </w:tc>
        <w:tc>
          <w:tcPr>
            <w:tcW w:type="dxa" w:w="3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Constituer Comité Charia. Partenariats SDB et banque islamique. Dépôt dossier COSUMAF. Équipe recrutée.</w:t>
            </w:r>
          </w:p>
        </w:tc>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0 — investissement pur</w:t>
            </w:r>
          </w:p>
        </w:tc>
      </w:tr>
      <w:tr>
        <w:tc>
          <w:tcPr>
            <w:tcW w:type="dxa" w:w="1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Phase 1 : MVP islamique</w:t>
            </w:r>
          </w:p>
        </w:tc>
        <w:tc>
          <w:tcPr>
            <w:tcW w:type="dxa" w:w="1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Mois 4-9</w:t>
            </w:r>
          </w:p>
        </w:tc>
        <w:tc>
          <w:tcPr>
            <w:tcW w:type="dxa" w:w="3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Lancer plateforme : crowdfunding Moucharaka, FCP islamique vitrine, label Halal, simulateur. Mobile Money intégré. 1000 premiers utilisateurs.</w:t>
            </w:r>
          </w:p>
        </w:tc>
        <w:tc>
          <w:tcPr>
            <w:tcW w:type="dxa" w:w="2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10 à 30M FCFA</w:t>
            </w:r>
          </w:p>
        </w:tc>
      </w:tr>
      <w:tr>
        <w:tc>
          <w:tcPr>
            <w:tcW w:type="dxa" w:w="1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Phase 2 : Premier Sukuk</w:t>
            </w:r>
          </w:p>
        </w:tc>
        <w:tc>
          <w:tcPr>
            <w:tcW w:type="dxa" w:w="1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Mois 10-18</w:t>
            </w:r>
          </w:p>
        </w:tc>
        <w:tc>
          <w:tcPr>
            <w:tcW w:type="dxa" w:w="3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Structurer et émettre 1er Sukuk tokenisé (500M FCFA). Marché primaire tokens. Dividendes automatiques via smart contract. 10 000 utilisateurs.</w:t>
            </w:r>
          </w:p>
        </w:tc>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80 à 200M FCFA</w:t>
            </w:r>
          </w:p>
        </w:tc>
      </w:tr>
      <w:tr>
        <w:tc>
          <w:tcPr>
            <w:tcW w:type="dxa" w:w="1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Phase 3 : Marché secondaire</w:t>
            </w:r>
          </w:p>
        </w:tc>
        <w:tc>
          <w:tcPr>
            <w:tcW w:type="dxa" w:w="1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Mois 19-30</w:t>
            </w:r>
          </w:p>
        </w:tc>
        <w:tc>
          <w:tcPr>
            <w:tcW w:type="dxa" w:w="3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Marché secondaire de tokens. Expansion Gabon et Tchad. Sukuk souverains. Ouverture aux investisseurs GCC. 50 000 utilisateurs.</w:t>
            </w:r>
          </w:p>
        </w:tc>
        <w:tc>
          <w:tcPr>
            <w:tcW w:type="dxa" w:w="2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300 à 700M FCFA</w:t>
            </w:r>
          </w:p>
        </w:tc>
      </w:tr>
      <w:tr>
        <w:tc>
          <w:tcPr>
            <w:tcW w:type="dxa" w:w="1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Phase 4 : Leadership régional</w:t>
            </w:r>
          </w:p>
        </w:tc>
        <w:tc>
          <w:tcPr>
            <w:tcW w:type="dxa" w:w="1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Mois 31-48</w:t>
            </w:r>
          </w:p>
        </w:tc>
        <w:tc>
          <w:tcPr>
            <w:tcW w:type="dxa" w:w="3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Takaful, Waqf numérique. Partenariat IsDB. Couverture 6 pays CEMAC. IPO ou levée Série A.</w:t>
            </w:r>
          </w:p>
        </w:tc>
        <w:tc>
          <w:tcPr>
            <w:tcW w:type="dxa" w:w="2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500M à 1 Md+ FCFA/an</w:t>
            </w:r>
          </w:p>
        </w:tc>
      </w:tr>
    </w:tbl>
    <w:p>
      <w:pPr>
        <w:spacing w:after="0" w:before="100"/>
      </w:pPr>
      <w:r>
        <w:rPr>
          <w:rFonts w:ascii="Arial" w:cs="Arial" w:eastAsia="Arial" w:hAnsi="Arial"/>
        </w:rPr>
        <w:t xml:space="preserve"/>
      </w:r>
    </w:p>
    <w:p>
      <w:pPr>
        <w:pBdr>
          <w:bottom w:val="single" w:color="D0D5DD" w:sz="4" w:space="1"/>
        </w:pBdr>
        <w:spacing w:after="140" w:before="140"/>
      </w:pPr>
      <w:r>
        <w:rPr>
          <w:rFonts w:ascii="Arial" w:cs="Arial" w:eastAsia="Arial" w:hAnsi="Arial"/>
        </w:rPr>
        <w:t xml:space="preserve"/>
      </w:r>
    </w:p>
    <w:p>
      <w:r>
        <w:br w:type="page"/>
      </w:r>
    </w:p>
    <w:p>
      <w:pPr>
        <w:pStyle w:val="Heading1"/>
        <w:shd w:fill="1A7A4A" w:val="clear"/>
        <w:spacing w:after="220" w:before="400"/>
        <w:ind w:left="200" w:right="200"/>
      </w:pPr>
      <w:r>
        <w:rPr>
          <w:rFonts w:ascii="Arial" w:cs="Arial" w:eastAsia="Arial" w:hAnsi="Arial"/>
          <w:b/>
          <w:bCs/>
          <w:color w:val="FFFFFF"/>
          <w:sz w:val="36"/>
          <w:szCs w:val="36"/>
        </w:rPr>
        <w:t xml:space="preserve">8. Réglementation — Un Cadre Favorable Qui S'Ouvre</w:t>
      </w:r>
    </w:p>
    <w:p>
      <w:pPr>
        <w:pStyle w:val="Heading2"/>
        <w:pBdr>
          <w:bottom w:val="single" w:color="C8972B" w:sz="8" w:space="2"/>
        </w:pBdr>
        <w:spacing w:after="120" w:before="300"/>
      </w:pPr>
      <w:r>
        <w:rPr>
          <w:rFonts w:ascii="Arial" w:cs="Arial" w:eastAsia="Arial" w:hAnsi="Arial"/>
          <w:b/>
          <w:bCs/>
          <w:color w:val="0F3460"/>
          <w:sz w:val="28"/>
          <w:szCs w:val="28"/>
        </w:rPr>
        <w:t xml:space="preserve">8.1 Les textes clés qui légitiment notre projet</w:t>
      </w:r>
    </w:p>
    <w:p>
      <w:pPr>
        <w:spacing w:after="80" w:before="80"/>
      </w:pPr>
      <w:r>
        <w:rPr>
          <w:rFonts w:ascii="Arial" w:cs="Arial" w:eastAsia="Arial" w:hAnsi="Arial"/>
          <w:color w:val="475467"/>
          <w:sz w:val="21"/>
          <w:szCs w:val="21"/>
        </w:rPr>
        <w:t xml:space="preserve">Contrairement à d'autres marchés où la réglementation bloque l'innovation, la CEMAC vient d'ouvrir son cadre réglementaire exactement dans la direction de NKAP Invest. Nous ne sommes pas en dehors du droit — nous sommes précisément là où le droit nous invite à aller.</w:t>
      </w:r>
    </w:p>
    <w:p>
      <w:pPr>
        <w:spacing w:after="100" w:before="10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Texte réglementaire</w:t>
            </w:r>
          </w:p>
        </w:tc>
        <w:tc>
          <w:tcPr>
            <w:tcW w:type="dxa" w:w="32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Ce qu'il autorise</w:t>
            </w:r>
          </w:p>
        </w:tc>
        <w:tc>
          <w:tcPr>
            <w:tcW w:type="dxa" w:w="3400"/>
            <w:tcBorders>
              <w:top w:val="single" w:color="D0D5DD" w:sz="3"/>
              <w:left w:val="single" w:color="D0D5DD" w:sz="3"/>
              <w:bottom w:val="single" w:color="D0D5DD" w:sz="3"/>
              <w:right w:val="single" w:color="D0D5DD" w:sz="3"/>
            </w:tcBorders>
            <w:shd w:fill="1A7A4A"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Impact pour NKAP Invest</w:t>
            </w:r>
          </w:p>
        </w:tc>
      </w:tr>
      <w:tr>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Règlement CEMAC DEEP — en vigueur jan. 2026</w:t>
            </w:r>
          </w:p>
        </w:tc>
        <w:tc>
          <w:tcPr>
            <w:tcW w:type="dxa" w:w="3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Inscription de titres financiers dans un registre électronique partagé (blockchain). Première légalisation de la tokenisation en CEMAC.</w:t>
            </w:r>
          </w:p>
        </w:tc>
        <w:tc>
          <w:tcPr>
            <w:tcW w:type="dxa" w:w="3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NKAP Invest peut émettre et gérer des Sukuk tokenisés légalement. Notre infrastructure blockchain est juridiquement reconnue.</w:t>
            </w:r>
          </w:p>
        </w:tc>
      </w:tr>
      <w:tr>
        <w:tc>
          <w:tcPr>
            <w:tcW w:type="dxa" w:w="2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Règlement général COSUMAF 2024/2025</w:t>
            </w:r>
          </w:p>
        </w:tc>
        <w:tc>
          <w:tcPr>
            <w:tcW w:type="dxa" w:w="3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Définit les jetons numériques comme biens incorporels portant des droits. Encadre les offres de jetons avec visa COSUMAF.</w:t>
            </w:r>
          </w:p>
        </w:tc>
        <w:tc>
          <w:tcPr>
            <w:tcW w:type="dxa" w:w="3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Nos tokens Sukuk sont des instruments financiers reconnus. Nous obtenons un visa COSUMAF standard pour chaque émission.</w:t>
            </w:r>
          </w:p>
        </w:tc>
      </w:tr>
      <w:tr>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Directive CEMAC LCB-FT 2016</w:t>
            </w:r>
          </w:p>
        </w:tc>
        <w:tc>
          <w:tcPr>
            <w:tcW w:type="dxa" w:w="3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Obligations KYC/AML pour tous les acteurs financiers traitant des flux.</w:t>
            </w:r>
          </w:p>
        </w:tc>
        <w:tc>
          <w:tcPr>
            <w:tcW w:type="dxa" w:w="3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Notre KYC intégré et nos processus AML sont conformes dès le lancement.</w:t>
            </w:r>
          </w:p>
        </w:tc>
      </w:tr>
      <w:tr>
        <w:tc>
          <w:tcPr>
            <w:tcW w:type="dxa" w:w="2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Règlement COBAC sur les EMF</w:t>
            </w:r>
          </w:p>
        </w:tc>
        <w:tc>
          <w:tcPr>
            <w:tcW w:type="dxa" w:w="3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Encadre les établissements de microfinance, canaux naturels pour Mourabaha et Ijara.</w:t>
            </w:r>
          </w:p>
        </w:tc>
        <w:tc>
          <w:tcPr>
            <w:tcW w:type="dxa" w:w="3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Nos partenaires EMF peuvent proposer des produits islamiques via NKAP Invest dans le cadre existant.</w:t>
            </w:r>
          </w:p>
        </w:tc>
      </w:tr>
      <w:tr>
        <w:tc>
          <w:tcPr>
            <w:tcW w:type="dxa" w:w="2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Acte uniforme OHADA sur les sûretés</w:t>
            </w:r>
          </w:p>
        </w:tc>
        <w:tc>
          <w:tcPr>
            <w:tcW w:type="dxa" w:w="3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Garanties et droits réels mobiliers applicables aux actifs sous-jacents des Sukuk.</w:t>
            </w:r>
          </w:p>
        </w:tc>
        <w:tc>
          <w:tcPr>
            <w:tcW w:type="dxa" w:w="34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Structuration juridique solide des Sukuk adossés à des actifs immobiliers ou agricoles CEMAC.</w:t>
            </w:r>
          </w:p>
        </w:tc>
      </w:tr>
      <w:tr>
        <w:tc>
          <w:tcPr>
            <w:tcW w:type="dxa" w:w="2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Réglementation BEAC Mobile Money</w:t>
            </w:r>
          </w:p>
        </w:tc>
        <w:tc>
          <w:tcPr>
            <w:tcW w:type="dxa" w:w="3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Interopérabilité Mobile Money, licences de paiement électronique.</w:t>
            </w:r>
          </w:p>
        </w:tc>
        <w:tc>
          <w:tcPr>
            <w:tcW w:type="dxa" w:w="34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Intégration MTN MoMo et Orange Money dans notre plateforme conforme à la réglementation BEAC.</w:t>
            </w:r>
          </w:p>
        </w:tc>
      </w:tr>
    </w:tbl>
    <w:p>
      <w:pPr>
        <w:spacing w:after="0" w:before="100"/>
      </w:pPr>
      <w:r>
        <w:rPr>
          <w:rFonts w:ascii="Arial" w:cs="Arial" w:eastAsia="Arial" w:hAnsi="Arial"/>
        </w:rPr>
        <w:t xml:space="preserve"/>
      </w:r>
    </w:p>
    <w:p>
      <w:pPr>
        <w:pBdr>
          <w:bottom w:val="single" w:color="D0D5DD" w:sz="4" w:space="1"/>
        </w:pBdr>
        <w:spacing w:after="140" w:before="140"/>
      </w:pPr>
      <w:r>
        <w:rPr>
          <w:rFonts w:ascii="Arial" w:cs="Arial" w:eastAsia="Arial" w:hAnsi="Arial"/>
        </w:rPr>
        <w:t xml:space="preserve"/>
      </w:r>
    </w:p>
    <w:p>
      <w:r>
        <w:br w:type="page"/>
      </w:r>
    </w:p>
    <w:p>
      <w:pPr>
        <w:pStyle w:val="Heading1"/>
        <w:shd w:fill="0F3460" w:val="clear"/>
        <w:spacing w:after="220" w:before="400"/>
        <w:ind w:left="200" w:right="200"/>
      </w:pPr>
      <w:r>
        <w:rPr>
          <w:rFonts w:ascii="Arial" w:cs="Arial" w:eastAsia="Arial" w:hAnsi="Arial"/>
          <w:b/>
          <w:bCs/>
          <w:color w:val="FFFFFF"/>
          <w:sz w:val="36"/>
          <w:szCs w:val="36"/>
        </w:rPr>
        <w:t xml:space="preserve">9. Équipe, Gouvernance &amp; Besoin en Financement</w:t>
      </w:r>
    </w:p>
    <w:p>
      <w:pPr>
        <w:pStyle w:val="Heading2"/>
        <w:pBdr>
          <w:bottom w:val="single" w:color="C8972B" w:sz="8" w:space="2"/>
        </w:pBdr>
        <w:spacing w:after="120" w:before="300"/>
      </w:pPr>
      <w:r>
        <w:rPr>
          <w:rFonts w:ascii="Arial" w:cs="Arial" w:eastAsia="Arial" w:hAnsi="Arial"/>
          <w:b/>
          <w:bCs/>
          <w:color w:val="0F3460"/>
          <w:sz w:val="28"/>
          <w:szCs w:val="28"/>
        </w:rPr>
        <w:t xml:space="preserve">9.1 Équipe fondatrice</w:t>
      </w:r>
    </w:p>
    <w:p>
      <w:pPr>
        <w:spacing w:after="100" w:before="10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600"/>
      </w:tblGrid>
      <w:tr>
        <w:trPr>
          <w:tblHeader/>
        </w:trPr>
        <w:tc>
          <w:tcPr>
            <w:tcW w:type="dxa" w:w="28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Nom</w:t>
            </w:r>
          </w:p>
        </w:tc>
        <w:tc>
          <w:tcPr>
            <w:tcW w:type="dxa" w:w="28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Rôle</w:t>
            </w:r>
          </w:p>
        </w:tc>
        <w:tc>
          <w:tcPr>
            <w:tcW w:type="dxa" w:w="3600"/>
            <w:tcBorders>
              <w:top w:val="single" w:color="D0D5DD" w:sz="3"/>
              <w:left w:val="single" w:color="D0D5DD" w:sz="3"/>
              <w:bottom w:val="single" w:color="D0D5DD" w:sz="3"/>
              <w:right w:val="single" w:color="D0D5DD" w:sz="3"/>
            </w:tcBorders>
            <w:shd w:fill="0F3460"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Profil</w:t>
            </w:r>
          </w:p>
        </w:tc>
      </w:tr>
      <w:tr>
        <w:tc>
          <w:tcPr>
            <w:tcW w:type="dxa" w:w="2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NGA Amougou Emilliene Marietta</w:t>
            </w:r>
          </w:p>
        </w:tc>
        <w:tc>
          <w:tcPr>
            <w:tcW w:type="dxa" w:w="2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Co-fondatrice — Stratégie &amp; Business Development</w:t>
            </w:r>
          </w:p>
        </w:tc>
        <w:tc>
          <w:tcPr>
            <w:tcW w:type="dxa" w:w="3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Finance, développement des partenariats institutionnels et réglementaires</w:t>
            </w:r>
          </w:p>
        </w:tc>
      </w:tr>
      <w:tr>
        <w:tc>
          <w:tcPr>
            <w:tcW w:type="dxa" w:w="2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TIFA Lesly Notaise</w:t>
            </w:r>
          </w:p>
        </w:tc>
        <w:tc>
          <w:tcPr>
            <w:tcW w:type="dxa" w:w="28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Co-fondateur — Produit &amp; Opérations</w:t>
            </w:r>
          </w:p>
        </w:tc>
        <w:tc>
          <w:tcPr>
            <w:tcW w:type="dxa" w:w="36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Gestion de projet, architecture fonctionnelle, coordination des équipes techniques</w:t>
            </w:r>
          </w:p>
        </w:tc>
      </w:tr>
      <w:tr>
        <w:tc>
          <w:tcPr>
            <w:tcW w:type="dxa" w:w="2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MOPOUONG Wafo Roberto</w:t>
            </w:r>
          </w:p>
        </w:tc>
        <w:tc>
          <w:tcPr>
            <w:tcW w:type="dxa" w:w="28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Co-fondateur — Finance &amp; Technologie</w:t>
            </w:r>
          </w:p>
        </w:tc>
        <w:tc>
          <w:tcPr>
            <w:tcW w:type="dxa" w:w="36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Finance des marchés, stratégie fintech, développement de la vision QPB/NKAP Invest</w:t>
            </w:r>
          </w:p>
        </w:tc>
      </w:tr>
    </w:tbl>
    <w:p>
      <w:pPr>
        <w:spacing w:after="0" w:before="100"/>
      </w:pPr>
      <w:r>
        <w:rPr>
          <w:rFonts w:ascii="Arial" w:cs="Arial" w:eastAsia="Arial" w:hAnsi="Arial"/>
        </w:rPr>
        <w:t xml:space="preserve"/>
      </w:r>
    </w:p>
    <w:p>
      <w:pPr>
        <w:pStyle w:val="Heading2"/>
        <w:pBdr>
          <w:bottom w:val="single" w:color="C8972B" w:sz="8" w:space="2"/>
        </w:pBdr>
        <w:spacing w:after="120" w:before="300"/>
      </w:pPr>
      <w:r>
        <w:rPr>
          <w:rFonts w:ascii="Arial" w:cs="Arial" w:eastAsia="Arial" w:hAnsi="Arial"/>
          <w:b/>
          <w:bCs/>
          <w:color w:val="0F3460"/>
          <w:sz w:val="28"/>
          <w:szCs w:val="28"/>
        </w:rPr>
        <w:t xml:space="preserve">9.2 Recrutements prioritaires pour le lancement</w:t>
      </w:r>
    </w:p>
    <w:p>
      <w:pPr>
        <w:pStyle w:val="ListParagraph"/>
        <w:numPr>
          <w:ilvl w:val="0"/>
          <w:numId w:val="2"/>
        </w:numPr>
        <w:spacing w:after="60" w:before="60"/>
      </w:pPr>
      <w:r>
        <w:rPr>
          <w:rFonts w:ascii="Arial" w:cs="Arial" w:eastAsia="Arial" w:hAnsi="Arial"/>
          <w:b/>
          <w:bCs/>
          <w:color w:val="1A7A4A"/>
          <w:sz w:val="21"/>
          <w:szCs w:val="21"/>
        </w:rPr>
        <w:t xml:space="preserve">Juriste marchés financiers CEMAC (COSUMAF/COBAC) : </w:t>
      </w:r>
      <w:r>
        <w:rPr>
          <w:rFonts w:ascii="Arial" w:cs="Arial" w:eastAsia="Arial" w:hAnsi="Arial"/>
          <w:color w:val="475467"/>
          <w:sz w:val="21"/>
          <w:szCs w:val="21"/>
        </w:rPr>
        <w:t xml:space="preserve">Pour les agréments, les dossiers réglementaires et la structuration juridique des Sukuk</w:t>
      </w:r>
    </w:p>
    <w:p>
      <w:pPr>
        <w:pStyle w:val="ListParagraph"/>
        <w:numPr>
          <w:ilvl w:val="0"/>
          <w:numId w:val="2"/>
        </w:numPr>
        <w:spacing w:after="60" w:before="60"/>
      </w:pPr>
      <w:r>
        <w:rPr>
          <w:rFonts w:ascii="Arial" w:cs="Arial" w:eastAsia="Arial" w:hAnsi="Arial"/>
          <w:b/>
          <w:bCs/>
          <w:color w:val="1A7A4A"/>
          <w:sz w:val="21"/>
          <w:szCs w:val="21"/>
        </w:rPr>
        <w:t xml:space="preserve">Expert compliance AML/KYC : </w:t>
      </w:r>
      <w:r>
        <w:rPr>
          <w:rFonts w:ascii="Arial" w:cs="Arial" w:eastAsia="Arial" w:hAnsi="Arial"/>
          <w:color w:val="475467"/>
          <w:sz w:val="21"/>
          <w:szCs w:val="21"/>
        </w:rPr>
        <w:t xml:space="preserve">Pour la conformité LCB-FT et les processus de vérification d'identité</w:t>
      </w:r>
    </w:p>
    <w:p>
      <w:pPr>
        <w:pStyle w:val="ListParagraph"/>
        <w:numPr>
          <w:ilvl w:val="0"/>
          <w:numId w:val="2"/>
        </w:numPr>
        <w:spacing w:after="60" w:before="60"/>
      </w:pPr>
      <w:r>
        <w:rPr>
          <w:rFonts w:ascii="Arial" w:cs="Arial" w:eastAsia="Arial" w:hAnsi="Arial"/>
          <w:b/>
          <w:bCs/>
          <w:color w:val="1A7A4A"/>
          <w:sz w:val="21"/>
          <w:szCs w:val="21"/>
        </w:rPr>
        <w:t xml:space="preserve">Scholar islamique francophone (Comité Charia) : </w:t>
      </w:r>
      <w:r>
        <w:rPr>
          <w:rFonts w:ascii="Arial" w:cs="Arial" w:eastAsia="Arial" w:hAnsi="Arial"/>
          <w:color w:val="475467"/>
          <w:sz w:val="21"/>
          <w:szCs w:val="21"/>
        </w:rPr>
        <w:t xml:space="preserve">Recrutement en Afrique de l'Ouest ou Maghreb — condition sine qua non de crédibilité</w:t>
      </w:r>
    </w:p>
    <w:p>
      <w:pPr>
        <w:pStyle w:val="ListParagraph"/>
        <w:numPr>
          <w:ilvl w:val="0"/>
          <w:numId w:val="2"/>
        </w:numPr>
        <w:spacing w:after="60" w:before="60"/>
      </w:pPr>
      <w:r>
        <w:rPr>
          <w:rFonts w:ascii="Arial" w:cs="Arial" w:eastAsia="Arial" w:hAnsi="Arial"/>
          <w:b/>
          <w:bCs/>
          <w:color w:val="1A7A4A"/>
          <w:sz w:val="21"/>
          <w:szCs w:val="21"/>
        </w:rPr>
        <w:t xml:space="preserve">Développeur backend blockchain : </w:t>
      </w:r>
      <w:r>
        <w:rPr>
          <w:rFonts w:ascii="Arial" w:cs="Arial" w:eastAsia="Arial" w:hAnsi="Arial"/>
          <w:color w:val="475467"/>
          <w:sz w:val="21"/>
          <w:szCs w:val="21"/>
        </w:rPr>
        <w:t xml:space="preserve">Smart contracts Solidity sur Polygon, intégration DEEP, API Mobile Money</w:t>
      </w:r>
    </w:p>
    <w:p>
      <w:pPr>
        <w:pStyle w:val="ListParagraph"/>
        <w:numPr>
          <w:ilvl w:val="0"/>
          <w:numId w:val="2"/>
        </w:numPr>
        <w:spacing w:after="60" w:before="60"/>
      </w:pPr>
      <w:r>
        <w:rPr>
          <w:rFonts w:ascii="Arial" w:cs="Arial" w:eastAsia="Arial" w:hAnsi="Arial"/>
          <w:b/>
          <w:bCs/>
          <w:color w:val="1A7A4A"/>
          <w:sz w:val="21"/>
          <w:szCs w:val="21"/>
        </w:rPr>
        <w:t xml:space="preserve">Développeur frontend React/Next.js : </w:t>
      </w:r>
      <w:r>
        <w:rPr>
          <w:rFonts w:ascii="Arial" w:cs="Arial" w:eastAsia="Arial" w:hAnsi="Arial"/>
          <w:color w:val="475467"/>
          <w:sz w:val="21"/>
          <w:szCs w:val="21"/>
        </w:rPr>
        <w:t xml:space="preserve">Interface utilisateur multi-profils (déjà en cours dans l'architecture QPB actuelle)</w:t>
      </w:r>
    </w:p>
    <w:p>
      <w:pPr>
        <w:pStyle w:val="Heading2"/>
        <w:pBdr>
          <w:bottom w:val="single" w:color="C8972B" w:sz="8" w:space="2"/>
        </w:pBdr>
        <w:spacing w:after="120" w:before="300"/>
      </w:pPr>
      <w:r>
        <w:rPr>
          <w:rFonts w:ascii="Arial" w:cs="Arial" w:eastAsia="Arial" w:hAnsi="Arial"/>
          <w:b/>
          <w:bCs/>
          <w:color w:val="0F3460"/>
          <w:sz w:val="28"/>
          <w:szCs w:val="28"/>
        </w:rPr>
        <w:t xml:space="preserve">9.3 Besoin en financement</w:t>
      </w:r>
    </w:p>
    <w:p>
      <w:pPr>
        <w:spacing w:after="100" w:before="100"/>
      </w:pPr>
      <w:r>
        <w:rPr>
          <w:rFonts w:ascii="Arial" w:cs="Arial" w:eastAsia="Arial" w:hAnsi="Arial"/>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tcBorders>
              <w:top w:val="single" w:color="D0D5DD" w:sz="3"/>
              <w:left w:val="single" w:color="D0D5DD" w:sz="3"/>
              <w:bottom w:val="single" w:color="D0D5DD" w:sz="3"/>
              <w:right w:val="single" w:color="D0D5DD" w:sz="3"/>
            </w:tcBorders>
            <w:shd w:fill="C8972B"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Poste de dépense</w:t>
            </w:r>
          </w:p>
        </w:tc>
        <w:tc>
          <w:tcPr>
            <w:tcW w:type="dxa" w:w="2000"/>
            <w:tcBorders>
              <w:top w:val="single" w:color="D0D5DD" w:sz="3"/>
              <w:left w:val="single" w:color="D0D5DD" w:sz="3"/>
              <w:bottom w:val="single" w:color="D0D5DD" w:sz="3"/>
              <w:right w:val="single" w:color="D0D5DD" w:sz="3"/>
            </w:tcBorders>
            <w:shd w:fill="C8972B"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Phase 1 (0-9 mois)</w:t>
            </w:r>
          </w:p>
        </w:tc>
        <w:tc>
          <w:tcPr>
            <w:tcW w:type="dxa" w:w="2000"/>
            <w:tcBorders>
              <w:top w:val="single" w:color="D0D5DD" w:sz="3"/>
              <w:left w:val="single" w:color="D0D5DD" w:sz="3"/>
              <w:bottom w:val="single" w:color="D0D5DD" w:sz="3"/>
              <w:right w:val="single" w:color="D0D5DD" w:sz="3"/>
            </w:tcBorders>
            <w:shd w:fill="C8972B"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Phase 2 (10-18 mois)</w:t>
            </w:r>
          </w:p>
        </w:tc>
        <w:tc>
          <w:tcPr>
            <w:tcW w:type="dxa" w:w="2000"/>
            <w:tcBorders>
              <w:top w:val="single" w:color="D0D5DD" w:sz="3"/>
              <w:left w:val="single" w:color="D0D5DD" w:sz="3"/>
              <w:bottom w:val="single" w:color="D0D5DD" w:sz="3"/>
              <w:right w:val="single" w:color="D0D5DD" w:sz="3"/>
            </w:tcBorders>
            <w:shd w:fill="C8972B" w:val="clear"/>
            <w:tcMar>
              <w:top w:type="dxa" w:w="100"/>
              <w:left w:type="dxa" w:w="160"/>
              <w:bottom w:type="dxa" w:w="100"/>
              <w:right w:type="dxa" w:w="160"/>
            </w:tcMar>
          </w:tcPr>
          <w:p>
            <w:pPr>
              <w:spacing w:after="80" w:before="80"/>
              <w:jc w:val="left"/>
            </w:pPr>
            <w:r>
              <w:rPr>
                <w:rFonts w:ascii="Arial" w:cs="Arial" w:eastAsia="Arial" w:hAnsi="Arial"/>
                <w:b/>
                <w:bCs/>
                <w:color w:val="FFFFFF"/>
                <w:sz w:val="19"/>
                <w:szCs w:val="19"/>
              </w:rPr>
              <w:t xml:space="preserve">Total estimé</w:t>
            </w:r>
          </w:p>
        </w:tc>
      </w:tr>
      <w:tr>
        <w:tc>
          <w:tcPr>
            <w:tcW w:type="dxa" w:w="3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Équipe core (salaires 18 mois)</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35M FCFA</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45M FCFA</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80M FCFA</w:t>
            </w:r>
          </w:p>
        </w:tc>
      </w:tr>
      <w:tr>
        <w:tc>
          <w:tcPr>
            <w:tcW w:type="dxa" w:w="3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Développement technique (plateforme + blockchain)</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50M FCFA</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40M FCFA</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90M FCFA</w:t>
            </w:r>
          </w:p>
        </w:tc>
      </w:tr>
      <w:tr>
        <w:tc>
          <w:tcPr>
            <w:tcW w:type="dxa" w:w="3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Agréments &amp; frais juridiques COSUMAF/COBAC</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15M FCFA</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10M FCFA</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25M FCFA</w:t>
            </w:r>
          </w:p>
        </w:tc>
      </w:tr>
      <w:tr>
        <w:tc>
          <w:tcPr>
            <w:tcW w:type="dxa" w:w="3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Comité Charia (constitution + fonctionnement)</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10M FCFA</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20M FCFA</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30M FCFA</w:t>
            </w:r>
          </w:p>
        </w:tc>
      </w:tr>
      <w:tr>
        <w:tc>
          <w:tcPr>
            <w:tcW w:type="dxa" w:w="3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Marketing &amp; acquisition utilisateurs</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15M FCFA</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25M FCFA</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40M FCFA</w:t>
            </w:r>
          </w:p>
        </w:tc>
      </w:tr>
      <w:tr>
        <w:tc>
          <w:tcPr>
            <w:tcW w:type="dxa" w:w="3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Structuration 1er Sukuk pilote (500M FCFA)</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0</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50M FCFA</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50M FCFA</w:t>
            </w:r>
          </w:p>
        </w:tc>
      </w:tr>
      <w:tr>
        <w:tc>
          <w:tcPr>
            <w:tcW w:type="dxa" w:w="3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Infrastructure hébergement &amp; sécurité</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8M FCFA</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12M FCFA</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20M FCFA</w:t>
            </w:r>
          </w:p>
        </w:tc>
      </w:tr>
      <w:tr>
        <w:tc>
          <w:tcPr>
            <w:tcW w:type="dxa" w:w="32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Réserve de trésorerie</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17M FCFA</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18M FCFA</w:t>
            </w:r>
          </w:p>
        </w:tc>
        <w:tc>
          <w:tcPr>
            <w:tcW w:type="dxa" w:w="2000"/>
            <w:tcBorders>
              <w:top w:val="single" w:color="D0D5DD" w:sz="3"/>
              <w:left w:val="single" w:color="D0D5DD" w:sz="3"/>
              <w:bottom w:val="single" w:color="D0D5DD" w:sz="3"/>
              <w:right w:val="single" w:color="D0D5DD" w:sz="3"/>
            </w:tcBorders>
            <w:shd w:fill="F4F6F9"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35M FCFA</w:t>
            </w:r>
          </w:p>
        </w:tc>
      </w:tr>
      <w:tr>
        <w:tc>
          <w:tcPr>
            <w:tcW w:type="dxa" w:w="32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TOTAL</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150M FCFA</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220M FCFA</w:t>
            </w:r>
          </w:p>
        </w:tc>
        <w:tc>
          <w:tcPr>
            <w:tcW w:type="dxa" w:w="2000"/>
            <w:tcBorders>
              <w:top w:val="single" w:color="D0D5DD" w:sz="3"/>
              <w:left w:val="single" w:color="D0D5DD" w:sz="3"/>
              <w:bottom w:val="single" w:color="D0D5DD" w:sz="3"/>
              <w:right w:val="single" w:color="D0D5DD" w:sz="3"/>
            </w:tcBorders>
            <w:shd w:fill="FFFFFF" w:val="clear"/>
            <w:tcMar>
              <w:top w:type="dxa" w:w="100"/>
              <w:left w:type="dxa" w:w="160"/>
              <w:bottom w:type="dxa" w:w="100"/>
              <w:right w:type="dxa" w:w="160"/>
            </w:tcMar>
          </w:tcPr>
          <w:p>
            <w:pPr>
              <w:spacing w:after="80" w:before="80"/>
              <w:jc w:val="left"/>
            </w:pPr>
            <w:r>
              <w:rPr>
                <w:rFonts w:ascii="Arial" w:cs="Arial" w:eastAsia="Arial" w:hAnsi="Arial"/>
                <w:b w:val="false"/>
                <w:bCs w:val="false"/>
                <w:color w:val="1D2939"/>
                <w:sz w:val="18"/>
                <w:szCs w:val="18"/>
              </w:rPr>
              <w:t xml:space="preserve">370M FCFA</w:t>
            </w:r>
          </w:p>
        </w:tc>
      </w:tr>
    </w:tbl>
    <w:p>
      <w:pPr>
        <w:spacing w:after="100" w:before="100"/>
      </w:pPr>
      <w:r>
        <w:rPr>
          <w:rFonts w:ascii="Arial" w:cs="Arial" w:eastAsia="Arial" w:hAnsi="Arial"/>
        </w:rPr>
        <w:t xml:space="preserve"/>
      </w:r>
    </w:p>
    <w:p>
      <w:pPr>
        <w:shd w:fill="C8972B" w:val="clear"/>
        <w:spacing w:after="60" w:before="100"/>
        <w:ind w:left="140" w:right="140"/>
      </w:pPr>
      <w:r>
        <w:rPr>
          <w:rFonts w:ascii="Arial" w:cs="Arial" w:eastAsia="Arial" w:hAnsi="Arial"/>
          <w:b/>
          <w:bCs/>
          <w:color w:val="FFFFFF"/>
          <w:sz w:val="22"/>
          <w:szCs w:val="22"/>
        </w:rPr>
        <w:t xml:space="preserve">Ce que nous offrons aux investisseurs</w:t>
      </w:r>
    </w:p>
    <w:p>
      <w:pPr>
        <w:shd w:fill="FEF4E8" w:val="clear"/>
        <w:spacing w:after="50" w:before="50"/>
        <w:ind w:left="240" w:right="140"/>
      </w:pPr>
      <w:r>
        <w:rPr>
          <w:rFonts w:ascii="Arial" w:cs="Arial" w:eastAsia="Arial" w:hAnsi="Arial"/>
          <w:color w:val="1D2939"/>
          <w:sz w:val="20"/>
          <w:szCs w:val="20"/>
        </w:rPr>
        <w:t xml:space="preserve">• Participation au capital de NKAP Invest SAS (à constituer) avec droit aux dividendes et à la valorisation</w:t>
      </w:r>
    </w:p>
    <w:p>
      <w:pPr>
        <w:shd w:fill="FEF4E8" w:val="clear"/>
        <w:spacing w:after="50" w:before="50"/>
        <w:ind w:left="240" w:right="140"/>
      </w:pPr>
      <w:r>
        <w:rPr>
          <w:rFonts w:ascii="Arial" w:cs="Arial" w:eastAsia="Arial" w:hAnsi="Arial"/>
          <w:color w:val="1D2939"/>
          <w:sz w:val="20"/>
          <w:szCs w:val="20"/>
        </w:rPr>
        <w:t xml:space="preserve">• Accès prioritaire au deal flow des premiers Sukuk tokenisés émis sur la plateforme</w:t>
      </w:r>
    </w:p>
    <w:p>
      <w:pPr>
        <w:shd w:fill="FEF4E8" w:val="clear"/>
        <w:spacing w:after="50" w:before="50"/>
        <w:ind w:left="240" w:right="140"/>
      </w:pPr>
      <w:r>
        <w:rPr>
          <w:rFonts w:ascii="Arial" w:cs="Arial" w:eastAsia="Arial" w:hAnsi="Arial"/>
          <w:color w:val="1D2939"/>
          <w:sz w:val="20"/>
          <w:szCs w:val="20"/>
        </w:rPr>
        <w:t xml:space="preserve">• Siège au conseil stratégique pour les investisseurs de référence (ticket ≥ 50M FCFA)</w:t>
      </w:r>
    </w:p>
    <w:p>
      <w:pPr>
        <w:shd w:fill="FEF4E8" w:val="clear"/>
        <w:spacing w:after="50" w:before="50"/>
        <w:ind w:left="240" w:right="140"/>
      </w:pPr>
      <w:r>
        <w:rPr>
          <w:rFonts w:ascii="Arial" w:cs="Arial" w:eastAsia="Arial" w:hAnsi="Arial"/>
          <w:color w:val="1D2939"/>
          <w:sz w:val="20"/>
          <w:szCs w:val="20"/>
        </w:rPr>
        <w:t xml:space="preserve">• Retour sur investissement cible : x4 à x8 sur 5 ans, basé sur les projections de revenus et la comparaison avec d'autres fintechs africaines financées à stade similaire</w:t>
      </w:r>
    </w:p>
    <w:p>
      <w:pPr>
        <w:shd w:fill="FEF4E8" w:val="clear"/>
        <w:spacing w:after="50" w:before="50"/>
        <w:ind w:left="240" w:right="140"/>
      </w:pPr>
      <w:r>
        <w:rPr>
          <w:rFonts w:ascii="Arial" w:cs="Arial" w:eastAsia="Arial" w:hAnsi="Arial"/>
          <w:color w:val="1D2939"/>
          <w:sz w:val="20"/>
          <w:szCs w:val="20"/>
        </w:rPr>
        <w:t xml:space="preserve">• Exit possible : acquisition stratégique par une banque régionale, un groupe de télécoms (MTN, Orange) ou une institution islamique internationale (IsDB, fonds GCC)</w:t>
      </w:r>
    </w:p>
    <w:p>
      <w:pPr>
        <w:shd w:fill="FEF4E8" w:val="clear"/>
        <w:spacing w:after="0" w:before="60"/>
      </w:pPr>
      <w:r>
        <w:rPr>
          <w:rFonts w:ascii="Arial" w:cs="Arial" w:eastAsia="Arial" w:hAnsi="Arial"/>
        </w:rPr>
        <w:t xml:space="preserve"/>
      </w:r>
    </w:p>
    <w:p>
      <w:pPr>
        <w:pBdr>
          <w:bottom w:val="single" w:color="D0D5DD" w:sz="4" w:space="1"/>
        </w:pBdr>
        <w:spacing w:after="140" w:before="140"/>
      </w:pPr>
      <w:r>
        <w:rPr>
          <w:rFonts w:ascii="Arial" w:cs="Arial" w:eastAsia="Arial" w:hAnsi="Arial"/>
        </w:rPr>
        <w:t xml:space="preserve"/>
      </w:r>
    </w:p>
    <w:p>
      <w:r>
        <w:br w:type="page"/>
      </w:r>
    </w:p>
    <w:p>
      <w:pPr>
        <w:pStyle w:val="Heading1"/>
        <w:shd w:fill="1A7A4A" w:val="clear"/>
        <w:spacing w:after="220" w:before="400"/>
        <w:ind w:left="200" w:right="200"/>
      </w:pPr>
      <w:r>
        <w:rPr>
          <w:rFonts w:ascii="Arial" w:cs="Arial" w:eastAsia="Arial" w:hAnsi="Arial"/>
          <w:b/>
          <w:bCs/>
          <w:color w:val="FFFFFF"/>
          <w:sz w:val="36"/>
          <w:szCs w:val="36"/>
        </w:rPr>
        <w:t xml:space="preserve">Conclusion — Investissez dans la Révolution Financière de l'Afrique Centrale</w:t>
      </w:r>
    </w:p>
    <w:p>
      <w:pPr>
        <w:spacing w:after="80" w:before="80"/>
      </w:pPr>
      <w:r>
        <w:rPr>
          <w:rFonts w:ascii="Arial" w:cs="Arial" w:eastAsia="Arial" w:hAnsi="Arial"/>
          <w:color w:val="475467"/>
          <w:sz w:val="21"/>
          <w:szCs w:val="21"/>
        </w:rPr>
        <w:t xml:space="preserve">NKAP Invest n'est pas une startup qui cherche à imiter ce qui existe ailleurs. C'est une infrastructure financière nouvelle, conçue pour les réalités de la zone CEMAC, qui résout simultanément trois problèmes que personne n'a encore adressés : l'exclusion des populations islamiques, la fragmentation des actifs financiers identifiée par la BVMAC, et l'absence d'investissement via Mobile Money.</w:t>
      </w:r>
    </w:p>
    <w:p>
      <w:pPr>
        <w:spacing w:after="80" w:before="80"/>
      </w:pPr>
      <w:r>
        <w:rPr>
          <w:rFonts w:ascii="Arial" w:cs="Arial" w:eastAsia="Arial" w:hAnsi="Arial"/>
          <w:color w:val="475467"/>
          <w:sz w:val="21"/>
          <w:szCs w:val="21"/>
        </w:rPr>
        <w:t xml:space="preserve">Le cadre réglementaire s'est ouvert en janvier 2026. La BVMAC appelle à des solutions de fragmentation. 18 millions de musulmans en zone CEMAC cherchent des produits financiers conformes à leurs convictions. L'épargne du secteur informel est colossale et non mobilisée. Chacun de ces signaux est une invitation à bâtir ce que nous proposons.</w:t>
      </w:r>
    </w:p>
    <w:p>
      <w:pPr>
        <w:spacing w:after="80" w:before="80"/>
      </w:pPr>
      <w:r>
        <w:rPr>
          <w:rFonts w:ascii="Arial" w:cs="Arial" w:eastAsia="Arial" w:hAnsi="Arial"/>
          <w:color w:val="475467"/>
          <w:sz w:val="21"/>
          <w:szCs w:val="21"/>
        </w:rPr>
        <w:t xml:space="preserve">NKAP Invest sera le premier à répondre. Et dans un marché vierge, le premier qui construit bien, gagne durablement.</w:t>
      </w:r>
    </w:p>
    <w:p>
      <w:pPr>
        <w:shd w:fill="0F3460" w:val="clear"/>
        <w:spacing w:after="300" w:before="300"/>
        <w:ind w:left="0" w:right="0"/>
        <w:jc w:val="center"/>
      </w:pPr>
      <w:r>
        <w:rPr>
          <w:rFonts w:ascii="Arial" w:cs="Arial" w:eastAsia="Arial" w:hAnsi="Arial"/>
          <w:b/>
          <w:bCs/>
          <w:color w:val="FFFFFF"/>
          <w:sz w:val="26"/>
          <w:szCs w:val="26"/>
        </w:rPr>
        <w:t xml:space="preserve">Rejoignez-nous dans la construction de la première infrastructure fintech islamique et tokenisée d'Afrique Centrale.</w:t>
      </w:r>
    </w:p>
    <w:p>
      <w:pPr>
        <w:spacing w:after="80" w:before="200"/>
        <w:jc w:val="center"/>
      </w:pPr>
      <w:r>
        <w:rPr>
          <w:rFonts w:ascii="Arial" w:cs="Arial" w:eastAsia="Arial" w:hAnsi="Arial"/>
          <w:b/>
          <w:bCs/>
          <w:color w:val="1A7A4A"/>
          <w:sz w:val="24"/>
          <w:szCs w:val="24"/>
        </w:rPr>
        <w:t xml:space="preserve">Finance Islamique × Tokenisation × Mobile Money — Zone CEMAC</w:t>
      </w:r>
    </w:p>
    <w:p>
      <w:pPr>
        <w:spacing w:after="80" w:before="80"/>
        <w:jc w:val="center"/>
      </w:pPr>
      <w:r>
        <w:rPr>
          <w:rFonts w:ascii="Arial" w:cs="Arial" w:eastAsia="Arial" w:hAnsi="Arial"/>
          <w:color w:val="475467"/>
          <w:sz w:val="20"/>
          <w:szCs w:val="20"/>
        </w:rPr>
        <w:t xml:space="preserve">Contact : robertomopouong1@gmail.com</w:t>
      </w:r>
    </w:p>
    <w:p>
      <w:pPr>
        <w:pBdr>
          <w:bottom w:val="single" w:color="0F3460" w:sz="4" w:space="1"/>
        </w:pBdr>
        <w:spacing w:after="140" w:before="140"/>
      </w:pPr>
      <w:r>
        <w:rPr>
          <w:rFonts w:ascii="Arial" w:cs="Arial" w:eastAsia="Arial" w:hAnsi="Arial"/>
        </w:rPr>
        <w:t xml:space="preserve"/>
      </w:r>
    </w:p>
    <w:p>
      <w:pPr>
        <w:spacing w:after="200" w:before="200"/>
        <w:jc w:val="center"/>
      </w:pPr>
      <w:r>
        <w:rPr>
          <w:rFonts w:ascii="Arial" w:cs="Arial" w:eastAsia="Arial" w:hAnsi="Arial"/>
          <w:color w:val="475467"/>
          <w:sz w:val="17"/>
          <w:szCs w:val="17"/>
        </w:rPr>
        <w:t xml:space="preserve">NKAP Invest © 2026 — Document confidentiel réservé aux investisseurs. Toute reproduction interdite sans autorisation écrite.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6" w:space="1"/>
      </w:pBdr>
      <w:tabs>
        <w:tab w:val="right" w:pos="9026"/>
      </w:tabs>
    </w:pPr>
    <w:r>
      <w:rPr>
        <w:rFonts w:ascii="Arial" w:cs="Arial" w:eastAsia="Arial" w:hAnsi="Arial"/>
        <w:color w:val="475467"/>
        <w:sz w:val="16"/>
        <w:szCs w:val="16"/>
      </w:rPr>
      <w:t xml:space="preserve">NKAP Invest © 2026 — Finance Islamique × Tokenisation × Mobile Money — Zone CEMAC</w:t>
    </w:r>
    <w:r>
      <w:rPr>
        <w:rFonts w:ascii="Arial" w:cs="Arial" w:eastAsia="Arial" w:hAnsi="Arial"/>
        <w:color w:val="475467"/>
        <w:sz w:val="16"/>
        <w:szCs w:val="16"/>
      </w:rPr>
      <w:t xml:space="preserve">	Page </w:t>
    </w:r>
    <w:r>
      <w:rPr>
        <w:rFonts w:ascii="Arial" w:cs="Arial" w:eastAsia="Arial" w:hAnsi="Arial"/>
        <w:color w:val="1A7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6" w:space="1"/>
      </w:pBdr>
      <w:tabs>
        <w:tab w:val="right" w:pos="9026"/>
      </w:tabs>
    </w:pPr>
    <w:r>
      <w:rPr>
        <w:rFonts w:ascii="Arial" w:cs="Arial" w:eastAsia="Arial" w:hAnsi="Arial"/>
        <w:color w:val="475467"/>
        <w:sz w:val="18"/>
        <w:szCs w:val="18"/>
      </w:rPr>
      <w:t xml:space="preserve">NKAP Invest — Business Plan 2026</w:t>
    </w:r>
    <w:r>
      <w:rPr>
        <w:rFonts w:ascii="Arial" w:cs="Arial" w:eastAsia="Arial" w:hAnsi="Arial"/>
        <w:color w:val="475467"/>
        <w:sz w:val="18"/>
        <w:szCs w:val="18"/>
      </w:rPr>
      <w:t xml:space="preserve">	Confidentiel — Tous droits réservés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46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2026-05-06T11:47:58.671Z</dcterms:created>
  <dcterms:modified xsi:type="dcterms:W3CDTF">2026-05-06T11:47:58.682Z</dcterms:modified>
</cp:coreProperties>
</file>

<file path=docProps/custom.xml><?xml version="1.0" encoding="utf-8"?>
<Properties xmlns="http://schemas.openxmlformats.org/officeDocument/2006/custom-properties" xmlns:vt="http://schemas.openxmlformats.org/officeDocument/2006/docPropsVTypes"/>
</file>