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&lt;headline&gt;Darkness at Noone&lt;/headline&gt;</w:t>
      </w:r>
    </w:p>
    <w:p>
      <w:r>
        <w:t xml:space="preserve">&lt;subheading&gt;Armistead Maupin’s The Night Listener&lt;/subheading&gt;</w:t>
      </w:r>
    </w:p>
    <w:p>
      <w:r>
        <w:t xml:space="preserve">&lt;details&gt;The Night Listener</w:t>
      </w:r>
      <w:r>
        <w:br/>
      </w:r>
      <w:r>
        <w:t xml:space="preserve">Armistead Maupin</w:t>
      </w:r>
      <w:r>
        <w:br/>
      </w:r>
      <w:r>
        <w:t xml:space="preserve">344pp, Bantam £16.99&lt;/details&gt;</w:t>
      </w:r>
    </w:p>
    <w:p>
      <w:r>
        <w:t xml:space="preserve">&lt;category&gt;fiction&lt;/category&gt;</w:t>
      </w:r>
    </w:p>
    <w:p>
      <w:r>
        <w:t xml:space="preserve">Armistead Maupin became famous through his Tales of the City, a series of books tracking the fortunes of a kooky and loveable bunch of San Francisco denizens through the 70s and 80s. Although Maupin is gay, his books are not exclusively about homosexuality; there is a diversity, generosity and inclusivity (not to mention buoyant humour) that has given them enormous and international appeal. They began as newspaper serialisations, making them pacy and multi-plotted. They were warm, sweet, funny entertainments (though with darker political themes in the Reaganite, Aids-scarred 80s); but Maupin’s subsequent work suggests he has ambitions beyond the literary sitcom.</w:t>
      </w:r>
    </w:p>
    <w:p>
      <w:r>
        <w:t xml:space="preserve">In his latest novel, The Night Listener, Gabriel Noone, the narrator, is a writer of short stories for a late-night radio show. As he explains early on, “my characters were a motley but loveable bunch, people caught in the supreme joke of modern life who were forced to survive by making families of their friends. The show eventually became a cult hit… while this fulfilled me hugely as a storyteller, it left me feeling illegitimate as a writer, as if I’d broken into the Temple of Literature through some unlocked basement window.”</w:t>
      </w:r>
    </w:p>
    <w:p>
      <w:r>
        <w:t xml:space="preserve">Noone shares many characteristics with Maupin: both served in the US navy and in Vietnam; both have recently split up with long-term partners; both came out to their parents through their work, with identical results. When it emerges that Noone is struggling with writer’s block, and one considers that Maupin’s most recent novel was published as far back as 1992, one is less than convinced by the other pun in Gabriel’s surname – that it can be read as “no one”.</w:t>
      </w:r>
    </w:p>
    <w:p>
      <w:r>
        <w:t xml:space="preserve">Noone’s long-term boyfriend, Jess, has had Aids for a decade; Noone has used him as his main character and was convinced that Jess would die in his arms. But Jess not only moves out to “take a break” and explore other lovers; he also reveals that his health, with new medication, is not worsening. (Noone’s difficulty in feeling happy about this news is harrowingly rendered.) Noone, in his 50s and suddenly alone, finds distraction in the manuscript of a memoir, sent to him by the publisher in the hope of a good blurb.</w:t>
      </w:r>
    </w:p>
    <w:p>
      <w:r>
        <w:t xml:space="preserve">The Blacking Factory (the title is a reference to Dickens’s traumatic childhood) is the story of a 13-year-old boy, Pete, horrifically sexually abused by his parents and their friends, who is rescued and adopted by a social worker, Donna Lomax. But Pete is already dying of Aids. In the darkness of hospital wards, he has been listening to Noone’s show: “The man’s voice was low and soothing, the voice of an understanding father. And sometimes, though Pete knew better, it seemed to be speaking to Pete alone.”</w:t>
      </w:r>
    </w:p>
    <w:p>
      <w:r>
        <w:t xml:space="preserve">The two, with the assistance of Donna, begin a quasi-parental relationship by telephone in which Noone is the good father Pete never had and Pete is the son Gabriel does not have. In the course of this relationship Noone is able to discuss, and come to terms with, his relationship with Jess and also with his own parents, particularly his provocatively prejudiced yet stumblingly loving father. The healing that Pete affords Noone is compromised, however, by doubt. Did Pete write his own story? Is Pete’s story true? And, most unsettlingly, does Pete really exist?</w:t>
      </w:r>
    </w:p>
    <w:p>
      <w:r>
        <w:t xml:space="preserve">It would spoil an excellent psychological drama to say any more about the plot. What is interesting is that Maupin, clearly wanting to write a more serious piece of fiction, has not had to depart radically from his successful format; The Night Listener is a serialised work (broadcast on American radio this autumn) of generous liberalism. What he has added is a darkness of texture, not simply in the atrocity of Pete’s abuse, but also Noone’s vulture-like solipsism, which is gradually exposed and criticised by family and friends. And, although the devices are far from shocking or original, Maupin’s disruption of trust and certainty in his narratives is achieved precisely and with deceptive simplicity.</w:t>
      </w:r>
    </w:p>
    <w:p>
      <w:r>
        <w:t xml:space="preserve">Noone is an unreliable narrator, and reliably tells us so from the first chapter, resonantly titled “The Elephant Jeweler”, in which he confesses his tendency to embellish or distort without even realising it. All unreliable narrators point out their unreliability; if they did not we would simply suspend our disbelief and trust them, this being the way fiction works. The unreliability of narratives within the unreliable narrative, however, and the narrator’s anguish in his own uncertainty, are brilliantly handled. The Night Listener asks why we tell stories, and to whom, and why we listen to them.</w:t>
      </w:r>
    </w:p>
    <w:p>
      <w:r>
        <w:t xml:space="preserve">It raises other questions of trust and identity too, not least the importance to survivors of abuse that they be unquestioningly believed, these voices in the darkness, or over the phone; the ease with which they can be mistaken; the “blacking factory” of pain from which many stories evolve. These aspects make sense of the book’s central phrase: “All you have to do is believe and let go, and you’ll have all the proof you need.”</w:t>
      </w:r>
    </w:p>
    <w:sectPr/>
  </w:body>
</w:document>
</file>