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9DCAE" w14:textId="425A0790" w:rsidR="00404C1D" w:rsidRDefault="00404C1D">
      <w:pPr>
        <w:spacing w:before="240" w:after="240"/>
        <w:rPr>
          <w:b/>
          <w:bCs/>
        </w:rPr>
      </w:pPr>
      <w:r>
        <w:rPr>
          <w:b/>
          <w:bCs/>
        </w:rPr>
        <w:t>Words of weight</w:t>
      </w:r>
    </w:p>
    <w:p w14:paraId="58FFFEA7" w14:textId="1785878B" w:rsidR="00404C1D" w:rsidRDefault="00404C1D">
      <w:pPr>
        <w:spacing w:before="240" w:after="240"/>
        <w:rPr>
          <w:b/>
          <w:bCs/>
        </w:rPr>
      </w:pPr>
      <w:r>
        <w:rPr>
          <w:b/>
          <w:bCs/>
        </w:rPr>
        <w:t>J. H. Prynne and the Cambridge School</w:t>
      </w:r>
    </w:p>
    <w:p w14:paraId="2C73D058" w14:textId="77777777" w:rsidR="00404C1D" w:rsidRDefault="00404C1D">
      <w:pPr>
        <w:spacing w:before="240" w:after="240"/>
        <w:rPr>
          <w:b/>
          <w:bCs/>
        </w:rPr>
      </w:pPr>
    </w:p>
    <w:p w14:paraId="182813AE" w14:textId="2103DE4C" w:rsidR="008773B0" w:rsidRDefault="00000000">
      <w:pPr>
        <w:spacing w:before="240" w:after="240"/>
      </w:pPr>
      <w:r>
        <w:rPr>
          <w:b/>
          <w:bCs/>
        </w:rPr>
        <w:t>Boris Jardine and Lydia Wilson, editors</w:t>
      </w:r>
      <w:r>
        <w:rPr>
          <w:b/>
          <w:bCs/>
        </w:rPr>
        <w:br/>
      </w:r>
      <w:r>
        <w:t xml:space="preserve"> </w:t>
      </w:r>
      <w:r>
        <w:rPr>
          <w:i/>
          <w:iCs/>
        </w:rPr>
        <w:t>The Cambridge Literary Review</w:t>
      </w:r>
      <w:r>
        <w:rPr>
          <w:i/>
          <w:iCs/>
        </w:rPr>
        <w:br/>
      </w:r>
      <w:r>
        <w:t xml:space="preserve"> Trinity Hall, Cambridge CB2 1TJ</w:t>
      </w:r>
      <w:r>
        <w:br/>
      </w:r>
      <w:hyperlink r:id="rId4">
        <w:r>
          <w:t xml:space="preserve"> </w:t>
        </w:r>
      </w:hyperlink>
      <w:hyperlink r:id="rId5">
        <w:r>
          <w:rPr>
            <w:color w:val="1155CC"/>
            <w:u w:val="single"/>
          </w:rPr>
          <w:t>www.cambridgeliteraryreview.org</w:t>
        </w:r>
        <w:r>
          <w:rPr>
            <w:color w:val="1155CC"/>
            <w:u w:val="single"/>
          </w:rPr>
          <w:br/>
        </w:r>
      </w:hyperlink>
      <w:r>
        <w:t xml:space="preserve"> £20 per annum</w:t>
      </w:r>
    </w:p>
    <w:p w14:paraId="182813AF" w14:textId="77777777" w:rsidR="008773B0" w:rsidRDefault="00000000">
      <w:pPr>
        <w:spacing w:before="240" w:after="240"/>
      </w:pPr>
      <w:r>
        <w:rPr>
          <w:b/>
          <w:bCs/>
        </w:rPr>
        <w:t>Ryan Dobran, Nicola Masciandaro and Karl Steel, editors</w:t>
      </w:r>
      <w:r>
        <w:rPr>
          <w:b/>
          <w:bCs/>
        </w:rPr>
        <w:br/>
      </w:r>
      <w:r>
        <w:t xml:space="preserve"> </w:t>
      </w:r>
      <w:r>
        <w:rPr>
          <w:i/>
          <w:iCs/>
        </w:rPr>
        <w:t>Glossator: The practice and theory of the commentary</w:t>
      </w:r>
      <w:r>
        <w:rPr>
          <w:i/>
          <w:iCs/>
        </w:rPr>
        <w:br/>
      </w:r>
      <w:hyperlink r:id="rId6">
        <w:r>
          <w:t xml:space="preserve"> </w:t>
        </w:r>
      </w:hyperlink>
      <w:hyperlink r:id="rId7">
        <w:r>
          <w:rPr>
            <w:color w:val="1155CC"/>
            <w:u w:val="single"/>
          </w:rPr>
          <w:t>http://ojs.gc.cuny.edu/index.php/glossator/index</w:t>
        </w:r>
        <w:r>
          <w:rPr>
            <w:color w:val="1155CC"/>
            <w:u w:val="single"/>
          </w:rPr>
          <w:br/>
        </w:r>
      </w:hyperlink>
      <w:r>
        <w:t xml:space="preserve"> $7.25 each; </w:t>
      </w:r>
      <w:proofErr w:type="gramStart"/>
      <w:r>
        <w:t>free online</w:t>
      </w:r>
      <w:proofErr w:type="gramEnd"/>
    </w:p>
    <w:p w14:paraId="182813B0" w14:textId="77777777" w:rsidR="008773B0" w:rsidRDefault="00000000">
      <w:pPr>
        <w:spacing w:before="240" w:after="240"/>
      </w:pPr>
      <w:r>
        <w:rPr>
          <w:b/>
          <w:bCs/>
        </w:rPr>
        <w:t>Ian Brinton, editor</w:t>
      </w:r>
      <w:r>
        <w:rPr>
          <w:b/>
          <w:bCs/>
        </w:rPr>
        <w:br/>
      </w:r>
      <w:r>
        <w:t xml:space="preserve"> </w:t>
      </w:r>
      <w:r>
        <w:rPr>
          <w:i/>
          <w:iCs/>
        </w:rPr>
        <w:t>A Manner of Utterance: The poetry of J. H. Prynne</w:t>
      </w:r>
      <w:r>
        <w:rPr>
          <w:i/>
          <w:iCs/>
        </w:rPr>
        <w:br/>
      </w:r>
      <w:r>
        <w:t xml:space="preserve"> 187pp. </w:t>
      </w:r>
      <w:proofErr w:type="spellStart"/>
      <w:r>
        <w:t>Shearsman</w:t>
      </w:r>
      <w:proofErr w:type="spellEnd"/>
      <w:r>
        <w:t>. £12.95. ISBN 978-1-84861-043-9</w:t>
      </w:r>
    </w:p>
    <w:p w14:paraId="182813B1" w14:textId="77777777" w:rsidR="008773B0" w:rsidRDefault="00000000">
      <w:pPr>
        <w:spacing w:before="240" w:after="240"/>
      </w:pPr>
      <w:r>
        <w:rPr>
          <w:b/>
          <w:bCs/>
        </w:rPr>
        <w:t>J. H. Prynne</w:t>
      </w:r>
      <w:r>
        <w:rPr>
          <w:b/>
          <w:bCs/>
        </w:rPr>
        <w:br/>
      </w:r>
      <w:r>
        <w:t xml:space="preserve"> </w:t>
      </w:r>
      <w:r>
        <w:rPr>
          <w:i/>
          <w:iCs/>
        </w:rPr>
        <w:t>Sub Songs</w:t>
      </w:r>
      <w:r>
        <w:rPr>
          <w:i/>
          <w:iCs/>
        </w:rPr>
        <w:br/>
      </w:r>
      <w:r>
        <w:t xml:space="preserve"> 24pp. </w:t>
      </w:r>
      <w:proofErr w:type="spellStart"/>
      <w:r>
        <w:t>Barque</w:t>
      </w:r>
      <w:proofErr w:type="spellEnd"/>
      <w:r>
        <w:t xml:space="preserve"> Press, 26 Allerton Road, London N16 5UJ. £10. ISBN 978-1-903488-74-4</w:t>
      </w:r>
    </w:p>
    <w:p w14:paraId="182813B2" w14:textId="77777777" w:rsidR="008773B0" w:rsidRDefault="00000000">
      <w:pPr>
        <w:spacing w:before="240" w:after="240"/>
      </w:pPr>
      <w:r>
        <w:t>The poetry of J. H. Prynne is both obscure and difficult; qualities tolerated in canonical and foreign writers (Blake, Mallarmé, Celan, late Beckett</w:t>
      </w:r>
      <w:proofErr w:type="gramStart"/>
      <w:r>
        <w:t>), but</w:t>
      </w:r>
      <w:proofErr w:type="gramEnd"/>
      <w:r>
        <w:t xml:space="preserve"> treated with enormous resentment and suspicion in contemporary English poets. Prynne’s detractors see little else in the work, perhaps being so distracted by the first few words of his collected </w:t>
      </w:r>
      <w:r>
        <w:rPr>
          <w:i/>
          <w:iCs/>
        </w:rPr>
        <w:t>Poems</w:t>
      </w:r>
      <w:r>
        <w:t xml:space="preserve"> (“the whole thing it is, the difficult / matter”) that they seem not to have read any further. Craig Raine, for example, recently wrote dismissively of “a postmodern poetic school led by J. H. Prynne whose purpose is to be difficult—</w:t>
      </w:r>
      <w:proofErr w:type="spellStart"/>
      <w:r>
        <w:t>emulatively</w:t>
      </w:r>
      <w:proofErr w:type="spellEnd"/>
      <w:r>
        <w:t xml:space="preserve"> difficult. (Not difficult to be difficult, actually)”. Nonetheless, it is notable that none of Prynne’s critics feels able to wholly ignore him, or the so-called Cambridge School with which he has come to be associated.</w:t>
      </w:r>
    </w:p>
    <w:p w14:paraId="182813B3" w14:textId="77777777" w:rsidR="008773B0" w:rsidRDefault="00000000">
      <w:pPr>
        <w:spacing w:before="240" w:after="240"/>
      </w:pPr>
      <w:r>
        <w:t xml:space="preserve">The word “Cambridge” in that phrase has ceased to have much geographical or institutional significance; its alleged members work and live in various cities and </w:t>
      </w:r>
      <w:proofErr w:type="gramStart"/>
      <w:r>
        <w:t>countries, and</w:t>
      </w:r>
      <w:proofErr w:type="gramEnd"/>
      <w:r>
        <w:t xml:space="preserve"> employ an uncategorizably wide variety of aesthetic approaches. For the most part, “Cambridge School” is now a pejorative catch-all dismissal for poets who work outside the narrow boundaries established by the Movement poets and their successors. The newly launched </w:t>
      </w:r>
      <w:r>
        <w:rPr>
          <w:i/>
          <w:iCs/>
        </w:rPr>
        <w:t>Cambridge Literary Review</w:t>
      </w:r>
      <w:r>
        <w:t>, however, defiantly reclaims the label with pride: its first issue addresses “Cambridge” and “difficulty” head on, perhaps because its editors and contributors are unashamed of the extensive range of their reading and the complexity of their critical thought.</w:t>
      </w:r>
    </w:p>
    <w:p w14:paraId="182813B4" w14:textId="77777777" w:rsidR="008773B0" w:rsidRDefault="00000000">
      <w:pPr>
        <w:spacing w:before="240" w:after="240"/>
      </w:pPr>
      <w:r>
        <w:lastRenderedPageBreak/>
        <w:t xml:space="preserve">Jeremy Noel-Tod, a discriminating but unsectarian critic, gently corrects the errors of Raine, his old mentor. Elaine Feinstein contributes a reminiscence about </w:t>
      </w:r>
      <w:r>
        <w:rPr>
          <w:i/>
          <w:iCs/>
        </w:rPr>
        <w:t>Prospect</w:t>
      </w:r>
      <w:r>
        <w:t xml:space="preserve">, a Cambridge magazine (1959–62) which she edited before Prynne, and Philip Pettit similarly and entertainingly remembers the </w:t>
      </w:r>
      <w:r>
        <w:rPr>
          <w:i/>
          <w:iCs/>
        </w:rPr>
        <w:t>Cambridge Review</w:t>
      </w:r>
      <w:r>
        <w:t xml:space="preserve"> of the 1970s; Richard Berengarten recalls </w:t>
      </w:r>
      <w:r>
        <w:rPr>
          <w:i/>
          <w:iCs/>
        </w:rPr>
        <w:t>The Cambridge Poetry Festival</w:t>
      </w:r>
      <w:r>
        <w:t xml:space="preserve"> (1975–85); Gareth Farmer considers the late Veronica Forrest-Thomson and her relation to Cambridge; and Robert Archambeau offers a provocative and critical argument against the larger claims made for “Cambridge” poetry as a political or ethical force; this provokes some spirited debate in the following issue.</w:t>
      </w:r>
    </w:p>
    <w:p w14:paraId="182813B5" w14:textId="77777777" w:rsidR="008773B0" w:rsidRDefault="00000000">
      <w:pPr>
        <w:spacing w:before="240" w:after="240"/>
      </w:pPr>
      <w:r>
        <w:t xml:space="preserve">There is much else to enjoy, especially a new poem by Helen Macdonald, whose </w:t>
      </w:r>
      <w:r>
        <w:rPr>
          <w:i/>
          <w:iCs/>
        </w:rPr>
        <w:t>Shaler’s Fish</w:t>
      </w:r>
      <w:r>
        <w:t xml:space="preserve"> was one of the outstanding volumes of poetry in the 1990s, and who (as an expert on falconry) also offers some gripping prose about her falcon Mabel (“Big Trouble in Little Shelford”; “Two Days of the Goshawk”): to have coaxed new work from Macdonald is a feather in the cap for the editors, Boris Jardine and Lydia Wilson. There are also high-powered essays, for example from Stefan Collini on the fate of the humanities in an age of bean-counters and budget cuts, Simon Jarvis on Hegel, and Marina Frasca-Spada on David Hume and book-burning. At £8 an issue (each is well over 200 pages long), or £20 for a year (three issues), it is very good value.</w:t>
      </w:r>
    </w:p>
    <w:p w14:paraId="182813B6" w14:textId="77777777" w:rsidR="008773B0" w:rsidRDefault="00000000">
      <w:pPr>
        <w:spacing w:before="240" w:after="240"/>
      </w:pPr>
      <w:r>
        <w:t xml:space="preserve">And for those seeking a way into the rewarding but intimidating complexities of Prynne’s poetry, there is also some highly valuable material. In CLR 1:3 (which focuses on translation), Prynne himself offers an essay on “Difficulties in the translation of ‘difficult’ poems” in which the footnotes alone give a thorough and learned account of the long history of “difficulty” in poetry, and of its attendant controversies (a helpful corrective to the large number of people who think the trouble started only in 1922 with the publication of </w:t>
      </w:r>
      <w:r>
        <w:rPr>
          <w:i/>
          <w:iCs/>
        </w:rPr>
        <w:t>The Waste Land</w:t>
      </w:r>
      <w:r>
        <w:t>). Prynne also makes a useful distinction between obscurity and difficulty:</w:t>
      </w:r>
    </w:p>
    <w:p w14:paraId="182813B7" w14:textId="77777777" w:rsidR="008773B0" w:rsidRDefault="00000000">
      <w:pPr>
        <w:spacing w:before="240" w:after="240"/>
      </w:pPr>
      <w:r>
        <w:t xml:space="preserve">When poetry is obscure this is chiefly because information necessary for comprehension is not part of the reader’s knowledge … and finding out this information may dispel much of the obscurity. When poetry is difficult this is more likely because the language and structure of its presentation are unusually cross-linked or fragmented, or dense with ideas and response-patterns that challenge the reader’s powers of recognition … Alexander Pope’s </w:t>
      </w:r>
      <w:r>
        <w:rPr>
          <w:i/>
          <w:iCs/>
        </w:rPr>
        <w:t>The Dunciad</w:t>
      </w:r>
      <w:r>
        <w:t xml:space="preserve"> (1728–43) is now obscure but not especially difficult; Wallace Stevens’s “Thirteen Ways of Looking at a Blackbird” or “Sunday Morning” … are difficult but mostly not obscure; Eliot’s </w:t>
      </w:r>
      <w:r>
        <w:rPr>
          <w:i/>
          <w:iCs/>
        </w:rPr>
        <w:t>The Waste Land</w:t>
      </w:r>
      <w:r>
        <w:t xml:space="preserve"> (1922) or, in long retrospect, the </w:t>
      </w:r>
      <w:proofErr w:type="spellStart"/>
      <w:r>
        <w:t>wuit</w:t>
      </w:r>
      <w:proofErr w:type="spellEnd"/>
      <w:r>
        <w:t xml:space="preserve"> (“no title”) poems of Li Shang-yin (c.813–58) are hard for readers because they are obscure and also difficult; indeed, their difficulties are deliberate and integral to poetic method.</w:t>
      </w:r>
    </w:p>
    <w:p w14:paraId="182813B8" w14:textId="77777777" w:rsidR="008773B0" w:rsidRDefault="00000000">
      <w:pPr>
        <w:spacing w:before="240" w:after="240"/>
      </w:pPr>
      <w:r>
        <w:t xml:space="preserve">Prynne’s poetry is difficult and obscure because his work is both radical and extreme. It is radical because he is a philological poet: when he uses a word, he does so in full knowledge of its etymological resonances, its historical usages, and its literary echoes. As he remarked as far back as 1963, “Once a poem gets written and I have located a word which this poem has given to me—I’ve won out of the English language another word for my small vocabulary of words that really mean and matter to me—back to the etymological dictionary: where does it come from, what does it originally mean, what great hinterland of implications lies behind this perhaps quite ordinary word?”. His poetry is extreme because it is drawn to unsolved and possibly insoluble </w:t>
      </w:r>
      <w:r>
        <w:lastRenderedPageBreak/>
        <w:t>questions—in economics, biological science, philosophy, and so on—where models of understanding break down, and where uncertainty and paradox emerge; and to extremities of human life, for example inhospitable or polluted environments, medical situations, poverty, starvation, torture and war. Some see the poetry as ethical, in that it has no illusions about “the purity of language”, and no illusions about the poet or reader being somehow apart from those horrors—moral complacency is rigorously challenged on all sides. Indeed, the later work often seems a grim, fatalistic portrayal of inexorable and inescapable violence and pollution, and of human self-delusion and complicity in these catastrophes.</w:t>
      </w:r>
    </w:p>
    <w:p w14:paraId="182813B9" w14:textId="77777777" w:rsidR="008773B0" w:rsidRDefault="00000000">
      <w:pPr>
        <w:spacing w:before="240" w:after="240"/>
      </w:pPr>
      <w:r>
        <w:t xml:space="preserve">Prynne has written two book-length commentaries (reviewed in the </w:t>
      </w:r>
      <w:r>
        <w:rPr>
          <w:i/>
          <w:iCs/>
        </w:rPr>
        <w:t>TLS</w:t>
      </w:r>
      <w:r>
        <w:t>, January 25, 2008) on single poems—Shakespeare’s Sonnet 94 and Wordsworth’s “The Solitary Reaper”—and the amount of context and analysis which he brings to bear on those short, apparently simple pieces gives a fair idea of what he considers to be a responsible and attentive reading of a poem. They also relate to his practice as a poet: Prynne constantly juxtaposes different framing viewpoints, or runs them together, until each operates dynamically on the others; the result is complex, with elements in each poem relating to each other by a variety of means—metaphor, concept, pun, music, etcetera.</w:t>
      </w:r>
    </w:p>
    <w:p w14:paraId="182813BA" w14:textId="77777777" w:rsidR="008773B0" w:rsidRDefault="00000000">
      <w:pPr>
        <w:spacing w:before="240" w:after="240"/>
      </w:pPr>
      <w:r>
        <w:t xml:space="preserve">A new magazine, </w:t>
      </w:r>
      <w:r>
        <w:rPr>
          <w:i/>
          <w:iCs/>
        </w:rPr>
        <w:t>Glossator: The practice and theory of the commentary</w:t>
      </w:r>
      <w:r>
        <w:t>, edited by Ryan Dobran, Nicola Masciandaro and Karl Steel, has pieces by Prynne in two of its issues, and devotes another entirely to commentaries on his work. These essays demonstrate that Prynne’s poems, far from being surreal nonsense, as some critics would like to believe, are in fact tightly constructed, and densely packed; they bring together daunting amounts of learning, but also seem to propose a way of looking, thinking, and acting which cannot easily be reduced to an existing ideological or philosophical position; they are exploratory and pioneering.</w:t>
      </w:r>
    </w:p>
    <w:p w14:paraId="182813BB" w14:textId="77777777" w:rsidR="008773B0" w:rsidRDefault="00000000">
      <w:pPr>
        <w:spacing w:before="240" w:after="240"/>
      </w:pPr>
      <w:r>
        <w:t xml:space="preserve">His latest volume, </w:t>
      </w:r>
      <w:r>
        <w:rPr>
          <w:i/>
          <w:iCs/>
        </w:rPr>
        <w:t>Sub Songs</w:t>
      </w:r>
      <w:r>
        <w:t xml:space="preserve">, a handsome small press production in a very large format—similar in size to a volume of sheet music—continues to blend his </w:t>
      </w:r>
      <w:proofErr w:type="spellStart"/>
      <w:r>
        <w:t>favourite</w:t>
      </w:r>
      <w:proofErr w:type="spellEnd"/>
      <w:r>
        <w:t xml:space="preserve"> fierce ingredients: ominous developments in biotechnology; political, erotic and philosophical questions about identity and difference; terror and warfare; the role of song in various human and animal contexts; complicity and agency. The </w:t>
      </w:r>
      <w:proofErr w:type="spellStart"/>
      <w:r>
        <w:t>criss-cross</w:t>
      </w:r>
      <w:proofErr w:type="spellEnd"/>
      <w:r>
        <w:t xml:space="preserve"> of contradictory movements and bitten-off phrases resembles late Beckett as much as anything else he has written (“deny for why none or again, nor at / all time-fast”). The title of the opening poem, “As Mouth Blindness”, is a reference to dysgeusia, an alteration or distortion of the sense of taste; this may or may not be a wry reference to his poems’ deliberate departure from mainstream English poetry’s more cautious ironies and ambiguities.</w:t>
      </w:r>
    </w:p>
    <w:p w14:paraId="182813BC" w14:textId="77777777" w:rsidR="008773B0" w:rsidRDefault="00000000">
      <w:pPr>
        <w:spacing w:before="240" w:after="240"/>
      </w:pPr>
      <w:r>
        <w:t>The reason why the late poems are so challenging is that Prynne’s work has increasingly offered a high-speed polyphonic approach, with phrases and quotations overlapping or interrupted (“a dialectic with the laterals marked in” as he once put it); and the astonishing economy with which he now disposes his hard-won words means that even his shortest poems are now carrying alarmingly extensive hinterlands of epic debate. It is still possible to say what these poems are about; it remains unlikely that anyone will or can be sure what they mean.</w:t>
      </w:r>
    </w:p>
    <w:p w14:paraId="182813BD" w14:textId="77777777" w:rsidR="008773B0" w:rsidRDefault="00000000">
      <w:pPr>
        <w:spacing w:before="240" w:after="240"/>
      </w:pPr>
      <w:r>
        <w:lastRenderedPageBreak/>
        <w:t xml:space="preserve">If the result is therefore sometimes so entangled as to leave no hook or handhold even for a committed and diligent reader, what results nonetheless is still a remarkable sonic and visual construction; words become uncannily palpable as sounds and signs, and the musical or plastic arts become easier (if treacherous) points of reference. Whether this is success or failure is hard to say: </w:t>
      </w:r>
      <w:r>
        <w:rPr>
          <w:i/>
          <w:iCs/>
        </w:rPr>
        <w:t>de gustibus</w:t>
      </w:r>
      <w:r>
        <w:t xml:space="preserve"> (or </w:t>
      </w:r>
      <w:r>
        <w:rPr>
          <w:i/>
          <w:iCs/>
        </w:rPr>
        <w:t>dysgeusia</w:t>
      </w:r>
      <w:r>
        <w:t xml:space="preserve">?) </w:t>
      </w:r>
      <w:r>
        <w:rPr>
          <w:i/>
          <w:iCs/>
        </w:rPr>
        <w:t>non est disputandum</w:t>
      </w:r>
      <w:r>
        <w:t xml:space="preserve">. In 1913, Debussy wrote that “the century of the </w:t>
      </w:r>
      <w:proofErr w:type="spellStart"/>
      <w:r>
        <w:t>aeroplane</w:t>
      </w:r>
      <w:proofErr w:type="spellEnd"/>
      <w:r>
        <w:t xml:space="preserve"> deserves its music”; but as “the century of suspicion” ends, aptly and predictably, in a credit crisis, J. H. Prynne’s poetry may—like it or not—be most fully and restlessly the music of our times.</w:t>
      </w:r>
    </w:p>
    <w:p w14:paraId="182813BE" w14:textId="77777777" w:rsidR="008773B0" w:rsidRDefault="008773B0">
      <w:pPr>
        <w:spacing w:before="240" w:after="240"/>
      </w:pPr>
    </w:p>
    <w:p w14:paraId="182813BF" w14:textId="77777777" w:rsidR="008773B0" w:rsidRDefault="008773B0">
      <w:pPr>
        <w:spacing w:before="240" w:after="240"/>
      </w:pPr>
    </w:p>
    <w:p w14:paraId="182813C0" w14:textId="77777777" w:rsidR="008773B0" w:rsidRDefault="008773B0"/>
    <w:sectPr w:rsidR="008773B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528578A-F6AF-49EF-B581-CAF8D8033709}"/>
  </w:font>
  <w:font w:name="Cambria">
    <w:panose1 w:val="02040503050406030204"/>
    <w:charset w:val="00"/>
    <w:family w:val="roman"/>
    <w:pitch w:val="variable"/>
    <w:sig w:usb0="E00006FF" w:usb1="420024FF" w:usb2="02000000" w:usb3="00000000" w:csb0="0000019F" w:csb1="00000000"/>
    <w:embedRegular r:id="rId2" w:fontKey="{18CC88FC-9678-4373-9950-772CE0AADCA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3B0"/>
    <w:rsid w:val="000F2701"/>
    <w:rsid w:val="00404C1D"/>
    <w:rsid w:val="008773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813AE"/>
  <w15:docId w15:val="{DD6BE466-CF4B-4DA0-9C64-424DC0F31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ojs.gc.cuny.edu/index.php/glossator/inde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ojs.gc.cuny.edu/index.php/glossator/index" TargetMode="External"/><Relationship Id="rId5" Type="http://schemas.openxmlformats.org/officeDocument/2006/relationships/hyperlink" Target="https://www.cambridgeliteraryreview.org/" TargetMode="External"/><Relationship Id="rId4" Type="http://schemas.openxmlformats.org/officeDocument/2006/relationships/hyperlink" Target="https://www.cambridgeliteraryreview.org/" TargetMode="Externa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1530</Words>
  <Characters>8721</Characters>
  <Application>Microsoft Office Word</Application>
  <DocSecurity>0</DocSecurity>
  <Lines>72</Lines>
  <Paragraphs>20</Paragraphs>
  <ScaleCrop>false</ScaleCrop>
  <Company/>
  <LinksUpToDate>false</LinksUpToDate>
  <CharactersWithSpaces>10231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2</cp:revision>
  <dcterms:created xsi:type="dcterms:W3CDTF">2026-07-31T15:30:00Z</dcterms:created>
  <dcterms:modified xsi:type="dcterms:W3CDTF">2026-07-31T15:30:00Z</dcterms:modified>
</cp:coreProperties>
</file>