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 xml:space="preserve">&lt;headline&gt;The gospel according to Paul&lt;/headline&gt;</w:t>
      </w:r>
    </w:p>
    <w:p>
      <w:r>
        <w:t xml:space="preserve">&lt;subheading&gt;Paul Auster’s Collected Prose&lt;/subheading&gt;</w:t>
      </w:r>
    </w:p>
    <w:p>
      <w:r>
        <w:t xml:space="preserve">&lt;details&gt;Collected Prose</w:t>
      </w:r>
      <w:r>
        <w:br/>
      </w:r>
      <w:r>
        <w:t xml:space="preserve">by Paul Auster</w:t>
      </w:r>
      <w:r>
        <w:br/>
      </w:r>
      <w:r>
        <w:t xml:space="preserve">Faber &amp; Faber £25, pp512&lt;/details&gt;</w:t>
      </w:r>
    </w:p>
    <w:p>
      <w:r>
        <w:t xml:space="preserve">&lt;category&gt;essays&lt;/category&gt;</w:t>
      </w:r>
    </w:p>
    <w:p w14:paraId="3C8CFE47" w14:textId="77777777" w:rsidR="00242E1E" w:rsidRDefault="00242E1E"/>
    <w:p w14:paraId="2367E782" w14:textId="2B963571" w:rsidR="002705EE" w:rsidRDefault="00702B20">
      <w:r>
        <w:t>I</w:t>
      </w:r>
      <w:r>
        <w:t>n The Red Notebook, a collection of true coincidences so strange they could barely pass as fiction, Paul Auster recalls a moment of painful, grinding poverty when he and a girlfriend were living as caretakers in a remote farmhouse in the south of France, using the silence and isolation to pursue their writing:</w:t>
      </w:r>
    </w:p>
    <w:p w14:paraId="2367E783" w14:textId="77777777" w:rsidR="002705EE" w:rsidRDefault="002705EE"/>
    <w:p w14:paraId="2367E784" w14:textId="77777777" w:rsidR="002705EE" w:rsidRDefault="00702B20">
      <w:r>
        <w:t xml:space="preserve">“In the end, we had nothing left but a bag of onions, a bottle of cooking oil and a packaged </w:t>
      </w:r>
      <w:proofErr w:type="gramStart"/>
      <w:r>
        <w:t>pie-crust</w:t>
      </w:r>
      <w:proofErr w:type="gramEnd"/>
      <w:r>
        <w:t xml:space="preserve"> that someone had bought before we even moved into the house – a stale remnant from the previous summer. L. and I held out all morning and into the afternoon, but by two-thirty hunger had got the better of us, and so we went into the kitchen to prepare our last meal. Given the paucity of </w:t>
      </w:r>
      <w:proofErr w:type="gramStart"/>
      <w:r>
        <w:t>elements</w:t>
      </w:r>
      <w:proofErr w:type="gramEnd"/>
      <w:r>
        <w:t xml:space="preserve"> we had to work with, an onion pie was the only dish that made sense.”</w:t>
      </w:r>
    </w:p>
    <w:p w14:paraId="2367E785" w14:textId="77777777" w:rsidR="002705EE" w:rsidRDefault="002705EE"/>
    <w:p w14:paraId="2367E786" w14:textId="77777777" w:rsidR="002705EE" w:rsidRDefault="00702B20">
      <w:r>
        <w:t xml:space="preserve">The food of memory, and the memory of food (or the lack of it), </w:t>
      </w:r>
      <w:proofErr w:type="spellStart"/>
      <w:r>
        <w:t>criss-crosses</w:t>
      </w:r>
      <w:proofErr w:type="spellEnd"/>
      <w:r>
        <w:t xml:space="preserve"> these disparate pieces. In the preface to his outstanding anthology of modern French poetry, Auster writes that 'the image of the starving writer serving his apprenticeship in Paris has become one of our enduring literary myths' – and a myth which he himself had a bite at. Fittingly, in one of the essays on other writers which form some of the best pieces in this absorbing book, Auster discusses Knut Hamsun's novel, Hunger ('a work in which nothing happens') alongside Kafka's The Hunger Artist</w:t>
      </w:r>
      <w:r>
        <w:t xml:space="preserve"> , and makes utterly compelling conclusions, drawing existential lessons from the works' starved minimalism.</w:t>
      </w:r>
    </w:p>
    <w:p w14:paraId="2367E787" w14:textId="77777777" w:rsidR="002705EE" w:rsidRDefault="002705EE"/>
    <w:p w14:paraId="2367E788" w14:textId="77777777" w:rsidR="002705EE" w:rsidRDefault="00702B20">
      <w:r>
        <w:t xml:space="preserve">In 'Hand to Mouth', the essay on youthful failure which Auster originally printed along with a large slice of juvenilia, we find him embarking on a picaresque series of jobs and encounters which feed his memory and satisfy his delight in chance encounters. Eventually, though, they lead to domestic failure and crushing poverty. As he writes of Hamsun's antihero: 'The process is inescapable; he must eat </w:t>
      </w:r>
      <w:proofErr w:type="gramStart"/>
      <w:r>
        <w:t>in order to</w:t>
      </w:r>
      <w:proofErr w:type="gramEnd"/>
      <w:r>
        <w:t xml:space="preserve"> write. But if he does not write, he will not eat. And if he cannot eat, he cannot write.'</w:t>
      </w:r>
    </w:p>
    <w:p w14:paraId="2367E789" w14:textId="77777777" w:rsidR="002705EE" w:rsidRDefault="002705EE"/>
    <w:p w14:paraId="2367E78A" w14:textId="77777777" w:rsidR="002705EE" w:rsidRDefault="00702B20">
      <w:r>
        <w:t>Hand to Mouth is a fine addition to the rich literature of literary poverty in which, as so often, patronage offers the only escape. Auster is also admirably sensitive to the marks that economic pressure can leave on the literature squeezed from its constraints. When he discusses other writers, he is tellingly attentive to their own struggles, their apparent failures, their eventual fates.</w:t>
      </w:r>
    </w:p>
    <w:p w14:paraId="2367E78B" w14:textId="77777777" w:rsidR="002705EE" w:rsidRDefault="002705EE"/>
    <w:p w14:paraId="2367E78C" w14:textId="77777777" w:rsidR="002705EE" w:rsidRDefault="00702B20">
      <w:r>
        <w:t>In Auster's work, as in some of the literature he most admires, there are two complementary impulses. The first is to starve the story, to remove from it certain details and perspectives, to prune it back to essentials, the sort of approach he admires in the poetry of du Bouchet, for instance ('Stripped of metaphor, almost devoid of imagery, and generated by a syntax of abrupt, paratactic brevity'), or Jacques Dupin ('Every advantage must be suppressed and every ruse discarded in the interests of reaching t</w:t>
      </w:r>
      <w:r>
        <w:t>his limit – an endless series of destructions, in order to come to a point at which the poem can no longer be destroyed').</w:t>
      </w:r>
    </w:p>
    <w:p w14:paraId="2367E78D" w14:textId="77777777" w:rsidR="002705EE" w:rsidRDefault="002705EE"/>
    <w:p w14:paraId="2367E78E" w14:textId="77777777" w:rsidR="002705EE" w:rsidRDefault="00702B20">
      <w:r>
        <w:t xml:space="preserve">The other impulse is, in effect, </w:t>
      </w:r>
      <w:proofErr w:type="gramStart"/>
      <w:r>
        <w:t>its</w:t>
      </w:r>
      <w:proofErr w:type="gramEnd"/>
      <w:r>
        <w:t xml:space="preserve"> opposite. It is the impulse outward, towards abundance: the preservation or reclamation of details. This motivates his enthusiasm for the work of Georges Perec, or the unusual hybrid forms of Edmond </w:t>
      </w:r>
      <w:proofErr w:type="spellStart"/>
      <w:r>
        <w:t>Jabès</w:t>
      </w:r>
      <w:proofErr w:type="spellEnd"/>
      <w:r>
        <w:t xml:space="preserve"> and Joseph Joubert. It shows itself, too, in an insightful essay on the great German poet, Paul Celan.</w:t>
      </w:r>
    </w:p>
    <w:p w14:paraId="2367E78F" w14:textId="77777777" w:rsidR="002705EE" w:rsidRDefault="002705EE"/>
    <w:p w14:paraId="2367E790" w14:textId="77777777" w:rsidR="002705EE" w:rsidRDefault="00702B20">
      <w:r>
        <w:t>“If Joyce's art was one of accumulation and expansion – a spiral whirling into infinity – Celan's poetry is continually collapsing into itself, negating its very premises, again and again arriving at zero_ one feels both a shrinking and an expansion (in the last poems), as if, by travelling to the inmost recesses of himself, Celan had somehow vanished, joining with the greater forces beyond him – and at the same time sinking more deeply into his isolation.”</w:t>
      </w:r>
    </w:p>
    <w:p w14:paraId="2367E791" w14:textId="77777777" w:rsidR="002705EE" w:rsidRDefault="002705EE"/>
    <w:p w14:paraId="2367E792" w14:textId="77777777" w:rsidR="002705EE" w:rsidRDefault="00702B20">
      <w:r>
        <w:t xml:space="preserve">This book opens with The Invention of Solitude, examples of how Auster's own practice has been touched by these </w:t>
      </w:r>
      <w:proofErr w:type="spellStart"/>
      <w:r>
        <w:t>preoccupations.It</w:t>
      </w:r>
      <w:proofErr w:type="spellEnd"/>
      <w:r>
        <w:t xml:space="preserve"> is a book of two parts. Portrait of an Invisible Man, the first, is a memoir for his father and a family mystery story. The second part, The Book of Memory begins, and ends, with a man sitting in a room facing a piece of paper on a desk and gradually builds up a whirling constellation of memories, stories, quotations and preoccupations on memory, loss, writing, the Holocaust, Auster's own Jewishness, fathers and sons, meaning, coincidence and time. It is a </w:t>
      </w:r>
      <w:proofErr w:type="gramStart"/>
      <w:r>
        <w:t>remarkable sustained</w:t>
      </w:r>
      <w:proofErr w:type="gramEnd"/>
      <w:r>
        <w:t xml:space="preserve"> piece of wri</w:t>
      </w:r>
      <w:r>
        <w:t>ting: beneath Auster's controlled tone – literary, cerebral – the passion and anguish are finely mediated.</w:t>
      </w:r>
    </w:p>
    <w:p w14:paraId="2367E793" w14:textId="77777777" w:rsidR="002705EE" w:rsidRDefault="002705EE"/>
    <w:p w14:paraId="2367E794" w14:textId="77777777" w:rsidR="002705EE" w:rsidRDefault="00702B20">
      <w:r>
        <w:t xml:space="preserve">Of Pierre Clastres, a French anthropologist who Auster has translated, he writes: 'His attention to detail is scrupulous and exacting; his ability to </w:t>
      </w:r>
      <w:proofErr w:type="spellStart"/>
      <w:r>
        <w:t>synthesise</w:t>
      </w:r>
      <w:proofErr w:type="spellEnd"/>
      <w:r>
        <w:t xml:space="preserve"> his thoughts into bold, coherent statements is often breath taking. He is that rare scholar who does not hesitate to write in the first person, and the result is not just a portrait of the people he is </w:t>
      </w:r>
      <w:proofErr w:type="gramStart"/>
      <w:r>
        <w:t>studying</w:t>
      </w:r>
      <w:proofErr w:type="gramEnd"/>
      <w:r>
        <w:t>, but a portrait of himself.'</w:t>
      </w:r>
    </w:p>
    <w:p w14:paraId="2367E795" w14:textId="77777777" w:rsidR="002705EE" w:rsidRDefault="002705EE"/>
    <w:p w14:paraId="2367E796" w14:textId="77777777" w:rsidR="002705EE" w:rsidRDefault="00702B20">
      <w:r>
        <w:t xml:space="preserve">As if proving its own conclusion, these lines could equally easily apply to Auster. His informed </w:t>
      </w:r>
      <w:proofErr w:type="gramStart"/>
      <w:r>
        <w:t>enthusiasms</w:t>
      </w:r>
      <w:proofErr w:type="gramEnd"/>
      <w:r>
        <w:t>, especially for European modernism and aspects of the avant-garde, make him a passionate, intelligent and stimulating commentator. He writes acutely about the dilemmas which inform serious artistic decisions. These hospitable, generous pieces make one want to go immediately to the writers he discusses.</w:t>
      </w:r>
    </w:p>
    <w:p w14:paraId="7B13CB05" w14:textId="77777777" w:rsidR="00242E1E" w:rsidRDefault="00242E1E"/>
    <w:sectPr w:rsidR="00242E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E8DA51C-A62D-48A4-8063-1673B3271EA2}"/>
  </w:font>
  <w:font w:name="Cambria">
    <w:panose1 w:val="02040503050406030204"/>
    <w:charset w:val="00"/>
    <w:family w:val="roman"/>
    <w:pitch w:val="variable"/>
    <w:sig w:usb0="E00006FF" w:usb1="420024FF" w:usb2="02000000" w:usb3="00000000" w:csb0="0000019F" w:csb1="00000000"/>
    <w:embedRegular r:id="rId2" w:fontKey="{C5ECA1A2-CFF7-43B0-8FF3-42EA56C565B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EE"/>
    <w:rsid w:val="00242E1E"/>
    <w:rsid w:val="002705EE"/>
    <w:rsid w:val="00525B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7E77E"/>
  <w15:docId w15:val="{2AACC962-A48A-4038-9149-A596D5312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2</cp:revision>
  <dcterms:created xsi:type="dcterms:W3CDTF">2026-07-31T14:33:00Z</dcterms:created>
  <dcterms:modified xsi:type="dcterms:W3CDTF">2026-07-31T14:35:00Z</dcterms:modified>
</cp:coreProperties>
</file>