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E4C6" w14:textId="77777777" w:rsidR="00435A12" w:rsidRDefault="00000000">
      <w:pPr>
        <w:pStyle w:val="Ttulo"/>
      </w:pPr>
      <w:r>
        <w:t>Documento de visión y alcance</w:t>
      </w:r>
    </w:p>
    <w:p w14:paraId="191A68D2" w14:textId="77777777" w:rsidR="00435A12" w:rsidRDefault="00000000">
      <w:r>
        <w:rPr>
          <w:b/>
        </w:rPr>
        <w:t xml:space="preserve">Criterio de verificación: </w:t>
      </w:r>
      <w:r>
        <w:t>se distingue entre evidencia de código, resultado ejecutado y actividad pendiente. La rama main examinada termina en 155aed9 (14-10-2026).</w:t>
      </w:r>
    </w:p>
    <w:p w14:paraId="25340FB7" w14:textId="77777777" w:rsidR="00435A12" w:rsidRDefault="00000000">
      <w:pPr>
        <w:pStyle w:val="Ttulo1"/>
      </w:pPr>
      <w:r>
        <w:t>Problema y oportunidad</w:t>
      </w:r>
    </w:p>
    <w:p w14:paraId="594BA7A3" w14:textId="77777777" w:rsidR="00435A12" w:rsidRDefault="00000000">
      <w:r>
        <w:t>Los lectores OBD-II exponen datos técnicos de difícil interpretación para conductores y personal de talleres. SmartOBD organiza capturas de la ECU para facilitar la lectura e interpretación preliminar, sin sustituir al profesional mecánico.</w:t>
      </w:r>
    </w:p>
    <w:p w14:paraId="466AEEFB" w14:textId="77777777" w:rsidR="00435A12" w:rsidRDefault="00000000">
      <w:r>
        <w:t>La Fase 1 priorizó la conexión ELM327, lectura VIN, detección de PIDs, visualización de parámetros y DTC. La Fase 2 incorpora además el flujo de trabajo del taller como ampliación del alcance.</w:t>
      </w:r>
    </w:p>
    <w:p w14:paraId="0F5EFA10" w14:textId="77777777" w:rsidR="00435A12" w:rsidRDefault="00000000">
      <w:pPr>
        <w:pStyle w:val="Ttulo1"/>
      </w:pPr>
      <w:r>
        <w:t>Usuarios y actores</w:t>
      </w:r>
    </w:p>
    <w:p w14:paraId="49ABFA59" w14:textId="77777777" w:rsidR="00435A12" w:rsidRDefault="00000000">
      <w:r>
        <w:t>Administrador: cuentas del personal y acceso a herramientas; la vista general de indicadores está rotulada expresamente como vista previa.</w:t>
      </w:r>
    </w:p>
    <w:p w14:paraId="65B00D8F" w14:textId="77777777" w:rsidR="00435A12" w:rsidRDefault="00000000">
      <w:r>
        <w:t>Recepción: alta de clientes y vehículos, creación de órdenes/casos, listado y seguimiento de ingresos, asignación de mecánico.</w:t>
      </w:r>
    </w:p>
    <w:p w14:paraId="2E051000" w14:textId="77777777" w:rsidR="00435A12" w:rsidRDefault="00000000">
      <w:r>
        <w:t>Mecánico: consulta de casos asignados, revisión diagnóstica, lecturas y almacenamiento de series de medición.</w:t>
      </w:r>
    </w:p>
    <w:p w14:paraId="13439CCE" w14:textId="77777777" w:rsidR="00435A12" w:rsidRDefault="00000000">
      <w:r>
        <w:t>Cliente: destinatario indirecto de explicaciones comprensibles; no se debe dar por confirmada una app/portal separado para cliente.</w:t>
      </w:r>
    </w:p>
    <w:p w14:paraId="23E34548" w14:textId="77777777" w:rsidR="00435A12" w:rsidRDefault="00000000">
      <w:pPr>
        <w:pStyle w:val="Ttulo1"/>
      </w:pPr>
      <w:r>
        <w:t>Objetivo general</w:t>
      </w:r>
    </w:p>
    <w:p w14:paraId="60E5A8B5" w14:textId="77777777" w:rsidR="00435A12" w:rsidRDefault="00000000">
      <w:r>
        <w:t>Diseñar e implementar una aplicación móvil Android conectada a un escáner ELM327 para adquirir e interpretar datos OBD-II y facilitar el seguimiento de casos de diagnóstico vehicular en un contexto de taller. El segundo segmento explicita la extensión del alcance observada en Fase 2.</w:t>
      </w:r>
    </w:p>
    <w:p w14:paraId="65860184" w14:textId="77777777" w:rsidR="00435A12" w:rsidRDefault="00000000">
      <w:pPr>
        <w:pStyle w:val="Ttulo1"/>
      </w:pPr>
      <w:r>
        <w:t>Objetivos específicos de referencia</w:t>
      </w:r>
    </w:p>
    <w:p w14:paraId="60F51605" w14:textId="77777777" w:rsidR="00435A12" w:rsidRDefault="00000000">
      <w:r>
        <w:t>OE1: búsqueda, selección y conexión de escáner OBD-II. OE2: lectura de VIN y detección de PIDs compatibles. OE3: lectura y gráficos de parámetros. OE4: lectura e interpretación de DTC. OE5: arquitectura modular. OE6: validación automatizada y en vehículo.</w:t>
      </w:r>
    </w:p>
    <w:p w14:paraId="355A9B54" w14:textId="77777777" w:rsidR="00435A12" w:rsidRDefault="00000000">
      <w:pPr>
        <w:pStyle w:val="Ttulo1"/>
      </w:pPr>
      <w:r>
        <w:t>Límites y exclusiones</w:t>
      </w:r>
    </w:p>
    <w:p w14:paraId="7005B35D" w14:textId="77777777" w:rsidR="00435A12" w:rsidRDefault="00000000">
      <w:r>
        <w:t>No atribuir un diagnóstico definitivo de falla ni la sustitución del criterio mecánico a la aplicación.</w:t>
      </w:r>
    </w:p>
    <w:p w14:paraId="25BEEC6D" w14:textId="77777777" w:rsidR="00435A12" w:rsidRDefault="00000000">
      <w:r>
        <w:t>No declarar la creación de órdenes, registros de Supabase o el chatbot como validados end-to-end sin pruebas reproducibles.</w:t>
      </w:r>
    </w:p>
    <w:p w14:paraId="2880CBF8" w14:textId="77777777" w:rsidR="00435A12" w:rsidRDefault="00000000">
      <w:r>
        <w:t>No confundir migraciones versionadas con esquemas efectivamente desplegados.</w:t>
      </w:r>
    </w:p>
    <w:p w14:paraId="701DAFAC" w14:textId="77777777" w:rsidR="00435A12" w:rsidRDefault="00000000">
      <w:pPr>
        <w:pStyle w:val="Ttulo1"/>
      </w:pPr>
      <w:r>
        <w:t>Criterios de aceptación propuestos</w:t>
      </w:r>
    </w:p>
    <w:p w14:paraId="3DE95DBC" w14:textId="77777777" w:rsidR="00435A12" w:rsidRDefault="00000000">
      <w:r>
        <w:t>Un usuario autorizado puede iniciar sesión y visualizar la pantalla apropiada a su perfil.</w:t>
      </w:r>
    </w:p>
    <w:p w14:paraId="3CBDBFB4" w14:textId="77777777" w:rsidR="00435A12" w:rsidRDefault="00000000">
      <w:r>
        <w:t>Una orden se asocia a cliente y vehículo y sigue estados controlados.</w:t>
      </w:r>
    </w:p>
    <w:p w14:paraId="56701E07" w14:textId="77777777" w:rsidR="00435A12" w:rsidRDefault="00000000">
      <w:r>
        <w:lastRenderedPageBreak/>
        <w:t>El escáner entrega datos válidos en un vehículo real y el sistema informa los errores de comunicación.</w:t>
      </w:r>
    </w:p>
    <w:p w14:paraId="263CD0E1" w14:textId="77777777" w:rsidR="00435A12" w:rsidRDefault="00000000">
      <w:r>
        <w:t>Las mediciones guardadas pueden recuperarse por personal autorizado; se conserva evidencia de permisos.</w:t>
      </w:r>
    </w:p>
    <w:p w14:paraId="06261585" w14:textId="77777777" w:rsidR="00435A12" w:rsidRDefault="00000000">
      <w:pPr>
        <w:pStyle w:val="Ttulo1"/>
      </w:pPr>
      <w:r>
        <w:t>Fuentes y alcance</w:t>
      </w:r>
    </w:p>
    <w:p w14:paraId="67B295AE" w14:textId="77777777" w:rsidR="00435A12" w:rsidRDefault="00000000">
      <w:r>
        <w:t>Repositorio: https://github.com/roberts0n/Capstone-SmartOBD . Las referencias a archivos prueban existencia de implementación, no certifican ejecución satisfactoria, calidad o despliegue en producción.</w:t>
      </w:r>
    </w:p>
    <w:sectPr w:rsidR="00435A12" w:rsidSect="00034616">
      <w:headerReference w:type="default" r:id="rId8"/>
      <w:footerReference w:type="default" r:id="rId9"/>
      <w:pgSz w:w="12240" w:h="15840"/>
      <w:pgMar w:top="1224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F94B6" w14:textId="77777777" w:rsidR="00727C10" w:rsidRDefault="00727C10">
      <w:pPr>
        <w:spacing w:after="0" w:line="240" w:lineRule="auto"/>
      </w:pPr>
      <w:r>
        <w:separator/>
      </w:r>
    </w:p>
  </w:endnote>
  <w:endnote w:type="continuationSeparator" w:id="0">
    <w:p w14:paraId="20FC696F" w14:textId="77777777" w:rsidR="00727C10" w:rsidRDefault="00727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5689" w14:textId="77777777" w:rsidR="00435A12" w:rsidRDefault="00000000">
    <w:pPr>
      <w:pStyle w:val="Piedepgina"/>
      <w:jc w:val="center"/>
    </w:pPr>
    <w:r>
      <w:rPr>
        <w:color w:val="213A63"/>
        <w:sz w:val="16"/>
      </w:rPr>
      <w:t>SmartOBD  ·  Capstone APT  ·  Fase 2  |  Evidencia documental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265E" w14:textId="77777777" w:rsidR="00727C10" w:rsidRDefault="00727C10">
      <w:pPr>
        <w:spacing w:after="0" w:line="240" w:lineRule="auto"/>
      </w:pPr>
      <w:r>
        <w:separator/>
      </w:r>
    </w:p>
  </w:footnote>
  <w:footnote w:type="continuationSeparator" w:id="0">
    <w:p w14:paraId="1F6E9341" w14:textId="77777777" w:rsidR="00727C10" w:rsidRDefault="00727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0773" w14:textId="77777777" w:rsidR="00435A12" w:rsidRDefault="00000000">
    <w:pPr>
      <w:pStyle w:val="Encabezado"/>
      <w:jc w:val="right"/>
    </w:pPr>
    <w:r>
      <w:rPr>
        <w:b/>
        <w:color w:val="213A63"/>
        <w:sz w:val="16"/>
      </w:rPr>
      <w:t>DUOC UC  |  ESCUELA DE INFORMÁTICA Y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567833">
    <w:abstractNumId w:val="8"/>
  </w:num>
  <w:num w:numId="2" w16cid:durableId="1971010731">
    <w:abstractNumId w:val="6"/>
  </w:num>
  <w:num w:numId="3" w16cid:durableId="1473866754">
    <w:abstractNumId w:val="5"/>
  </w:num>
  <w:num w:numId="4" w16cid:durableId="1195196101">
    <w:abstractNumId w:val="4"/>
  </w:num>
  <w:num w:numId="5" w16cid:durableId="102190843">
    <w:abstractNumId w:val="7"/>
  </w:num>
  <w:num w:numId="6" w16cid:durableId="978652983">
    <w:abstractNumId w:val="3"/>
  </w:num>
  <w:num w:numId="7" w16cid:durableId="1300455276">
    <w:abstractNumId w:val="2"/>
  </w:num>
  <w:num w:numId="8" w16cid:durableId="1824740356">
    <w:abstractNumId w:val="1"/>
  </w:num>
  <w:num w:numId="9" w16cid:durableId="156980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A12"/>
    <w:rsid w:val="0069684B"/>
    <w:rsid w:val="00727C10"/>
    <w:rsid w:val="00AA1D8D"/>
    <w:rsid w:val="00B47730"/>
    <w:rsid w:val="00C87664"/>
    <w:rsid w:val="00CB0664"/>
    <w:rsid w:val="00EC71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AB14A"/>
  <w14:defaultImageDpi w14:val="300"/>
  <w15:docId w15:val="{DFA0164B-3275-4F47-A926-A5E869F17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3239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213A63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13A63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213A63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iribarren</cp:lastModifiedBy>
  <cp:revision>3</cp:revision>
  <dcterms:created xsi:type="dcterms:W3CDTF">2013-12-23T23:15:00Z</dcterms:created>
  <dcterms:modified xsi:type="dcterms:W3CDTF">2026-10-19T20:11:00Z</dcterms:modified>
  <cp:category/>
</cp:coreProperties>
</file>