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18.7734927294673"/>
        <w:gridCol w:w="3449.270155099226"/>
        <w:gridCol w:w="1134.0710878293498"/>
        <w:gridCol w:w="3223.3970753655794"/>
        <w:tblGridChange w:id="0">
          <w:tblGrid>
            <w:gridCol w:w="1218.7734927294673"/>
            <w:gridCol w:w="3449.270155099226"/>
            <w:gridCol w:w="1134.0710878293498"/>
            <w:gridCol w:w="3223.39707536557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Método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/api/solicitudes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crear una nueva solicitud seleccionando un servicio o trámite disponible.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/api/solicitudes/{id}/adjuntos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adjuntar los documentos requeridos a una solicitud.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/api/solicitudes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consultar el registro de solicitudes realizadas por el solicitante.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/api/solicitudes/{id}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consultar el detalle completo de una solicitud, incluyendo adjuntos e historial.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/api/solicitudes/{id}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anular una solicitud siempre que no haya sido procesada o aprobada.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/api/solicitudes/{id}/incidencia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reportar un error o incidencia durante el proceso de solicitud.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/api/solicitudes/reportes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generar reportes de solicitudes según criterios definidos.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/api/solicitudes/{id}/sla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visualizar el estado y cumplimiento del SLA de una solicitud.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