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novationsprojekt-mit-umsetzungspartner"/>
    <w:p>
      <w:pPr>
        <w:pStyle w:val="Heading1"/>
      </w:pPr>
      <w:r>
        <w:t xml:space="preserve">Innovationsprojekt mit Umsetzungspartner</w:t>
      </w:r>
    </w:p>
    <w:p>
      <w:pPr>
        <w:pStyle w:val="FirstParagraph"/>
      </w:pPr>
      <w:r>
        <w:rPr>
          <w:b/>
          <w:bCs/>
        </w:rPr>
        <w:t xml:space="preserve">Projekttitel:</w:t>
      </w:r>
      <w:r>
        <w:t xml:space="preserve"> </w:t>
      </w:r>
      <w:r>
        <w:rPr>
          <w:b/>
          <w:bCs/>
        </w:rPr>
        <w:t xml:space="preserve">LiveCheck: Evidenzbasierte Echtzeit-Faktenprüfung für Audio- und Video-Inhalte</w:t>
      </w:r>
      <w:r>
        <w:t xml:space="preserve"> </w:t>
      </w:r>
      <w:r>
        <w:rPr>
          <w:i/>
          <w:iCs/>
        </w:rPr>
        <w:t xml:space="preserve">LiveCheck: Evidence-Based Real-Time Fact-Checking for Audio and Video Streams</w:t>
      </w:r>
    </w:p>
    <w:p>
      <w:pPr>
        <w:pStyle w:val="BodyText"/>
      </w:pPr>
      <w:r>
        <w:rPr>
          <w:b/>
          <w:bCs/>
        </w:rPr>
        <w:t xml:space="preserve">Umsetzungspartner:</w:t>
      </w:r>
      <w:r>
        <w:t xml:space="preserve"> </w:t>
      </w:r>
      <w:r>
        <w:t xml:space="preserve">FactHarbor Verein, Zürich</w:t>
      </w:r>
      <w:r>
        <w:t xml:space="preserve"> </w:t>
      </w:r>
      <w:r>
        <w:rPr>
          <w:b/>
          <w:bCs/>
        </w:rPr>
        <w:t xml:space="preserve">Forschungspartner:</w:t>
      </w:r>
      <w:r>
        <w:t xml:space="preserve"> </w:t>
      </w:r>
      <w:r>
        <w:t xml:space="preserve">Universität Zürich, Department of Finance, Gruppe Prof. Markus Leippold</w:t>
      </w:r>
      <w:r>
        <w:t xml:space="preserve"> </w:t>
      </w:r>
      <w:r>
        <w:rPr>
          <w:b/>
          <w:bCs/>
        </w:rPr>
        <w:t xml:space="preserve">Projektdauer:</w:t>
      </w:r>
      <w:r>
        <w:t xml:space="preserve"> </w:t>
      </w:r>
      <w:r>
        <w:t xml:space="preserve">24 Monate</w:t>
      </w:r>
      <w:r>
        <w:t xml:space="preserve"> </w:t>
      </w:r>
      <w:r>
        <w:rPr>
          <w:b/>
          <w:bCs/>
        </w:rPr>
        <w:t xml:space="preserve">Gesamtbudget:</w:t>
      </w:r>
      <w:r>
        <w:t xml:space="preserve"> </w:t>
      </w:r>
      <w:r>
        <w:t xml:space="preserve">CHF 485’750</w:t>
      </w:r>
    </w:p>
    <w:p>
      <w:r>
        <w:pict>
          <v:rect style="width:0;height:1.5pt" o:hralign="center" o:hrstd="t" o:hr="t"/>
        </w:pict>
      </w:r>
    </w:p>
    <w:bookmarkStart w:id="9" w:name="kurzbeschreibung"/>
    <w:p>
      <w:pPr>
        <w:pStyle w:val="Heading2"/>
      </w:pPr>
      <w:r>
        <w:t xml:space="preserve">1. Kurzbeschreibung</w:t>
      </w:r>
    </w:p>
    <w:p>
      <w:pPr>
        <w:pStyle w:val="FirstParagraph"/>
      </w:pPr>
      <w:r>
        <w:t xml:space="preserve">Ziel des Projekts ist die Entwicklung eines produktnahen Systems zur echtzeitnahen, evidenzbasierten Faktenprüfung von Audio- und Video-Inhalten. Das System zerlegt laufende Inhalte aus Livestreams, Debatten, Interviews, Podcasts und Videos in verifizierbare Aussagen, recherchiert relevante Evidenz unter harten Zeitbudgets, bewertet die Qualität dieser Evidenz mittels kalibrierter Mechanismen und erzeugt vorläufige, transparent begründete und attribuierte Verifikationssignale mit expliziter Unsicherheitskommunikation.</w:t>
      </w:r>
    </w:p>
    <w:p>
      <w:pPr>
        <w:pStyle w:val="BodyText"/>
      </w:pPr>
      <w:r>
        <w:t xml:space="preserve">Das Projekt baut auf der bestehenden FactHarbor-Plattform auf — einem funktionsfähigen, evidenzbasierten Faktenprüfungssystem (TRL 5-6) mit 1199 bestandenen Tests, einer 5-Schritt-LLM-Debattenarchitektur, 7 integrierten Suchmaschinen und über 200 konfigurierbaren Parametern. LiveCheck erweitert diese bewährte Architektur auf den grundlegend neuen Anwendungsbereich der Echtzeit-Audio-/Video-Verarbeitung (TRL 3→6).</w:t>
      </w:r>
    </w:p>
    <w:p>
      <w:pPr>
        <w:pStyle w:val="BodyText"/>
      </w:pPr>
      <w:r>
        <w:t xml:space="preserve">Bestehende Systeme sind entweder schnell aber flach (LiveFC: binäre Urteile ohne Evidenzqualitätsbewertung; Factiverse: ~80% Genauigkeit ohne publiziertes Evidenz-Framework) oder tief aber langsam (CLIMINATOR: 96% Genauigkeit, nur Batch-Modus). Kein existierendes System kombiniert Echtzeitfähigkeit mit evidenzbasierter Attribution, kalibrierter Unsicherheit und Human-in-the-Loop-Eskalation (Vykopal et al. 2024; Guo et al. 2022). Das Projekt adressiert sieben dokumentierte Forschungslücken und stellt gleichzeitig ein Innovationsprojekt mit klarer Verwertungsperspektive dar.</w:t>
      </w:r>
    </w:p>
    <w:p>
      <w:r>
        <w:pict>
          <v:rect style="width:0;height:1.5pt" o:hralign="center" o:hrstd="t" o:hr="t"/>
        </w:pict>
      </w:r>
    </w:p>
    <w:bookmarkEnd w:id="9"/>
    <w:bookmarkStart w:id="18" w:name="die-innovative-lösung"/>
    <w:p>
      <w:pPr>
        <w:pStyle w:val="Heading2"/>
      </w:pPr>
      <w:r>
        <w:t xml:space="preserve">2. Die innovative Lösung</w:t>
      </w:r>
    </w:p>
    <w:bookmarkStart w:id="10" w:name="innovative-aspekte"/>
    <w:p>
      <w:pPr>
        <w:pStyle w:val="Heading3"/>
      </w:pPr>
      <w:r>
        <w:t xml:space="preserve">2.1 Innovative Aspekte</w:t>
      </w:r>
    </w:p>
    <w:p>
      <w:pPr>
        <w:pStyle w:val="FirstParagraph"/>
      </w:pPr>
      <w:r>
        <w:t xml:space="preserve">Der innovative Kern liegt in einer integrierten Systemarchitektur für evidenzbasierte Live-Faktenprüfung, die sieben technisch-wissenschaftliche Problemfelder erstmals zusammenführt:</w:t>
      </w:r>
    </w:p>
    <w:p>
      <w:pPr>
        <w:pStyle w:val="BodyText"/>
      </w:pPr>
      <w:r>
        <w:rPr>
          <w:b/>
          <w:bCs/>
        </w:rPr>
        <w:t xml:space="preserve">1. Streaming Claim Detection</w:t>
      </w:r>
      <w:r>
        <w:t xml:space="preserve"> </w:t>
      </w:r>
      <w:r>
        <w:t xml:space="preserve">Fortlaufende Erkennung verifizierbarer Aussagen in laufenden Audio-/Video-Streams mit Rolling-Window-Segmentierung, Sprecherdiarisierung und Incomplete-Utterance-Handling. Bisherige Systeme (ClaimBuster, CLEF CheckThat!) operieren auf vollständigen Sätzen/Dokumenten (Hassan et al. 2017; Barron-Cedeño et al. 2024).</w:t>
      </w:r>
    </w:p>
    <w:p>
      <w:pPr>
        <w:pStyle w:val="BodyText"/>
      </w:pPr>
      <w:r>
        <w:rPr>
          <w:b/>
          <w:bCs/>
        </w:rPr>
        <w:t xml:space="preserve">2. Low-Latency Evidence Retrieval mit Zeitbudgets</w:t>
      </w:r>
      <w:r>
        <w:t xml:space="preserve"> </w:t>
      </w:r>
      <w:r>
        <w:t xml:space="preserve">Evidenzsuche unter harten Zeitbudgets (Ziel: &lt;15 Sekunden), die das bestmögliche Ergebnis innerhalb der Latenzgrenze liefert. FIRE (Xie et al., NAACL 2025) demonstriert iterative, konfidenzbasierte Retrieval mit 7.6× Kostenreduktion, operiert aber auf statischen Claims.</w:t>
      </w:r>
    </w:p>
    <w:p>
      <w:pPr>
        <w:pStyle w:val="BodyText"/>
      </w:pPr>
      <w:r>
        <w:rPr>
          <w:b/>
          <w:bCs/>
        </w:rPr>
        <w:t xml:space="preserve">3. Attribuierbare Live-Verifikation</w:t>
      </w:r>
      <w:r>
        <w:t xml:space="preserve"> </w:t>
      </w:r>
      <w:r>
        <w:t xml:space="preserve">Jede vorläufige Einschätzung ist auf konkrete Quellen und Evidenzfragmente zurückführbar. Warren et al. (CHI 2025) zeigen in Interviews mit Faktenprüfern, dass Replizierbarkeit — Links zu Quellen und Daten — die wichtigste Anforderung an automatisierte Systeme ist.</w:t>
      </w:r>
    </w:p>
    <w:p>
      <w:pPr>
        <w:pStyle w:val="BodyText"/>
      </w:pPr>
      <w:r>
        <w:rPr>
          <w:b/>
          <w:bCs/>
        </w:rPr>
        <w:t xml:space="preserve">4. Uncertainty-Aware Output mit konfidenzbasierter Kalibrierung</w:t>
      </w:r>
      <w:r>
        <w:t xml:space="preserve"> </w:t>
      </w:r>
      <w:r>
        <w:t xml:space="preserve">Live-Ausgaben mit expliziter, kalibrierter Unsicherheitskommunikation statt falsch präziser Soforturteile. FactHarbors bestehende Konfidenz-Kalibrierung (Density Anchor, Band Snapping, Verdict Coupling, Context Consistency) wird auf Streaming-Anforderungen erweitert. Konforme Vorhersage für NLP ist als theoretischer Rahmen etabliert (TACL 2024 Survey), wurde aber nie auf Streaming-Predictions angewendet.</w:t>
      </w:r>
    </w:p>
    <w:p>
      <w:pPr>
        <w:pStyle w:val="BodyText"/>
      </w:pPr>
      <w:r>
        <w:rPr>
          <w:b/>
          <w:bCs/>
        </w:rPr>
        <w:t xml:space="preserve">5. Human-in-the-Loop-Eskalation in Echtzeit</w:t>
      </w:r>
      <w:r>
        <w:t xml:space="preserve"> </w:t>
      </w:r>
      <w:r>
        <w:t xml:space="preserve">Automatisierte Vorselektion und Priorisierung mit bewusst eingebautem Übergang zur menschlichen Überprüfung unter Latenzrestriktionen. Full Fact AI unterstützt 40+ Organisationen (333’000 Sätze/Tag), arbeitet aber asynchron. LiveCheck entwickelt eine Echtzeit-Triage.</w:t>
      </w:r>
    </w:p>
    <w:p>
      <w:pPr>
        <w:pStyle w:val="BodyText"/>
      </w:pPr>
      <w:r>
        <w:rPr>
          <w:b/>
          <w:bCs/>
        </w:rPr>
        <w:t xml:space="preserve">6. Multi-Agenten-Debatte unter Zeitrestriktionen</w:t>
      </w:r>
      <w:r>
        <w:t xml:space="preserve"> </w:t>
      </w:r>
      <w:r>
        <w:t xml:space="preserve">FactHarbors bewährte 5-Schritt-Debattenarchitektur (Advocate → Self-Consistency → Challenger → Reconciler → Validation) mit Cross-Provider-Rollenzuweisung (Stammbach &amp; Ash 2024). Bestehende Debatten-Frameworks (CLIMINATOR, Tool-MAD, DebateCV) operieren ohne Zeitrestriktionen. Die Adaption auf Echtzeit ist wissenschaftlich unerforscht.</w:t>
      </w:r>
    </w:p>
    <w:p>
      <w:pPr>
        <w:pStyle w:val="BodyText"/>
      </w:pPr>
      <w:r>
        <w:rPr>
          <w:b/>
          <w:bCs/>
        </w:rPr>
        <w:t xml:space="preserve">7. Produktionsnahe Evaluationsschicht</w:t>
      </w:r>
      <w:r>
        <w:t xml:space="preserve"> </w:t>
      </w:r>
      <w:r>
        <w:t xml:space="preserve">Systematische Messung von Latenz, Präzision, Recall, Attributionsqualität, Stabilität und Fehlertypen. Kein standardisierter Benchmark für Live-Faktenprüfung existiert. LiveCheck wird einen solchen Benchmark als wissenschaftlichen Beitrag entwickeln.</w:t>
      </w:r>
    </w:p>
    <w:bookmarkEnd w:id="10"/>
    <w:bookmarkStart w:id="13" w:name="X87811b37dcd998b954e612bbcf61aebd8716e57"/>
    <w:p>
      <w:pPr>
        <w:pStyle w:val="Heading3"/>
      </w:pPr>
      <w:r>
        <w:t xml:space="preserve">2.2 Erweiterung des Stands von Wissenschaft und Technik</w:t>
      </w:r>
    </w:p>
    <w:bookmarkStart w:id="11" w:name="forschungslandschaft"/>
    <w:p>
      <w:pPr>
        <w:pStyle w:val="Heading4"/>
      </w:pPr>
      <w:r>
        <w:t xml:space="preserve">Forschungslandschaft</w:t>
      </w:r>
    </w:p>
    <w:p>
      <w:pPr>
        <w:pStyle w:val="FirstParagraph"/>
      </w:pPr>
      <w:r>
        <w:t xml:space="preserve">Automated Fact-Checking hat sich als eigenständiges NLP-Forschungsfeld mit einem kanonischen Pipeline-Modell etabliert: Claim Detection → Evidence Retrieval → Verdict Prediction → Justification Production (Guo et al. 2022). Drei Entwicklungsrichtungen prägen die aktuelle Forschung:</w:t>
      </w:r>
    </w:p>
    <w:p>
      <w:pPr>
        <w:pStyle w:val="BodyText"/>
      </w:pPr>
      <w:r>
        <w:rPr>
          <w:b/>
          <w:bCs/>
        </w:rPr>
        <w:t xml:space="preserve">Multi-Agenten-Debatte:</w:t>
      </w:r>
      <w:r>
        <w:t xml:space="preserve"> </w:t>
      </w:r>
      <w:r>
        <w:t xml:space="preserve">CLIMINATOR (Leippold et al., npj Climate Action 2025) erreicht 96% Genauigkeit mit einem Mediator-Advocate-Framework. Tool-MAD (2026) führt werkzeugdiversifizierte Agenten ein (5.5% Verbesserung). DebateCV (2025) erreicht 83.4% Genauigkeit. Alle Systeme operieren im Batch-Modus ohne Zeitrestriktionen.</w:t>
      </w:r>
    </w:p>
    <w:p>
      <w:pPr>
        <w:pStyle w:val="BodyText"/>
      </w:pPr>
      <w:r>
        <w:rPr>
          <w:b/>
          <w:bCs/>
        </w:rPr>
        <w:t xml:space="preserve">Evidenz-Retrieval:</w:t>
      </w:r>
      <w:r>
        <w:t xml:space="preserve"> </w:t>
      </w:r>
      <w:r>
        <w:t xml:space="preserve">FIRE (Xie et al., NAACL 2025) demonstriert iterative, konfidenzbasierte Suche mit 7.6× Kosten- und 16.5× Suchkostenreduktion. DIRAS (Schimanski et al., NAACL 2025) zeigt, dass ein 8B-Modell via Wissensdistillation GPT-4-Niveau erreicht. Kein System adressiert zeitbudgetierte Retrieval in Echtzeit.</w:t>
      </w:r>
    </w:p>
    <w:p>
      <w:pPr>
        <w:pStyle w:val="BodyText"/>
      </w:pPr>
      <w:r>
        <w:rPr>
          <w:b/>
          <w:bCs/>
        </w:rPr>
        <w:t xml:space="preserve">Live-Faktenprüfung:</w:t>
      </w:r>
      <w:r>
        <w:t xml:space="preserve"> </w:t>
      </w:r>
      <w:r>
        <w:t xml:space="preserve">LiveFC (Venktesh &amp; Setty, WSDM 2025) ist das einzige publizierte End-to-End-System (83.9% F1). Factiverse verfolgte 1’123 Aussagen in Echtzeit während der US-Debatten 2024.</w:t>
      </w:r>
    </w:p>
    <w:bookmarkEnd w:id="11"/>
    <w:bookmarkStart w:id="12" w:name="limitationen-bestehender-live-systeme"/>
    <w:p>
      <w:pPr>
        <w:pStyle w:val="Heading4"/>
      </w:pPr>
      <w:r>
        <w:t xml:space="preserve">Limitationen bestehender Live-Systeme</w:t>
      </w:r>
    </w:p>
    <w:tbl>
      <w:tblPr>
        <w:tblStyle w:val="Table"/>
        <w:tblW w:type="pct" w:w="5000"/>
        <w:tblLayout w:type="fixed"/>
        <w:tblLook w:firstRow="1" w:lastRow="0" w:firstColumn="0" w:lastColumn="0" w:noHBand="0" w:noVBand="0" w:val="0020"/>
      </w:tblPr>
      <w:tblGrid>
        <w:gridCol w:w="802"/>
        <w:gridCol w:w="1444"/>
        <w:gridCol w:w="1819"/>
        <w:gridCol w:w="1444"/>
        <w:gridCol w:w="1337"/>
        <w:gridCol w:w="1070"/>
      </w:tblGrid>
      <w:tr>
        <w:trPr>
          <w:tblHeader w:val="on"/>
        </w:trPr>
        <w:tc>
          <w:tcPr/>
          <w:p>
            <w:pPr>
              <w:pStyle w:val="Compact"/>
            </w:pPr>
            <w:r>
              <w:t xml:space="preserve">System</w:t>
            </w:r>
          </w:p>
        </w:tc>
        <w:tc>
          <w:tcPr/>
          <w:p>
            <w:pPr>
              <w:pStyle w:val="Compact"/>
            </w:pPr>
            <w:r>
              <w:t xml:space="preserve">Evidenztiefe</w:t>
            </w:r>
          </w:p>
        </w:tc>
        <w:tc>
          <w:tcPr/>
          <w:p>
            <w:pPr>
              <w:pStyle w:val="Compact"/>
            </w:pPr>
            <w:r>
              <w:t xml:space="preserve">Attribution</w:t>
            </w:r>
          </w:p>
        </w:tc>
        <w:tc>
          <w:tcPr/>
          <w:p>
            <w:pPr>
              <w:pStyle w:val="Compact"/>
            </w:pPr>
            <w:r>
              <w:t xml:space="preserve">Unsicherheit</w:t>
            </w:r>
          </w:p>
        </w:tc>
        <w:tc>
          <w:tcPr/>
          <w:p>
            <w:pPr>
              <w:pStyle w:val="Compact"/>
            </w:pPr>
            <w:r>
              <w:t xml:space="preserve">Human-in-Loop</w:t>
            </w:r>
          </w:p>
        </w:tc>
        <w:tc>
          <w:tcPr/>
          <w:p>
            <w:pPr>
              <w:pStyle w:val="Compact"/>
            </w:pPr>
            <w:r>
              <w:t xml:space="preserve">Granularität</w:t>
            </w:r>
          </w:p>
        </w:tc>
      </w:tr>
      <w:tr>
        <w:tc>
          <w:tcPr/>
          <w:p>
            <w:pPr>
              <w:pStyle w:val="Compact"/>
            </w:pPr>
            <w:r>
              <w:t xml:space="preserve">LiveFC</w:t>
            </w:r>
          </w:p>
        </w:tc>
        <w:tc>
          <w:tcPr/>
          <w:p>
            <w:pPr>
              <w:pStyle w:val="Compact"/>
            </w:pPr>
            <w:r>
              <w:t xml:space="preserve">NLI-Klassifikation</w:t>
            </w:r>
          </w:p>
        </w:tc>
        <w:tc>
          <w:tcPr/>
          <w:p>
            <w:pPr>
              <w:pStyle w:val="Compact"/>
            </w:pPr>
            <w:r>
              <w:t xml:space="preserve">Keine</w:t>
            </w:r>
          </w:p>
        </w:tc>
        <w:tc>
          <w:tcPr/>
          <w:p>
            <w:pPr>
              <w:pStyle w:val="Compact"/>
            </w:pPr>
            <w:r>
              <w:t xml:space="preserve">Keine</w:t>
            </w:r>
          </w:p>
        </w:tc>
        <w:tc>
          <w:tcPr/>
          <w:p>
            <w:pPr>
              <w:pStyle w:val="Compact"/>
            </w:pPr>
            <w:r>
              <w:t xml:space="preserve">Keine</w:t>
            </w:r>
          </w:p>
        </w:tc>
        <w:tc>
          <w:tcPr/>
          <w:p>
            <w:pPr>
              <w:pStyle w:val="Compact"/>
            </w:pPr>
            <w:r>
              <w:t xml:space="preserve">Binär</w:t>
            </w:r>
          </w:p>
        </w:tc>
      </w:tr>
      <w:tr>
        <w:tc>
          <w:tcPr/>
          <w:p>
            <w:pPr>
              <w:pStyle w:val="Compact"/>
            </w:pPr>
            <w:r>
              <w:t xml:space="preserve">Factiverse</w:t>
            </w:r>
          </w:p>
        </w:tc>
        <w:tc>
          <w:tcPr/>
          <w:p>
            <w:pPr>
              <w:pStyle w:val="Compact"/>
            </w:pPr>
            <w:r>
              <w:t xml:space="preserve">Web-Ranking</w:t>
            </w:r>
          </w:p>
        </w:tc>
        <w:tc>
          <w:tcPr/>
          <w:p>
            <w:pPr>
              <w:pStyle w:val="Compact"/>
            </w:pPr>
            <w:r>
              <w:t xml:space="preserve">Nicht publiziert</w:t>
            </w:r>
          </w:p>
        </w:tc>
        <w:tc>
          <w:tcPr/>
          <w:p>
            <w:pPr>
              <w:pStyle w:val="Compact"/>
            </w:pPr>
            <w:r>
              <w:t xml:space="preserve">Nicht publiziert</w:t>
            </w:r>
          </w:p>
        </w:tc>
        <w:tc>
          <w:tcPr/>
          <w:p>
            <w:pPr>
              <w:pStyle w:val="Compact"/>
            </w:pPr>
            <w:r>
              <w:t xml:space="preserve">Via Faktisk (async)</w:t>
            </w:r>
          </w:p>
        </w:tc>
        <w:tc>
          <w:tcPr/>
          <w:p>
            <w:pPr>
              <w:pStyle w:val="Compact"/>
            </w:pPr>
            <w:r>
              <w:t xml:space="preserve">~80% Genauigkeit</w:t>
            </w:r>
          </w:p>
        </w:tc>
      </w:tr>
      <w:tr>
        <w:tc>
          <w:tcPr/>
          <w:p>
            <w:pPr>
              <w:pStyle w:val="Compact"/>
            </w:pPr>
            <w:r>
              <w:t xml:space="preserve">ClaimBuster</w:t>
            </w:r>
          </w:p>
        </w:tc>
        <w:tc>
          <w:tcPr/>
          <w:p>
            <w:pPr>
              <w:pStyle w:val="Compact"/>
            </w:pPr>
            <w:r>
              <w:t xml:space="preserve">Keine (nur Detection)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3-Klassen-Score</w:t>
            </w:r>
          </w:p>
        </w:tc>
      </w:tr>
      <w:tr>
        <w:tc>
          <w:tcPr/>
          <w:p>
            <w:pPr>
              <w:pStyle w:val="Compact"/>
            </w:pPr>
            <w:r>
              <w:rPr>
                <w:b/>
                <w:bCs/>
              </w:rPr>
              <w:t xml:space="preserve">LiveCheck</w:t>
            </w:r>
          </w:p>
        </w:tc>
        <w:tc>
          <w:tcPr/>
          <w:p>
            <w:pPr>
              <w:pStyle w:val="Compact"/>
            </w:pPr>
            <w:r>
              <w:rPr>
                <w:b/>
                <w:bCs/>
              </w:rPr>
              <w:t xml:space="preserve">Multi-Agenten-Debatte</w:t>
            </w:r>
          </w:p>
        </w:tc>
        <w:tc>
          <w:tcPr/>
          <w:p>
            <w:pPr>
              <w:pStyle w:val="Compact"/>
            </w:pPr>
            <w:r>
              <w:rPr>
                <w:b/>
                <w:bCs/>
              </w:rPr>
              <w:t xml:space="preserve">Explizite Quellenattribution</w:t>
            </w:r>
          </w:p>
        </w:tc>
        <w:tc>
          <w:tcPr/>
          <w:p>
            <w:pPr>
              <w:pStyle w:val="Compact"/>
            </w:pPr>
            <w:r>
              <w:rPr>
                <w:b/>
                <w:bCs/>
              </w:rPr>
              <w:t xml:space="preserve">Kalibrierte Konfidenz</w:t>
            </w:r>
          </w:p>
        </w:tc>
        <w:tc>
          <w:tcPr/>
          <w:p>
            <w:pPr>
              <w:pStyle w:val="Compact"/>
            </w:pPr>
            <w:r>
              <w:rPr>
                <w:b/>
                <w:bCs/>
              </w:rPr>
              <w:t xml:space="preserve">Echtzeit-Eskalation</w:t>
            </w:r>
          </w:p>
        </w:tc>
        <w:tc>
          <w:tcPr/>
          <w:p>
            <w:pPr>
              <w:pStyle w:val="Compact"/>
            </w:pPr>
            <w:r>
              <w:rPr>
                <w:b/>
                <w:bCs/>
              </w:rPr>
              <w:t xml:space="preserve">7-Punkte-Skala</w:t>
            </w:r>
          </w:p>
        </w:tc>
      </w:tr>
    </w:tbl>
    <w:bookmarkEnd w:id="12"/>
    <w:bookmarkEnd w:id="13"/>
    <w:bookmarkStart w:id="14" w:name="forschungsfragen"/>
    <w:p>
      <w:pPr>
        <w:pStyle w:val="Heading3"/>
      </w:pPr>
      <w:r>
        <w:t xml:space="preserve">2.3 Forschungsfragen</w:t>
      </w:r>
    </w:p>
    <w:p>
      <w:pPr>
        <w:pStyle w:val="FirstParagraph"/>
      </w:pPr>
      <w:r>
        <w:rPr>
          <w:b/>
          <w:bCs/>
        </w:rPr>
        <w:t xml:space="preserve">FF1:</w:t>
      </w:r>
      <w:r>
        <w:t xml:space="preserve"> </w:t>
      </w:r>
      <w:r>
        <w:t xml:space="preserve">Wie verhält sich die Attributionsqualität (Source Quality, Answer Attributability nach Schimanski et al. 2024) unter zunehmend kürzeren Retrieval-Zeitfenstern? Gibt es einen charakteristischen Kipp-Punkt?</w:t>
      </w:r>
    </w:p>
    <w:p>
      <w:pPr>
        <w:pStyle w:val="BodyText"/>
      </w:pPr>
      <w:r>
        <w:rPr>
          <w:b/>
          <w:bCs/>
        </w:rPr>
        <w:t xml:space="preserve">FF2:</w:t>
      </w:r>
      <w:r>
        <w:t xml:space="preserve"> </w:t>
      </w:r>
      <w:r>
        <w:t xml:space="preserve">Lässt sich die Multi-Agenten-Debatte auf Sub-30-Sekunden-Latenzen skalieren, ohne die Verdict-Qualität signifikant zu reduzieren? Welche Debattenschritte sind unter Zeitdruck verzichtbar?</w:t>
      </w:r>
    </w:p>
    <w:p>
      <w:pPr>
        <w:pStyle w:val="BodyText"/>
      </w:pPr>
      <w:r>
        <w:rPr>
          <w:b/>
          <w:bCs/>
        </w:rPr>
        <w:t xml:space="preserve">FF3:</w:t>
      </w:r>
      <w:r>
        <w:t xml:space="preserve"> </w:t>
      </w:r>
      <w:r>
        <w:t xml:space="preserve">Welche Evidenz-Ranking-Strategien optimieren den Precision-Recall-Tradeoff bei Evidenzsuche unter harten Zeitbudgets (5s, 15s, 30s, 60s)?</w:t>
      </w:r>
    </w:p>
    <w:p>
      <w:pPr>
        <w:pStyle w:val="BodyText"/>
      </w:pPr>
      <w:r>
        <w:rPr>
          <w:b/>
          <w:bCs/>
        </w:rPr>
        <w:t xml:space="preserve">FF4:</w:t>
      </w:r>
      <w:r>
        <w:t xml:space="preserve"> </w:t>
      </w:r>
      <w:r>
        <w:t xml:space="preserve">Wie kann kalibrierte Unsicherheit für Streaming-Predictions mit evolving evidence base kommuniziert werden? Wie verändert sich die Konfidenz als Funktion der akkumulierten Evidenz?</w:t>
      </w:r>
    </w:p>
    <w:p>
      <w:pPr>
        <w:pStyle w:val="BodyText"/>
      </w:pPr>
      <w:r>
        <w:rPr>
          <w:b/>
          <w:bCs/>
        </w:rPr>
        <w:t xml:space="preserve">FF5:</w:t>
      </w:r>
      <w:r>
        <w:t xml:space="preserve"> </w:t>
      </w:r>
      <w:r>
        <w:t xml:space="preserve">Welche Claim-Merkmale sagen voraus, ob ein Claim automatisiert verifiziert oder an menschliche Reviewer eskaliert werden muss?</w:t>
      </w:r>
    </w:p>
    <w:bookmarkEnd w:id="14"/>
    <w:bookmarkStart w:id="15" w:name="X20de0b2cd4b223caa9ff2c1457517057d67a983"/>
    <w:p>
      <w:pPr>
        <w:pStyle w:val="Heading3"/>
      </w:pPr>
      <w:r>
        <w:t xml:space="preserve">2.4 Warum dies mehr ist als bewährte Praktiken</w:t>
      </w:r>
    </w:p>
    <w:p>
      <w:pPr>
        <w:pStyle w:val="FirstParagraph"/>
      </w:pPr>
      <w:r>
        <w:t xml:space="preserve">Die zentralen Zielkonflikte sind wissenschaftlich ungelöst:</w:t>
      </w:r>
    </w:p>
    <w:p>
      <w:pPr>
        <w:pStyle w:val="Compact"/>
        <w:numPr>
          <w:ilvl w:val="0"/>
          <w:numId w:val="1001"/>
        </w:numPr>
      </w:pPr>
      <w:r>
        <w:rPr>
          <w:b/>
          <w:bCs/>
        </w:rPr>
        <w:t xml:space="preserve">Latenz vs. Evidenzqualität:</w:t>
      </w:r>
      <w:r>
        <w:t xml:space="preserve"> </w:t>
      </w:r>
      <w:r>
        <w:t xml:space="preserve">FIRE zeigt, dass iterative Retrieval die Qualität steigert, aber jede Iteration kostet Zeit. Wie sich diese Kurve unter harten Echtzeit-Deadlines verhält, ist unbekannt (FF1, FF3).</w:t>
      </w:r>
    </w:p>
    <w:p>
      <w:pPr>
        <w:pStyle w:val="Compact"/>
        <w:numPr>
          <w:ilvl w:val="0"/>
          <w:numId w:val="1001"/>
        </w:numPr>
      </w:pPr>
      <w:r>
        <w:rPr>
          <w:b/>
          <w:bCs/>
        </w:rPr>
        <w:t xml:space="preserve">Debattentiefe vs. Echtzeitfähigkeit:</w:t>
      </w:r>
      <w:r>
        <w:t xml:space="preserve"> </w:t>
      </w:r>
      <w:r>
        <w:t xml:space="preserve">CLIMINATOR benötigt mehrere iterative Debatterunden. Ob eine reduzierte Debatte unter Zeitdruck noch signifikant besser als Single-Pass-Klassifikation ist, ist eine offene empirische Frage (FF2).</w:t>
      </w:r>
    </w:p>
    <w:p>
      <w:pPr>
        <w:pStyle w:val="Compact"/>
        <w:numPr>
          <w:ilvl w:val="0"/>
          <w:numId w:val="1001"/>
        </w:numPr>
      </w:pPr>
      <w:r>
        <w:rPr>
          <w:b/>
          <w:bCs/>
        </w:rPr>
        <w:t xml:space="preserve">Automatisierung vs. Verantwortbarkeit:</w:t>
      </w:r>
      <w:r>
        <w:t xml:space="preserve"> </w:t>
      </w:r>
      <w:r>
        <w:t xml:space="preserve">Full Fact AI delegiert alle Verdicts an Menschen. LiveCheck muss einen Mittelweg finden: ausreichend automatisiert für Echtzeit, ausreichend transparent für redaktionelle Verantwortung (FF5).</w:t>
      </w:r>
    </w:p>
    <w:p>
      <w:pPr>
        <w:pStyle w:val="Compact"/>
        <w:numPr>
          <w:ilvl w:val="0"/>
          <w:numId w:val="1001"/>
        </w:numPr>
      </w:pPr>
      <w:r>
        <w:rPr>
          <w:b/>
          <w:bCs/>
        </w:rPr>
        <w:t xml:space="preserve">Provisorische Signale vs. Fehlerrisiko:</w:t>
      </w:r>
      <w:r>
        <w:t xml:space="preserve"> </w:t>
      </w:r>
      <w:r>
        <w:t xml:space="preserve">Streaming-Unsicherheitsquantifizierung mit evolving evidence ist ein eigenständiges Forschungsproblem ohne publizierte Lösung (FF4).</w:t>
      </w:r>
    </w:p>
    <w:bookmarkEnd w:id="15"/>
    <w:bookmarkStart w:id="16" w:name="dokumentierte-forschungslücken"/>
    <w:p>
      <w:pPr>
        <w:pStyle w:val="Heading3"/>
      </w:pPr>
      <w:r>
        <w:t xml:space="preserve">2.5 Dokumentierte Forschungslücken</w:t>
      </w:r>
    </w:p>
    <w:tbl>
      <w:tblPr>
        <w:tblStyle w:val="Table"/>
        <w:tblW w:type="pct" w:w="5000"/>
        <w:tblLayout w:type="fixed"/>
        <w:tblLook w:firstRow="1" w:lastRow="0" w:firstColumn="0" w:lastColumn="0" w:noHBand="0" w:noVBand="0" w:val="0020"/>
      </w:tblPr>
      <w:tblGrid>
        <w:gridCol w:w="131"/>
        <w:gridCol w:w="2887"/>
        <w:gridCol w:w="2406"/>
        <w:gridCol w:w="2494"/>
      </w:tblGrid>
      <w:tr>
        <w:trPr>
          <w:tblHeader w:val="on"/>
        </w:trPr>
        <w:tc>
          <w:tcPr/>
          <w:p>
            <w:pPr>
              <w:pStyle w:val="Compact"/>
            </w:pPr>
            <w:r>
              <w:t xml:space="preserve">#</w:t>
            </w:r>
          </w:p>
        </w:tc>
        <w:tc>
          <w:tcPr/>
          <w:p>
            <w:pPr>
              <w:pStyle w:val="Compact"/>
            </w:pPr>
            <w:r>
              <w:t xml:space="preserve">Forschungslücke</w:t>
            </w:r>
          </w:p>
        </w:tc>
        <w:tc>
          <w:tcPr/>
          <w:p>
            <w:pPr>
              <w:pStyle w:val="Compact"/>
            </w:pPr>
            <w:r>
              <w:t xml:space="preserve">Evidenz</w:t>
            </w:r>
          </w:p>
        </w:tc>
        <w:tc>
          <w:tcPr/>
          <w:p>
            <w:pPr>
              <w:pStyle w:val="Compact"/>
            </w:pPr>
            <w:r>
              <w:t xml:space="preserve">LiveCheck-Beitrag</w:t>
            </w:r>
          </w:p>
        </w:tc>
      </w:tr>
      <w:tr>
        <w:tc>
          <w:tcPr/>
          <w:p>
            <w:pPr>
              <w:pStyle w:val="Compact"/>
            </w:pPr>
            <w:r>
              <w:t xml:space="preserve">1</w:t>
            </w:r>
          </w:p>
        </w:tc>
        <w:tc>
          <w:tcPr/>
          <w:p>
            <w:pPr>
              <w:pStyle w:val="Compact"/>
            </w:pPr>
            <w:r>
              <w:t xml:space="preserve">Kein integriertes Echtzeit-evidenzbasiertes Fact-Checking-System</w:t>
            </w:r>
          </w:p>
        </w:tc>
        <w:tc>
          <w:tcPr/>
          <w:p>
            <w:pPr>
              <w:pStyle w:val="Compact"/>
            </w:pPr>
            <w:r>
              <w:t xml:space="preserve">Vykopal et al. (2024):</w:t>
            </w:r>
            <w:r>
              <w:t xml:space="preserve"> </w:t>
            </w:r>
            <w:r>
              <w:t xml:space="preserve">“real-time largely unexplored”</w:t>
            </w:r>
          </w:p>
        </w:tc>
        <w:tc>
          <w:tcPr/>
          <w:p>
            <w:pPr>
              <w:pStyle w:val="Compact"/>
            </w:pPr>
            <w:r>
              <w:t xml:space="preserve">Erstes System mit Echtzeit + Evidenztiefe + Attribution</w:t>
            </w:r>
          </w:p>
        </w:tc>
      </w:tr>
      <w:tr>
        <w:tc>
          <w:tcPr/>
          <w:p>
            <w:pPr>
              <w:pStyle w:val="Compact"/>
            </w:pPr>
            <w:r>
              <w:t xml:space="preserve">2</w:t>
            </w:r>
          </w:p>
        </w:tc>
        <w:tc>
          <w:tcPr/>
          <w:p>
            <w:pPr>
              <w:pStyle w:val="Compact"/>
            </w:pPr>
            <w:r>
              <w:t xml:space="preserve">Unsicherheitsquantifizierung für Streaming-Predictions</w:t>
            </w:r>
          </w:p>
        </w:tc>
        <w:tc>
          <w:tcPr/>
          <w:p>
            <w:pPr>
              <w:pStyle w:val="Compact"/>
            </w:pPr>
            <w:r>
              <w:t xml:space="preserve">CP Survey (TACL 2024): nur statische Predictions</w:t>
            </w:r>
          </w:p>
        </w:tc>
        <w:tc>
          <w:tcPr/>
          <w:p>
            <w:pPr>
              <w:pStyle w:val="Compact"/>
            </w:pPr>
            <w:r>
              <w:t xml:space="preserve">Kalibrierte provisorische Verdicts</w:t>
            </w:r>
          </w:p>
        </w:tc>
      </w:tr>
      <w:tr>
        <w:tc>
          <w:tcPr/>
          <w:p>
            <w:pPr>
              <w:pStyle w:val="Compact"/>
            </w:pPr>
            <w:r>
              <w:t xml:space="preserve">3</w:t>
            </w:r>
          </w:p>
        </w:tc>
        <w:tc>
          <w:tcPr/>
          <w:p>
            <w:pPr>
              <w:pStyle w:val="Compact"/>
            </w:pPr>
            <w:r>
              <w:t xml:space="preserve">Zeitbudgetierte Evidenzsuche für Live-Verifikation</w:t>
            </w:r>
          </w:p>
        </w:tc>
        <w:tc>
          <w:tcPr/>
          <w:p>
            <w:pPr>
              <w:pStyle w:val="Compact"/>
            </w:pPr>
            <w:r>
              <w:t xml:space="preserve">FIRE (NAACL 2025): iterativ, aber statisch</w:t>
            </w:r>
          </w:p>
        </w:tc>
        <w:tc>
          <w:tcPr/>
          <w:p>
            <w:pPr>
              <w:pStyle w:val="Compact"/>
            </w:pPr>
            <w:r>
              <w:t xml:space="preserve">Evidence Retrieval mit Early-Stopping</w:t>
            </w:r>
          </w:p>
        </w:tc>
      </w:tr>
      <w:tr>
        <w:tc>
          <w:tcPr/>
          <w:p>
            <w:pPr>
              <w:pStyle w:val="Compact"/>
            </w:pPr>
            <w:r>
              <w:t xml:space="preserve">4</w:t>
            </w:r>
          </w:p>
        </w:tc>
        <w:tc>
          <w:tcPr/>
          <w:p>
            <w:pPr>
              <w:pStyle w:val="Compact"/>
            </w:pPr>
            <w:r>
              <w:t xml:space="preserve">Echtzeit-Human-in-the-Loop-Eskalation</w:t>
            </w:r>
          </w:p>
        </w:tc>
        <w:tc>
          <w:tcPr/>
          <w:p>
            <w:pPr>
              <w:pStyle w:val="Compact"/>
            </w:pPr>
            <w:r>
              <w:t xml:space="preserve">Full Fact AI: 40+ Organisationen, aber asynchron</w:t>
            </w:r>
          </w:p>
        </w:tc>
        <w:tc>
          <w:tcPr/>
          <w:p>
            <w:pPr>
              <w:pStyle w:val="Compact"/>
            </w:pPr>
            <w:r>
              <w:t xml:space="preserve">Prädiktive Triage unter Latenzrestriktionen</w:t>
            </w:r>
          </w:p>
        </w:tc>
      </w:tr>
      <w:tr>
        <w:tc>
          <w:tcPr/>
          <w:p>
            <w:pPr>
              <w:pStyle w:val="Compact"/>
            </w:pPr>
            <w:r>
              <w:t xml:space="preserve">5</w:t>
            </w:r>
          </w:p>
        </w:tc>
        <w:tc>
          <w:tcPr/>
          <w:p>
            <w:pPr>
              <w:pStyle w:val="Compact"/>
            </w:pPr>
            <w:r>
              <w:t xml:space="preserve">Multi-Agenten-Debatte unter Zeitrestriktionen</w:t>
            </w:r>
          </w:p>
        </w:tc>
        <w:tc>
          <w:tcPr/>
          <w:p>
            <w:pPr>
              <w:pStyle w:val="Compact"/>
            </w:pPr>
            <w:r>
              <w:t xml:space="preserve">CLIMINATOR, Tool-MAD: alle ohne Zeitbudgets</w:t>
            </w:r>
          </w:p>
        </w:tc>
        <w:tc>
          <w:tcPr/>
          <w:p>
            <w:pPr>
              <w:pStyle w:val="Compact"/>
            </w:pPr>
            <w:r>
              <w:t xml:space="preserve">Zeitrestringierte adversariale Verifikation</w:t>
            </w:r>
          </w:p>
        </w:tc>
      </w:tr>
      <w:tr>
        <w:tc>
          <w:tcPr/>
          <w:p>
            <w:pPr>
              <w:pStyle w:val="Compact"/>
            </w:pPr>
            <w:r>
              <w:t xml:space="preserve">6</w:t>
            </w:r>
          </w:p>
        </w:tc>
        <w:tc>
          <w:tcPr/>
          <w:p>
            <w:pPr>
              <w:pStyle w:val="Compact"/>
            </w:pPr>
            <w:r>
              <w:t xml:space="preserve">Kein Evaluationsbenchmark für Live-Faktenprüfung</w:t>
            </w:r>
          </w:p>
        </w:tc>
        <w:tc>
          <w:tcPr/>
          <w:p>
            <w:pPr>
              <w:pStyle w:val="Compact"/>
            </w:pPr>
            <w:r>
              <w:t xml:space="preserve">LiveFC: ad-hoc-Evaluation gegen PolitiFact</w:t>
            </w:r>
          </w:p>
        </w:tc>
        <w:tc>
          <w:tcPr/>
          <w:p>
            <w:pPr>
              <w:pStyle w:val="Compact"/>
            </w:pPr>
            <w:r>
              <w:t xml:space="preserve">Standardisierter Benchmark</w:t>
            </w:r>
          </w:p>
        </w:tc>
      </w:tr>
      <w:tr>
        <w:tc>
          <w:tcPr/>
          <w:p>
            <w:pPr>
              <w:pStyle w:val="Compact"/>
            </w:pPr>
            <w:r>
              <w:t xml:space="preserve">7</w:t>
            </w:r>
          </w:p>
        </w:tc>
        <w:tc>
          <w:tcPr/>
          <w:p>
            <w:pPr>
              <w:pStyle w:val="Compact"/>
            </w:pPr>
            <w:r>
              <w:t xml:space="preserve">Streaming-Claim-Detection aus Audio</w:t>
            </w:r>
          </w:p>
        </w:tc>
        <w:tc>
          <w:tcPr/>
          <w:p>
            <w:pPr>
              <w:pStyle w:val="Compact"/>
            </w:pPr>
            <w:r>
              <w:t xml:space="preserve">ClaimBuster/CLEF: vollständiger Text</w:t>
            </w:r>
          </w:p>
        </w:tc>
        <w:tc>
          <w:tcPr/>
          <w:p>
            <w:pPr>
              <w:pStyle w:val="Compact"/>
            </w:pPr>
            <w:r>
              <w:t xml:space="preserve">Detection für gesprochene Sprache</w:t>
            </w:r>
          </w:p>
        </w:tc>
      </w:tr>
    </w:tbl>
    <w:bookmarkEnd w:id="16"/>
    <w:bookmarkStart w:id="17" w:name="ipr-freedom-to-operate"/>
    <w:p>
      <w:pPr>
        <w:pStyle w:val="Heading3"/>
      </w:pPr>
      <w:r>
        <w:t xml:space="preserve">2.6 IPR / Freedom to Operate</w:t>
      </w:r>
    </w:p>
    <w:p>
      <w:pPr>
        <w:pStyle w:val="FirstParagraph"/>
      </w:pPr>
      <w:r>
        <w:rPr>
          <w:b/>
          <w:bCs/>
        </w:rPr>
        <w:t xml:space="preserve">Patentrecherche (Voranalyse):</w:t>
      </w:r>
      <w:r>
        <w:t xml:space="preserve"> </w:t>
      </w:r>
      <w:r>
        <w:t xml:space="preserve">Keine blockierenden Patente im Kernbereich evidenzbasierter Live-Verifikation identifiziert. ClaimBuster (UT Arlington): publiziert, kein Patent. Factiverse: keine publizierten Patente. Google Fact Check Tools: offener Schema.org-Standard.</w:t>
      </w:r>
    </w:p>
    <w:p>
      <w:pPr>
        <w:pStyle w:val="BodyText"/>
      </w:pPr>
      <w:r>
        <w:rPr>
          <w:b/>
          <w:bCs/>
        </w:rPr>
        <w:t xml:space="preserve">Freedom to Operate:</w:t>
      </w:r>
      <w:r>
        <w:t xml:space="preserve"> </w:t>
      </w:r>
      <w:r>
        <w:t xml:space="preserve">Alle Kernkomponenten verwenden offene Lizenzen (Whisper: MIT; pyannote: MIT; AI SDK: Apache 2.0). Eigene Debattenarchitektur unabhängig entwickelt.</w:t>
      </w:r>
    </w:p>
    <w:p>
      <w:pPr>
        <w:pStyle w:val="BodyText"/>
      </w:pPr>
      <w:r>
        <w:rPr>
          <w:b/>
          <w:bCs/>
        </w:rPr>
        <w:t xml:space="preserve">IP-Strategie:</w:t>
      </w:r>
      <w:r>
        <w:t xml:space="preserve"> </w:t>
      </w:r>
      <w:r>
        <w:t xml:space="preserve">- Open-Source-Kern: Pipeline-Architektur, Evaluations-Framework, Benchmark-Daten → maximale wissenschaftliche Verwertbarkeit</w:t>
      </w:r>
      <w:r>
        <w:t xml:space="preserve"> </w:t>
      </w:r>
      <w:r>
        <w:t xml:space="preserve">- Geschäftsgeheimnis: Kalibrierungskonfigurationen, optimierte Prompt-Templates, Triage-Modelle → Wettbewerbsvorteil</w:t>
      </w:r>
      <w:r>
        <w:t xml:space="preserve"> </w:t>
      </w:r>
      <w:r>
        <w:t xml:space="preserve">- Patentfähigkeit prüfen: Echtzeit-Debattenarchitektur unter Zeitbudgets</w:t>
      </w:r>
    </w:p>
    <w:p>
      <w:pPr>
        <w:pStyle w:val="BodyText"/>
      </w:pPr>
      <w:r>
        <w:rPr>
          <w:b/>
          <w:bCs/>
        </w:rPr>
        <w:t xml:space="preserve">Vertragliche Regelung:</w:t>
      </w:r>
      <w:r>
        <w:t xml:space="preserve"> </w:t>
      </w:r>
      <w:r>
        <w:t xml:space="preserve">IPR-Vereinbarung innerhalb 3 Monate nach Projektstart. Forschungspartner: akademische Publikationsrechte. Umsetzungspartner: kommerzielle Verwertungsrechte. Gemeinsam: Benchmark-Daten und Evaluations-Framework.</w:t>
      </w:r>
    </w:p>
    <w:p>
      <w:r>
        <w:pict>
          <v:rect style="width:0;height:1.5pt" o:hralign="center" o:hrstd="t" o:hr="t"/>
        </w:pict>
      </w:r>
    </w:p>
    <w:bookmarkEnd w:id="17"/>
    <w:bookmarkEnd w:id="18"/>
    <w:bookmarkStart w:id="30" w:name="der-mehrwert-des-innovationsprojekts"/>
    <w:p>
      <w:pPr>
        <w:pStyle w:val="Heading2"/>
      </w:pPr>
      <w:r>
        <w:t xml:space="preserve">3. Der Mehrwert des Innovationsprojekts</w:t>
      </w:r>
    </w:p>
    <w:bookmarkStart w:id="19" w:name="geschäftsmodell-und-wertschöpfungskette"/>
    <w:p>
      <w:pPr>
        <w:pStyle w:val="Heading3"/>
      </w:pPr>
      <w:r>
        <w:t xml:space="preserve">3.1 Geschäftsmodell und Wertschöpfungskette</w:t>
      </w:r>
    </w:p>
    <w:p>
      <w:pPr>
        <w:pStyle w:val="FirstParagraph"/>
      </w:pPr>
      <w:r>
        <w:t xml:space="preserve">FactHarbor positioniert sich als evidenzbasierte Verifikationsinfrastruktur zwischen Monitoring-Layer (Full Fact, Logically) und redaktioneller Review/Publikation.</w:t>
      </w:r>
    </w:p>
    <w:tbl>
      <w:tblPr>
        <w:tblStyle w:val="Table"/>
        <w:tblW w:type="pct" w:w="5000"/>
        <w:tblLayout w:type="fixed"/>
        <w:tblLook w:firstRow="1" w:lastRow="0" w:firstColumn="0" w:lastColumn="0" w:noHBand="0" w:noVBand="0" w:val="0020"/>
      </w:tblPr>
      <w:tblGrid>
        <w:gridCol w:w="1760"/>
        <w:gridCol w:w="1760"/>
        <w:gridCol w:w="2493"/>
        <w:gridCol w:w="1906"/>
      </w:tblGrid>
      <w:tr>
        <w:trPr>
          <w:tblHeader w:val="on"/>
        </w:trPr>
        <w:tc>
          <w:tcPr/>
          <w:p>
            <w:pPr>
              <w:pStyle w:val="Compact"/>
            </w:pPr>
            <w:r>
              <w:t xml:space="preserve">Segment</w:t>
            </w:r>
          </w:p>
        </w:tc>
        <w:tc>
          <w:tcPr/>
          <w:p>
            <w:pPr>
              <w:pStyle w:val="Compact"/>
            </w:pPr>
            <w:r>
              <w:t xml:space="preserve">Produkt</w:t>
            </w:r>
          </w:p>
        </w:tc>
        <w:tc>
          <w:tcPr/>
          <w:p>
            <w:pPr>
              <w:pStyle w:val="Compact"/>
            </w:pPr>
            <w:r>
              <w:t xml:space="preserve">Preismodell</w:t>
            </w:r>
          </w:p>
        </w:tc>
        <w:tc>
          <w:tcPr/>
          <w:p>
            <w:pPr>
              <w:pStyle w:val="Compact"/>
            </w:pPr>
            <w:r>
              <w:t xml:space="preserve">Zielumsatz (Jahr 3-5)</w:t>
            </w:r>
          </w:p>
        </w:tc>
      </w:tr>
      <w:tr>
        <w:tc>
          <w:tcPr/>
          <w:p>
            <w:pPr>
              <w:pStyle w:val="Compact"/>
            </w:pPr>
            <w:r>
              <w:t xml:space="preserve">Newsroom-Tooling</w:t>
            </w:r>
          </w:p>
        </w:tc>
        <w:tc>
          <w:tcPr/>
          <w:p>
            <w:pPr>
              <w:pStyle w:val="Compact"/>
            </w:pPr>
            <w:r>
              <w:t xml:space="preserve">LiveCheck SaaS</w:t>
            </w:r>
          </w:p>
        </w:tc>
        <w:tc>
          <w:tcPr/>
          <w:p>
            <w:pPr>
              <w:pStyle w:val="Compact"/>
            </w:pPr>
            <w:r>
              <w:t xml:space="preserve">Subscription CHF 500-2’000/Monat</w:t>
            </w:r>
          </w:p>
        </w:tc>
        <w:tc>
          <w:tcPr/>
          <w:p>
            <w:pPr>
              <w:pStyle w:val="Compact"/>
            </w:pPr>
            <w:r>
              <w:t xml:space="preserve">CHF 120’000-360’000/Jahr</w:t>
            </w:r>
          </w:p>
        </w:tc>
      </w:tr>
      <w:tr>
        <w:tc>
          <w:tcPr/>
          <w:p>
            <w:pPr>
              <w:pStyle w:val="Compact"/>
            </w:pPr>
            <w:r>
              <w:t xml:space="preserve">API-Service</w:t>
            </w:r>
          </w:p>
        </w:tc>
        <w:tc>
          <w:tcPr/>
          <w:p>
            <w:pPr>
              <w:pStyle w:val="Compact"/>
            </w:pPr>
            <w:r>
              <w:t xml:space="preserve">Verifikations-API</w:t>
            </w:r>
          </w:p>
        </w:tc>
        <w:tc>
          <w:tcPr/>
          <w:p>
            <w:pPr>
              <w:pStyle w:val="Compact"/>
            </w:pPr>
            <w:r>
              <w:t xml:space="preserve">Pay-per-Call CHF 0.50-2.00</w:t>
            </w:r>
          </w:p>
        </w:tc>
        <w:tc>
          <w:tcPr/>
          <w:p>
            <w:pPr>
              <w:pStyle w:val="Compact"/>
            </w:pPr>
            <w:r>
              <w:t xml:space="preserve">CHF 60’000-180’000/Jahr</w:t>
            </w:r>
          </w:p>
        </w:tc>
      </w:tr>
      <w:tr>
        <w:tc>
          <w:tcPr/>
          <w:p>
            <w:pPr>
              <w:pStyle w:val="Compact"/>
            </w:pPr>
            <w:r>
              <w:t xml:space="preserve">Institutionelle Lizenz</w:t>
            </w:r>
          </w:p>
        </w:tc>
        <w:tc>
          <w:tcPr/>
          <w:p>
            <w:pPr>
              <w:pStyle w:val="Compact"/>
            </w:pPr>
            <w:r>
              <w:t xml:space="preserve">Enterprise-Lösung</w:t>
            </w:r>
          </w:p>
        </w:tc>
        <w:tc>
          <w:tcPr/>
          <w:p>
            <w:pPr>
              <w:pStyle w:val="Compact"/>
            </w:pPr>
            <w:r>
              <w:t xml:space="preserve">Jahreslizenz CHF 5’000-20’000</w:t>
            </w:r>
          </w:p>
        </w:tc>
        <w:tc>
          <w:tcPr/>
          <w:p>
            <w:pPr>
              <w:pStyle w:val="Compact"/>
            </w:pPr>
            <w:r>
              <w:t xml:space="preserve">CHF 50’000-200’000/Jahr</w:t>
            </w:r>
          </w:p>
        </w:tc>
      </w:tr>
      <w:tr>
        <w:tc>
          <w:tcPr/>
          <w:p>
            <w:pPr>
              <w:pStyle w:val="Compact"/>
            </w:pPr>
            <w:r>
              <w:t xml:space="preserve">Evaluations-Service</w:t>
            </w:r>
          </w:p>
        </w:tc>
        <w:tc>
          <w:tcPr/>
          <w:p>
            <w:pPr>
              <w:pStyle w:val="Compact"/>
            </w:pPr>
            <w:r>
              <w:t xml:space="preserve">Benchmark-as-a-Service</w:t>
            </w:r>
          </w:p>
        </w:tc>
        <w:tc>
          <w:tcPr/>
          <w:p>
            <w:pPr>
              <w:pStyle w:val="Compact"/>
            </w:pPr>
            <w:r>
              <w:t xml:space="preserve">Projektbasiert</w:t>
            </w:r>
          </w:p>
        </w:tc>
        <w:tc>
          <w:tcPr/>
          <w:p>
            <w:pPr>
              <w:pStyle w:val="Compact"/>
            </w:pPr>
            <w:r>
              <w:t xml:space="preserve">CHF 30’000-100’000/Jahr</w:t>
            </w:r>
          </w:p>
        </w:tc>
      </w:tr>
    </w:tbl>
    <w:p>
      <w:pPr>
        <w:pStyle w:val="BodyText"/>
      </w:pPr>
      <w:r>
        <w:rPr>
          <w:b/>
          <w:bCs/>
        </w:rPr>
        <w:t xml:space="preserve">Ziel:</w:t>
      </w:r>
      <w:r>
        <w:t xml:space="preserve"> </w:t>
      </w:r>
      <w:r>
        <w:t xml:space="preserve">CHF 260’000-840’000 jährlicher Umsatz ab Jahr 3 nach Projektende. Break-Even bei CHF 200’000/Jahr.</w:t>
      </w:r>
    </w:p>
    <w:bookmarkEnd w:id="19"/>
    <w:bookmarkStart w:id="20" w:name="Xa0dd76159c56c2f0e9ab4165216b4d1fa8f810d"/>
    <w:p>
      <w:pPr>
        <w:pStyle w:val="Heading3"/>
      </w:pPr>
      <w:r>
        <w:t xml:space="preserve">3.2 Kundenprobleme und gesellschaftliche Herausforderung</w:t>
      </w:r>
    </w:p>
    <w:p>
      <w:pPr>
        <w:pStyle w:val="FirstParagraph"/>
      </w:pPr>
      <w:r>
        <w:rPr>
          <w:b/>
          <w:bCs/>
        </w:rPr>
        <w:t xml:space="preserve">Quantifiziertes Problem:</w:t>
      </w:r>
      <w:r>
        <w:t xml:space="preserve"> </w:t>
      </w:r>
      <w:r>
        <w:t xml:space="preserve">- Manuelle Faktenprüfung dauert 15-60 Minuten pro Claim (CBS News, PolitiFact bei US-Debatten 2024). Falschinformationen verbreiten sich in dieser Zeit millionenfach.</w:t>
      </w:r>
      <w:r>
        <w:t xml:space="preserve"> </w:t>
      </w:r>
      <w:r>
        <w:t xml:space="preserve">- 443 aktive Faktenprüfungsprojekte weltweit (Duke Reporters’ Lab 2025) bei Millionen täglich zirkulierender Aussagen.</w:t>
      </w:r>
      <w:r>
        <w:t xml:space="preserve"> </w:t>
      </w:r>
      <w:r>
        <w:t xml:space="preserve">- Immer grösserer Anteil öffentlicher Kommunikation in Video-, Podcast- und Livestream-Formaten.</w:t>
      </w:r>
      <w:r>
        <w:t xml:space="preserve"> </w:t>
      </w:r>
      <w:r>
        <w:t xml:space="preserve">- Finanzierungskrise: Meta beendete US-TPFC (Januar 2025, ~160 Organisationen betroffen). Google strich Förderungen (Oktober 2025, &gt;GBP 1 Mio./Jahr Verlust für Full Fact). Organisationen brauchen dringend unabhängige Werkzeuge.</w:t>
      </w:r>
    </w:p>
    <w:bookmarkEnd w:id="20"/>
    <w:bookmarkStart w:id="21" w:name="nachweis-der-notwendigkeit"/>
    <w:p>
      <w:pPr>
        <w:pStyle w:val="Heading3"/>
      </w:pPr>
      <w:r>
        <w:t xml:space="preserve">3.3 Nachweis der Notwendigkeit</w:t>
      </w:r>
    </w:p>
    <w:p>
      <w:pPr>
        <w:numPr>
          <w:ilvl w:val="0"/>
          <w:numId w:val="1002"/>
        </w:numPr>
      </w:pPr>
      <w:r>
        <w:rPr>
          <w:b/>
          <w:bCs/>
        </w:rPr>
        <w:t xml:space="preserve">Akademische Validierung:</w:t>
      </w:r>
      <w:r>
        <w:t xml:space="preserve"> </w:t>
      </w:r>
      <w:r>
        <w:t xml:space="preserve">Warren et al. (CHI 2025) dokumentieren, dass Faktenprüfer Replizierbarkeit und Unsicherheitstransparenz als wichtigste unerfüllte Anforderungen nennen — LiveChecks Kernversprechen.</w:t>
      </w:r>
    </w:p>
    <w:p>
      <w:pPr>
        <w:numPr>
          <w:ilvl w:val="0"/>
          <w:numId w:val="1002"/>
        </w:numPr>
      </w:pPr>
      <w:r>
        <w:rPr>
          <w:b/>
          <w:bCs/>
        </w:rPr>
        <w:t xml:space="preserve">Marktvalidierung durch Konkurrenzprodukt:</w:t>
      </w:r>
      <w:r>
        <w:t xml:space="preserve"> </w:t>
      </w:r>
      <w:r>
        <w:t xml:space="preserve">Factiverse erhielt EUR 1 Mio. Finanzierung, setzte bei US-Debatten 2024 ein (1’123 Claims). Belegt: Marktnachfrage existiert, Investoren sehen Potenzial, bestehende Lösung hat Qualitätslimitationen.</w:t>
      </w:r>
    </w:p>
    <w:p>
      <w:pPr>
        <w:numPr>
          <w:ilvl w:val="0"/>
          <w:numId w:val="1002"/>
        </w:numPr>
      </w:pPr>
      <w:r>
        <w:rPr>
          <w:b/>
          <w:bCs/>
        </w:rPr>
        <w:t xml:space="preserve">Regulatorische Nachfrage:</w:t>
      </w:r>
      <w:r>
        <w:t xml:space="preserve"> </w:t>
      </w:r>
      <w:r>
        <w:t xml:space="preserve">EU Digital Services Act (seit Februar 2024), EU AI Act (Durchsetzung August 2026). 44 Verpflichtungen und 128 Massnahmen im EU Code of Practice on Disinformation.</w:t>
      </w:r>
    </w:p>
    <w:p>
      <w:pPr>
        <w:numPr>
          <w:ilvl w:val="0"/>
          <w:numId w:val="1002"/>
        </w:numPr>
      </w:pPr>
      <w:r>
        <w:rPr>
          <w:b/>
          <w:bCs/>
        </w:rPr>
        <w:t xml:space="preserve">Organisatorische Nachfrage:</w:t>
      </w:r>
      <w:r>
        <w:t xml:space="preserve"> </w:t>
      </w:r>
      <w:r>
        <w:t xml:space="preserve">Full Fact AI wird von 40+ Organisationen in 30+ Ländern genutzt — Bereitschaft zur Lizenzierung von KI-Tools belegt.</w:t>
      </w:r>
    </w:p>
    <w:bookmarkEnd w:id="21"/>
    <w:bookmarkStart w:id="22" w:name="usp-differenzierung"/>
    <w:p>
      <w:pPr>
        <w:pStyle w:val="Heading3"/>
      </w:pPr>
      <w:r>
        <w:t xml:space="preserve">3.4 USP / Differenzierung</w:t>
      </w:r>
    </w:p>
    <w:tbl>
      <w:tblPr>
        <w:tblStyle w:val="Table"/>
        <w:tblW w:type="pct" w:w="5000"/>
        <w:tblLayout w:type="fixed"/>
        <w:tblLook w:firstRow="1" w:lastRow="0" w:firstColumn="0" w:lastColumn="0" w:noHBand="0" w:noVBand="0" w:val="0020"/>
      </w:tblPr>
      <w:tblGrid>
        <w:gridCol w:w="1664"/>
        <w:gridCol w:w="2926"/>
        <w:gridCol w:w="2353"/>
        <w:gridCol w:w="975"/>
      </w:tblGrid>
      <w:tr>
        <w:trPr>
          <w:tblHeader w:val="on"/>
        </w:trPr>
        <w:tc>
          <w:tcPr/>
          <w:p>
            <w:pPr>
              <w:pStyle w:val="Compact"/>
            </w:pPr>
            <w:r>
              <w:t xml:space="preserve">USP-Dimension</w:t>
            </w:r>
          </w:p>
        </w:tc>
        <w:tc>
          <w:tcPr/>
          <w:p>
            <w:pPr>
              <w:pStyle w:val="Compact"/>
            </w:pPr>
            <w:r>
              <w:t xml:space="preserve">LiveCheck</w:t>
            </w:r>
          </w:p>
        </w:tc>
        <w:tc>
          <w:tcPr/>
          <w:p>
            <w:pPr>
              <w:pStyle w:val="Compact"/>
            </w:pPr>
            <w:r>
              <w:t xml:space="preserve">Nächster Wettbewerber</w:t>
            </w:r>
          </w:p>
        </w:tc>
        <w:tc>
          <w:tcPr/>
          <w:p>
            <w:pPr>
              <w:pStyle w:val="Compact"/>
            </w:pPr>
            <w:r>
              <w:t xml:space="preserve">Differenzierung</w:t>
            </w:r>
          </w:p>
        </w:tc>
      </w:tr>
      <w:tr>
        <w:tc>
          <w:tcPr/>
          <w:p>
            <w:pPr>
              <w:pStyle w:val="Compact"/>
            </w:pPr>
            <w:r>
              <w:t xml:space="preserve">Evidenzbasierte Attribution</w:t>
            </w:r>
          </w:p>
        </w:tc>
        <w:tc>
          <w:tcPr/>
          <w:p>
            <w:pPr>
              <w:pStyle w:val="Compact"/>
            </w:pPr>
            <w:r>
              <w:t xml:space="preserve">Jeder Verdict trackt zu Quellen/Evidenzfragmenten</w:t>
            </w:r>
          </w:p>
        </w:tc>
        <w:tc>
          <w:tcPr/>
          <w:p>
            <w:pPr>
              <w:pStyle w:val="Compact"/>
            </w:pPr>
            <w:r>
              <w:t xml:space="preserve">Factiverse: NLI ohne Attribution</w:t>
            </w:r>
          </w:p>
        </w:tc>
        <w:tc>
          <w:tcPr/>
          <w:p>
            <w:pPr>
              <w:pStyle w:val="Compact"/>
            </w:pPr>
            <w:r>
              <w:t xml:space="preserve">Hoch</w:t>
            </w:r>
          </w:p>
        </w:tc>
      </w:tr>
      <w:tr>
        <w:tc>
          <w:tcPr/>
          <w:p>
            <w:pPr>
              <w:pStyle w:val="Compact"/>
            </w:pPr>
            <w:r>
              <w:t xml:space="preserve">Kalibrierte Unsicherheit</w:t>
            </w:r>
          </w:p>
        </w:tc>
        <w:tc>
          <w:tcPr/>
          <w:p>
            <w:pPr>
              <w:pStyle w:val="Compact"/>
            </w:pPr>
            <w:r>
              <w:t xml:space="preserve">7-Punkte-Skala + Konfidenzband + Evidenzdichte</w:t>
            </w:r>
          </w:p>
        </w:tc>
        <w:tc>
          <w:tcPr/>
          <w:p>
            <w:pPr>
              <w:pStyle w:val="Compact"/>
            </w:pPr>
            <w:r>
              <w:t xml:space="preserve">LiveFC: Binär</w:t>
            </w:r>
          </w:p>
        </w:tc>
        <w:tc>
          <w:tcPr/>
          <w:p>
            <w:pPr>
              <w:pStyle w:val="Compact"/>
            </w:pPr>
            <w:r>
              <w:t xml:space="preserve">Hoch</w:t>
            </w:r>
          </w:p>
        </w:tc>
      </w:tr>
      <w:tr>
        <w:tc>
          <w:tcPr/>
          <w:p>
            <w:pPr>
              <w:pStyle w:val="Compact"/>
            </w:pPr>
            <w:r>
              <w:t xml:space="preserve">Multi-Agenten-Debatte</w:t>
            </w:r>
          </w:p>
        </w:tc>
        <w:tc>
          <w:tcPr/>
          <w:p>
            <w:pPr>
              <w:pStyle w:val="Compact"/>
            </w:pPr>
            <w:r>
              <w:t xml:space="preserve">5-Schritt, Cross-Provider</w:t>
            </w:r>
          </w:p>
        </w:tc>
        <w:tc>
          <w:tcPr/>
          <w:p>
            <w:pPr>
              <w:pStyle w:val="Compact"/>
            </w:pPr>
            <w:r>
              <w:t xml:space="preserve">CLIMINATOR: Batch-only, klimaspezifisch</w:t>
            </w:r>
          </w:p>
        </w:tc>
        <w:tc>
          <w:tcPr/>
          <w:p>
            <w:pPr>
              <w:pStyle w:val="Compact"/>
            </w:pPr>
            <w:r>
              <w:t xml:space="preserve">Mittel-Hoch</w:t>
            </w:r>
          </w:p>
        </w:tc>
      </w:tr>
      <w:tr>
        <w:tc>
          <w:tcPr/>
          <w:p>
            <w:pPr>
              <w:pStyle w:val="Compact"/>
            </w:pPr>
            <w:r>
              <w:t xml:space="preserve">Themenagnostisch</w:t>
            </w:r>
          </w:p>
        </w:tc>
        <w:tc>
          <w:tcPr/>
          <w:p>
            <w:pPr>
              <w:pStyle w:val="Compact"/>
            </w:pPr>
            <w:r>
              <w:t xml:space="preserve">Jedes Thema, jede Sprache</w:t>
            </w:r>
          </w:p>
        </w:tc>
        <w:tc>
          <w:tcPr/>
          <w:p>
            <w:pPr>
              <w:pStyle w:val="Compact"/>
            </w:pPr>
            <w:r>
              <w:t xml:space="preserve">Factiverse: 114 Sprachen</w:t>
            </w:r>
          </w:p>
        </w:tc>
        <w:tc>
          <w:tcPr/>
          <w:p>
            <w:pPr>
              <w:pStyle w:val="Compact"/>
            </w:pPr>
            <w:r>
              <w:t xml:space="preserve">Mittel</w:t>
            </w:r>
          </w:p>
        </w:tc>
      </w:tr>
      <w:tr>
        <w:tc>
          <w:tcPr/>
          <w:p>
            <w:pPr>
              <w:pStyle w:val="Compact"/>
            </w:pPr>
            <w:r>
              <w:t xml:space="preserve">Human-in-the-Loop</w:t>
            </w:r>
          </w:p>
        </w:tc>
        <w:tc>
          <w:tcPr/>
          <w:p>
            <w:pPr>
              <w:pStyle w:val="Compact"/>
            </w:pPr>
            <w:r>
              <w:t xml:space="preserve">Prädiktive Echtzeit-Triage</w:t>
            </w:r>
          </w:p>
        </w:tc>
        <w:tc>
          <w:tcPr/>
          <w:p>
            <w:pPr>
              <w:pStyle w:val="Compact"/>
            </w:pPr>
            <w:r>
              <w:t xml:space="preserve">Full Fact: async, alle manuell</w:t>
            </w:r>
          </w:p>
        </w:tc>
        <w:tc>
          <w:tcPr/>
          <w:p>
            <w:pPr>
              <w:pStyle w:val="Compact"/>
            </w:pPr>
            <w:r>
              <w:t xml:space="preserve">Hoch</w:t>
            </w:r>
          </w:p>
        </w:tc>
      </w:tr>
    </w:tbl>
    <w:bookmarkEnd w:id="22"/>
    <w:bookmarkStart w:id="23" w:name="markt-und-adressierbarer-markt"/>
    <w:p>
      <w:pPr>
        <w:pStyle w:val="Heading3"/>
      </w:pPr>
      <w:r>
        <w:t xml:space="preserve">3.5 Markt und adressierbarer Markt</w:t>
      </w:r>
    </w:p>
    <w:p>
      <w:pPr>
        <w:pStyle w:val="FirstParagraph"/>
      </w:pPr>
      <w:r>
        <w:rPr>
          <w:b/>
          <w:bCs/>
        </w:rPr>
        <w:t xml:space="preserve">Serviceable Addressable Market (SAM) — DACH + EU:</w:t>
      </w:r>
    </w:p>
    <w:tbl>
      <w:tblPr>
        <w:tblStyle w:val="Table"/>
        <w:tblW w:type="pct" w:w="5000"/>
        <w:tblLayout w:type="fixed"/>
        <w:tblLook w:firstRow="1" w:lastRow="0" w:firstColumn="0" w:lastColumn="0" w:noHBand="0" w:noVBand="0" w:val="0020"/>
      </w:tblPr>
      <w:tblGrid>
        <w:gridCol w:w="3454"/>
        <w:gridCol w:w="1348"/>
        <w:gridCol w:w="1600"/>
        <w:gridCol w:w="1516"/>
      </w:tblGrid>
      <w:tr>
        <w:trPr>
          <w:tblHeader w:val="on"/>
        </w:trPr>
        <w:tc>
          <w:tcPr/>
          <w:p>
            <w:pPr>
              <w:pStyle w:val="Compact"/>
            </w:pPr>
            <w:r>
              <w:t xml:space="preserve">Segment</w:t>
            </w:r>
          </w:p>
        </w:tc>
        <w:tc>
          <w:tcPr/>
          <w:p>
            <w:pPr>
              <w:pStyle w:val="Compact"/>
            </w:pPr>
            <w:r>
              <w:t xml:space="preserve">Organisationen</w:t>
            </w:r>
          </w:p>
        </w:tc>
        <w:tc>
          <w:tcPr/>
          <w:p>
            <w:pPr>
              <w:pStyle w:val="Compact"/>
            </w:pPr>
            <w:r>
              <w:t xml:space="preserve">Durchschn. Budget</w:t>
            </w:r>
          </w:p>
        </w:tc>
        <w:tc>
          <w:tcPr/>
          <w:p>
            <w:pPr>
              <w:pStyle w:val="Compact"/>
            </w:pPr>
            <w:r>
              <w:t xml:space="preserve">SAM</w:t>
            </w:r>
          </w:p>
        </w:tc>
      </w:tr>
      <w:tr>
        <w:tc>
          <w:tcPr/>
          <w:p>
            <w:pPr>
              <w:pStyle w:val="Compact"/>
            </w:pPr>
            <w:r>
              <w:t xml:space="preserve">Fact-Checking-Redaktionen (EU)</w:t>
            </w:r>
          </w:p>
        </w:tc>
        <w:tc>
          <w:tcPr/>
          <w:p>
            <w:pPr>
              <w:pStyle w:val="Compact"/>
            </w:pPr>
            <w:r>
              <w:t xml:space="preserve">~150</w:t>
            </w:r>
          </w:p>
        </w:tc>
        <w:tc>
          <w:tcPr/>
          <w:p>
            <w:pPr>
              <w:pStyle w:val="Compact"/>
            </w:pPr>
            <w:r>
              <w:t xml:space="preserve">CHF 12’000/Jahr</w:t>
            </w:r>
          </w:p>
        </w:tc>
        <w:tc>
          <w:tcPr/>
          <w:p>
            <w:pPr>
              <w:pStyle w:val="Compact"/>
            </w:pPr>
            <w:r>
              <w:t xml:space="preserve">CHF 1.8 Mio.</w:t>
            </w:r>
          </w:p>
        </w:tc>
      </w:tr>
      <w:tr>
        <w:tc>
          <w:tcPr/>
          <w:p>
            <w:pPr>
              <w:pStyle w:val="Compact"/>
            </w:pPr>
            <w:r>
              <w:t xml:space="preserve">Newsrooms mit Monitoring (DACH)</w:t>
            </w:r>
          </w:p>
        </w:tc>
        <w:tc>
          <w:tcPr/>
          <w:p>
            <w:pPr>
              <w:pStyle w:val="Compact"/>
            </w:pPr>
            <w:r>
              <w:t xml:space="preserve">~50</w:t>
            </w:r>
          </w:p>
        </w:tc>
        <w:tc>
          <w:tcPr/>
          <w:p>
            <w:pPr>
              <w:pStyle w:val="Compact"/>
            </w:pPr>
            <w:r>
              <w:t xml:space="preserve">CHF 18’000/Jahr</w:t>
            </w:r>
          </w:p>
        </w:tc>
        <w:tc>
          <w:tcPr/>
          <w:p>
            <w:pPr>
              <w:pStyle w:val="Compact"/>
            </w:pPr>
            <w:r>
              <w:t xml:space="preserve">CHF 900’000</w:t>
            </w:r>
          </w:p>
        </w:tc>
      </w:tr>
      <w:tr>
        <w:tc>
          <w:tcPr/>
          <w:p>
            <w:pPr>
              <w:pStyle w:val="Compact"/>
            </w:pPr>
            <w:r>
              <w:t xml:space="preserve">Institutionelle Monitoring-Teams (DACH)</w:t>
            </w:r>
          </w:p>
        </w:tc>
        <w:tc>
          <w:tcPr/>
          <w:p>
            <w:pPr>
              <w:pStyle w:val="Compact"/>
            </w:pPr>
            <w:r>
              <w:t xml:space="preserve">~30</w:t>
            </w:r>
          </w:p>
        </w:tc>
        <w:tc>
          <w:tcPr/>
          <w:p>
            <w:pPr>
              <w:pStyle w:val="Compact"/>
            </w:pPr>
            <w:r>
              <w:t xml:space="preserve">CHF 24’000/Jahr</w:t>
            </w:r>
          </w:p>
        </w:tc>
        <w:tc>
          <w:tcPr/>
          <w:p>
            <w:pPr>
              <w:pStyle w:val="Compact"/>
            </w:pPr>
            <w:r>
              <w:t xml:space="preserve">CHF 720’000</w:t>
            </w:r>
          </w:p>
        </w:tc>
      </w:tr>
      <w:tr>
        <w:tc>
          <w:tcPr/>
          <w:p>
            <w:pPr>
              <w:pStyle w:val="Compact"/>
            </w:pPr>
            <w:r>
              <w:rPr>
                <w:b/>
                <w:bCs/>
              </w:rPr>
              <w:t xml:space="preserve">SAM gesamt</w:t>
            </w:r>
          </w:p>
        </w:tc>
        <w:tc>
          <w:tcPr/>
          <w:p>
            <w:pPr>
              <w:pStyle w:val="Compact"/>
            </w:pPr>
          </w:p>
        </w:tc>
        <w:tc>
          <w:tcPr/>
          <w:p>
            <w:pPr>
              <w:pStyle w:val="Compact"/>
            </w:pPr>
          </w:p>
        </w:tc>
        <w:tc>
          <w:tcPr/>
          <w:p>
            <w:pPr>
              <w:pStyle w:val="Compact"/>
            </w:pPr>
            <w:r>
              <w:rPr>
                <w:b/>
                <w:bCs/>
              </w:rPr>
              <w:t xml:space="preserve">CHF 3.4 Mio.</w:t>
            </w:r>
          </w:p>
        </w:tc>
      </w:tr>
    </w:tbl>
    <w:p>
      <w:pPr>
        <w:pStyle w:val="BodyText"/>
      </w:pPr>
      <w:r>
        <w:rPr>
          <w:b/>
          <w:bCs/>
        </w:rPr>
        <w:t xml:space="preserve">Serviceable Obtainable Market (5 Jahre):</w:t>
      </w:r>
      <w:r>
        <w:t xml:space="preserve"> </w:t>
      </w:r>
      <w:r>
        <w:t xml:space="preserve">- Jahr 2: 3-5 Pilotkunden → CHF 30’000-60’000</w:t>
      </w:r>
      <w:r>
        <w:t xml:space="preserve"> </w:t>
      </w:r>
      <w:r>
        <w:t xml:space="preserve">- Jahr 3: 10-15 Kunden → CHF 150’000-300’000</w:t>
      </w:r>
      <w:r>
        <w:t xml:space="preserve"> </w:t>
      </w:r>
      <w:r>
        <w:t xml:space="preserve">- Jahr 5: 30-50 Kunden → CHF 600’000-840’000</w:t>
      </w:r>
    </w:p>
    <w:p>
      <w:pPr>
        <w:pStyle w:val="BodyText"/>
      </w:pPr>
      <w:r>
        <w:t xml:space="preserve">Erwartete Wachstumsrate: 40-60% jährlich, getrieben durch regulatorischen Druck (DSA, AI Act), Plattform-Rückzug (Meta, Google) und zunehmende Live-/Video-Formate.</w:t>
      </w:r>
    </w:p>
    <w:bookmarkEnd w:id="23"/>
    <w:bookmarkStart w:id="24" w:name="wettbewerberanalyse"/>
    <w:p>
      <w:pPr>
        <w:pStyle w:val="Heading3"/>
      </w:pPr>
      <w:r>
        <w:t xml:space="preserve">3.6 Wettbewerberanalyse</w:t>
      </w:r>
    </w:p>
    <w:tbl>
      <w:tblPr>
        <w:tblStyle w:val="Table"/>
        <w:tblW w:type="pct" w:w="5000"/>
        <w:tblLayout w:type="fixed"/>
        <w:tblLook w:firstRow="1" w:lastRow="0" w:firstColumn="0" w:lastColumn="0" w:noHBand="0" w:noVBand="0" w:val="0020"/>
      </w:tblPr>
      <w:tblGrid>
        <w:gridCol w:w="1962"/>
        <w:gridCol w:w="1612"/>
        <w:gridCol w:w="911"/>
        <w:gridCol w:w="981"/>
        <w:gridCol w:w="770"/>
        <w:gridCol w:w="841"/>
        <w:gridCol w:w="841"/>
      </w:tblGrid>
      <w:tr>
        <w:trPr>
          <w:tblHeader w:val="on"/>
        </w:trPr>
        <w:tc>
          <w:tcPr/>
          <w:p>
            <w:pPr>
              <w:pStyle w:val="Compact"/>
            </w:pPr>
            <w:r>
              <w:t xml:space="preserve">Kriterium</w:t>
            </w:r>
          </w:p>
        </w:tc>
        <w:tc>
          <w:tcPr/>
          <w:p>
            <w:pPr>
              <w:pStyle w:val="Compact"/>
              <w:jc w:val="center"/>
            </w:pPr>
            <w:r>
              <w:t xml:space="preserve">LiveCheck</w:t>
            </w:r>
          </w:p>
        </w:tc>
        <w:tc>
          <w:tcPr/>
          <w:p>
            <w:pPr>
              <w:pStyle w:val="Compact"/>
              <w:jc w:val="center"/>
            </w:pPr>
            <w:r>
              <w:t xml:space="preserve">Factiverse</w:t>
            </w:r>
          </w:p>
        </w:tc>
        <w:tc>
          <w:tcPr/>
          <w:p>
            <w:pPr>
              <w:pStyle w:val="Compact"/>
              <w:jc w:val="center"/>
            </w:pPr>
            <w:r>
              <w:t xml:space="preserve">Full Fact AI</w:t>
            </w:r>
          </w:p>
        </w:tc>
        <w:tc>
          <w:tcPr/>
          <w:p>
            <w:pPr>
              <w:pStyle w:val="Compact"/>
              <w:jc w:val="center"/>
            </w:pPr>
            <w:r>
              <w:t xml:space="preserve">LiveFC</w:t>
            </w:r>
          </w:p>
        </w:tc>
        <w:tc>
          <w:tcPr/>
          <w:p>
            <w:pPr>
              <w:pStyle w:val="Compact"/>
              <w:jc w:val="center"/>
            </w:pPr>
            <w:r>
              <w:t xml:space="preserve">Logically</w:t>
            </w:r>
          </w:p>
        </w:tc>
        <w:tc>
          <w:tcPr/>
          <w:p>
            <w:pPr>
              <w:pStyle w:val="Compact"/>
              <w:jc w:val="center"/>
            </w:pPr>
            <w:r>
              <w:t xml:space="preserve">Buster.ai</w:t>
            </w:r>
          </w:p>
        </w:tc>
      </w:tr>
      <w:tr>
        <w:tc>
          <w:tcPr/>
          <w:p>
            <w:pPr>
              <w:pStyle w:val="Compact"/>
            </w:pPr>
            <w:r>
              <w:t xml:space="preserve">Echtzeit Audio/Video</w:t>
            </w:r>
          </w:p>
        </w:tc>
        <w:tc>
          <w:tcPr/>
          <w:p>
            <w:pPr>
              <w:pStyle w:val="Compact"/>
              <w:jc w:val="center"/>
            </w:pPr>
            <w:r>
              <w:t xml:space="preserve">Ja</w:t>
            </w:r>
          </w:p>
        </w:tc>
        <w:tc>
          <w:tcPr/>
          <w:p>
            <w:pPr>
              <w:pStyle w:val="Compact"/>
              <w:jc w:val="center"/>
            </w:pPr>
            <w:r>
              <w:t xml:space="preserve">Ja</w:t>
            </w:r>
          </w:p>
        </w:tc>
        <w:tc>
          <w:tcPr/>
          <w:p>
            <w:pPr>
              <w:pStyle w:val="Compact"/>
              <w:jc w:val="center"/>
            </w:pPr>
            <w:r>
              <w:t xml:space="preserve">Nein</w:t>
            </w:r>
          </w:p>
        </w:tc>
        <w:tc>
          <w:tcPr/>
          <w:p>
            <w:pPr>
              <w:pStyle w:val="Compact"/>
              <w:jc w:val="center"/>
            </w:pPr>
            <w:r>
              <w:t xml:space="preserve">Ja</w:t>
            </w:r>
          </w:p>
        </w:tc>
        <w:tc>
          <w:tcPr/>
          <w:p>
            <w:pPr>
              <w:pStyle w:val="Compact"/>
              <w:jc w:val="center"/>
            </w:pPr>
            <w:r>
              <w:t xml:space="preserve">Nein</w:t>
            </w:r>
          </w:p>
        </w:tc>
        <w:tc>
          <w:tcPr/>
          <w:p>
            <w:pPr>
              <w:pStyle w:val="Compact"/>
              <w:jc w:val="center"/>
            </w:pPr>
            <w:r>
              <w:t xml:space="preserve">Nein</w:t>
            </w:r>
          </w:p>
        </w:tc>
      </w:tr>
      <w:tr>
        <w:tc>
          <w:tcPr/>
          <w:p>
            <w:pPr>
              <w:pStyle w:val="Compact"/>
            </w:pPr>
            <w:r>
              <w:t xml:space="preserve">Evidenzbasiert</w:t>
            </w:r>
          </w:p>
        </w:tc>
        <w:tc>
          <w:tcPr/>
          <w:p>
            <w:pPr>
              <w:pStyle w:val="Compact"/>
              <w:jc w:val="center"/>
            </w:pPr>
            <w:r>
              <w:t xml:space="preserve">Ja</w:t>
            </w:r>
          </w:p>
        </w:tc>
        <w:tc>
          <w:tcPr/>
          <w:p>
            <w:pPr>
              <w:pStyle w:val="Compact"/>
              <w:jc w:val="center"/>
            </w:pPr>
            <w:r>
              <w:t xml:space="preserve">Teilw.</w:t>
            </w:r>
          </w:p>
        </w:tc>
        <w:tc>
          <w:tcPr/>
          <w:p>
            <w:pPr>
              <w:pStyle w:val="Compact"/>
              <w:jc w:val="center"/>
            </w:pPr>
            <w:r>
              <w:t xml:space="preserve">Nein</w:t>
            </w:r>
          </w:p>
        </w:tc>
        <w:tc>
          <w:tcPr/>
          <w:p>
            <w:pPr>
              <w:pStyle w:val="Compact"/>
              <w:jc w:val="center"/>
            </w:pPr>
            <w:r>
              <w:t xml:space="preserve">Teilw.</w:t>
            </w:r>
          </w:p>
        </w:tc>
        <w:tc>
          <w:tcPr/>
          <w:p>
            <w:pPr>
              <w:pStyle w:val="Compact"/>
              <w:jc w:val="center"/>
            </w:pPr>
            <w:r>
              <w:t xml:space="preserve">Teilw.</w:t>
            </w:r>
          </w:p>
        </w:tc>
        <w:tc>
          <w:tcPr/>
          <w:p>
            <w:pPr>
              <w:pStyle w:val="Compact"/>
              <w:jc w:val="center"/>
            </w:pPr>
            <w:r>
              <w:t xml:space="preserve">Ja</w:t>
            </w:r>
          </w:p>
        </w:tc>
      </w:tr>
      <w:tr>
        <w:tc>
          <w:tcPr/>
          <w:p>
            <w:pPr>
              <w:pStyle w:val="Compact"/>
            </w:pPr>
            <w:r>
              <w:t xml:space="preserve">Quellenattribution</w:t>
            </w:r>
          </w:p>
        </w:tc>
        <w:tc>
          <w:tcPr/>
          <w:p>
            <w:pPr>
              <w:pStyle w:val="Compact"/>
              <w:jc w:val="center"/>
            </w:pPr>
            <w:r>
              <w:t xml:space="preserve">Explizit</w:t>
            </w:r>
          </w:p>
        </w:tc>
        <w:tc>
          <w:tcPr/>
          <w:p>
            <w:pPr>
              <w:pStyle w:val="Compact"/>
              <w:jc w:val="center"/>
            </w:pPr>
            <w:r>
              <w:t xml:space="preserve">Keine publ.</w:t>
            </w:r>
          </w:p>
        </w:tc>
        <w:tc>
          <w:tcPr/>
          <w:p>
            <w:pPr>
              <w:pStyle w:val="Compact"/>
              <w:jc w:val="center"/>
            </w:pPr>
            <w:r>
              <w:t xml:space="preserve">Keine</w:t>
            </w:r>
          </w:p>
        </w:tc>
        <w:tc>
          <w:tcPr/>
          <w:p>
            <w:pPr>
              <w:pStyle w:val="Compact"/>
              <w:jc w:val="center"/>
            </w:pPr>
            <w:r>
              <w:t xml:space="preserve">Keine</w:t>
            </w:r>
          </w:p>
        </w:tc>
        <w:tc>
          <w:tcPr/>
          <w:p>
            <w:pPr>
              <w:pStyle w:val="Compact"/>
              <w:jc w:val="center"/>
            </w:pPr>
            <w:r>
              <w:t xml:space="preserve">Keine</w:t>
            </w:r>
          </w:p>
        </w:tc>
        <w:tc>
          <w:tcPr/>
          <w:p>
            <w:pPr>
              <w:pStyle w:val="Compact"/>
              <w:jc w:val="center"/>
            </w:pPr>
            <w:r>
              <w:t xml:space="preserve">Implizit</w:t>
            </w:r>
          </w:p>
        </w:tc>
      </w:tr>
      <w:tr>
        <w:tc>
          <w:tcPr/>
          <w:p>
            <w:pPr>
              <w:pStyle w:val="Compact"/>
            </w:pPr>
            <w:r>
              <w:t xml:space="preserve">Unsicherheitskommunikation</w:t>
            </w:r>
          </w:p>
        </w:tc>
        <w:tc>
          <w:tcPr/>
          <w:p>
            <w:pPr>
              <w:pStyle w:val="Compact"/>
              <w:jc w:val="center"/>
            </w:pPr>
            <w:r>
              <w:t xml:space="preserve">Kalibriert (7-Punkte)</w:t>
            </w:r>
          </w:p>
        </w:tc>
        <w:tc>
          <w:tcPr/>
          <w:p>
            <w:pPr>
              <w:pStyle w:val="Compact"/>
              <w:jc w:val="center"/>
            </w:pPr>
            <w:r>
              <w:t xml:space="preserve">Keine publ.</w:t>
            </w:r>
          </w:p>
        </w:tc>
        <w:tc>
          <w:tcPr/>
          <w:p>
            <w:pPr>
              <w:pStyle w:val="Compact"/>
              <w:jc w:val="center"/>
            </w:pPr>
            <w:r>
              <w:t xml:space="preserve">—</w:t>
            </w:r>
          </w:p>
        </w:tc>
        <w:tc>
          <w:tcPr/>
          <w:p>
            <w:pPr>
              <w:pStyle w:val="Compact"/>
              <w:jc w:val="center"/>
            </w:pPr>
            <w:r>
              <w:t xml:space="preserve">Keine</w:t>
            </w:r>
          </w:p>
        </w:tc>
        <w:tc>
          <w:tcPr/>
          <w:p>
            <w:pPr>
              <w:pStyle w:val="Compact"/>
              <w:jc w:val="center"/>
            </w:pPr>
            <w:r>
              <w:t xml:space="preserve">Keine</w:t>
            </w:r>
          </w:p>
        </w:tc>
        <w:tc>
          <w:tcPr/>
          <w:p>
            <w:pPr>
              <w:pStyle w:val="Compact"/>
              <w:jc w:val="center"/>
            </w:pPr>
            <w:r>
              <w:t xml:space="preserve">Keine</w:t>
            </w:r>
          </w:p>
        </w:tc>
      </w:tr>
      <w:tr>
        <w:tc>
          <w:tcPr/>
          <w:p>
            <w:pPr>
              <w:pStyle w:val="Compact"/>
            </w:pPr>
            <w:r>
              <w:t xml:space="preserve">Human-in-the-Loop</w:t>
            </w:r>
          </w:p>
        </w:tc>
        <w:tc>
          <w:tcPr/>
          <w:p>
            <w:pPr>
              <w:pStyle w:val="Compact"/>
              <w:jc w:val="center"/>
            </w:pPr>
            <w:r>
              <w:t xml:space="preserve">Echtzeit-Triage</w:t>
            </w:r>
          </w:p>
        </w:tc>
        <w:tc>
          <w:tcPr/>
          <w:p>
            <w:pPr>
              <w:pStyle w:val="Compact"/>
              <w:jc w:val="center"/>
            </w:pPr>
            <w:r>
              <w:t xml:space="preserve">Async</w:t>
            </w:r>
          </w:p>
        </w:tc>
        <w:tc>
          <w:tcPr/>
          <w:p>
            <w:pPr>
              <w:pStyle w:val="Compact"/>
              <w:jc w:val="center"/>
            </w:pPr>
            <w:r>
              <w:t xml:space="preserve">Ja (async)</w:t>
            </w:r>
          </w:p>
        </w:tc>
        <w:tc>
          <w:tcPr/>
          <w:p>
            <w:pPr>
              <w:pStyle w:val="Compact"/>
              <w:jc w:val="center"/>
            </w:pPr>
            <w:r>
              <w:t xml:space="preserve">Nein</w:t>
            </w:r>
          </w:p>
        </w:tc>
        <w:tc>
          <w:tcPr/>
          <w:p>
            <w:pPr>
              <w:pStyle w:val="Compact"/>
              <w:jc w:val="center"/>
            </w:pPr>
            <w:r>
              <w:t xml:space="preserve">Ja (async)</w:t>
            </w:r>
          </w:p>
        </w:tc>
        <w:tc>
          <w:tcPr/>
          <w:p>
            <w:pPr>
              <w:pStyle w:val="Compact"/>
              <w:jc w:val="center"/>
            </w:pPr>
            <w:r>
              <w:t xml:space="preserve">Nein</w:t>
            </w:r>
          </w:p>
        </w:tc>
      </w:tr>
      <w:tr>
        <w:tc>
          <w:tcPr/>
          <w:p>
            <w:pPr>
              <w:pStyle w:val="Compact"/>
            </w:pPr>
            <w:r>
              <w:t xml:space="preserve">Multi-Agenten-Debatte</w:t>
            </w:r>
          </w:p>
        </w:tc>
        <w:tc>
          <w:tcPr/>
          <w:p>
            <w:pPr>
              <w:pStyle w:val="Compact"/>
              <w:jc w:val="center"/>
            </w:pPr>
            <w:r>
              <w:t xml:space="preserve">5-Schritt</w:t>
            </w:r>
          </w:p>
        </w:tc>
        <w:tc>
          <w:tcPr/>
          <w:p>
            <w:pPr>
              <w:pStyle w:val="Compact"/>
              <w:jc w:val="center"/>
            </w:pPr>
            <w:r>
              <w:t xml:space="preserve">Nein</w:t>
            </w:r>
          </w:p>
        </w:tc>
        <w:tc>
          <w:tcPr/>
          <w:p>
            <w:pPr>
              <w:pStyle w:val="Compact"/>
              <w:jc w:val="center"/>
            </w:pPr>
            <w:r>
              <w:t xml:space="preserve">Nein</w:t>
            </w:r>
          </w:p>
        </w:tc>
        <w:tc>
          <w:tcPr/>
          <w:p>
            <w:pPr>
              <w:pStyle w:val="Compact"/>
              <w:jc w:val="center"/>
            </w:pPr>
            <w:r>
              <w:t xml:space="preserve">Nein</w:t>
            </w:r>
          </w:p>
        </w:tc>
        <w:tc>
          <w:tcPr/>
          <w:p>
            <w:pPr>
              <w:pStyle w:val="Compact"/>
              <w:jc w:val="center"/>
            </w:pPr>
            <w:r>
              <w:t xml:space="preserve">Nein</w:t>
            </w:r>
          </w:p>
        </w:tc>
        <w:tc>
          <w:tcPr/>
          <w:p>
            <w:pPr>
              <w:pStyle w:val="Compact"/>
              <w:jc w:val="center"/>
            </w:pPr>
            <w:r>
              <w:t xml:space="preserve">Nein</w:t>
            </w:r>
          </w:p>
        </w:tc>
      </w:tr>
      <w:tr>
        <w:tc>
          <w:tcPr/>
          <w:p>
            <w:pPr>
              <w:pStyle w:val="Compact"/>
            </w:pPr>
            <w:r>
              <w:t xml:space="preserve">Sprachen</w:t>
            </w:r>
          </w:p>
        </w:tc>
        <w:tc>
          <w:tcPr/>
          <w:p>
            <w:pPr>
              <w:pStyle w:val="Compact"/>
              <w:jc w:val="center"/>
            </w:pPr>
            <w:r>
              <w:t xml:space="preserve">Multilingual (LLM)</w:t>
            </w:r>
          </w:p>
        </w:tc>
        <w:tc>
          <w:tcPr/>
          <w:p>
            <w:pPr>
              <w:pStyle w:val="Compact"/>
              <w:jc w:val="center"/>
            </w:pPr>
            <w:r>
              <w:t xml:space="preserve">114</w:t>
            </w:r>
          </w:p>
        </w:tc>
        <w:tc>
          <w:tcPr/>
          <w:p>
            <w:pPr>
              <w:pStyle w:val="Compact"/>
              <w:jc w:val="center"/>
            </w:pPr>
            <w:r>
              <w:t xml:space="preserve">3</w:t>
            </w:r>
          </w:p>
        </w:tc>
        <w:tc>
          <w:tcPr/>
          <w:p>
            <w:pPr>
              <w:pStyle w:val="Compact"/>
              <w:jc w:val="center"/>
            </w:pPr>
            <w:r>
              <w:t xml:space="preserve">Begrenzt</w:t>
            </w:r>
          </w:p>
        </w:tc>
        <w:tc>
          <w:tcPr/>
          <w:p>
            <w:pPr>
              <w:pStyle w:val="Compact"/>
              <w:jc w:val="center"/>
            </w:pPr>
            <w:r>
              <w:t xml:space="preserve">57</w:t>
            </w:r>
          </w:p>
        </w:tc>
        <w:tc>
          <w:tcPr/>
          <w:p>
            <w:pPr>
              <w:pStyle w:val="Compact"/>
              <w:jc w:val="center"/>
            </w:pPr>
            <w:r>
              <w:t xml:space="preserve">Multi</w:t>
            </w:r>
          </w:p>
        </w:tc>
      </w:tr>
      <w:tr>
        <w:tc>
          <w:tcPr/>
          <w:p>
            <w:pPr>
              <w:pStyle w:val="Compact"/>
            </w:pPr>
            <w:r>
              <w:t xml:space="preserve">Publizierte Genauigkeit</w:t>
            </w:r>
          </w:p>
        </w:tc>
        <w:tc>
          <w:tcPr/>
          <w:p>
            <w:pPr>
              <w:pStyle w:val="Compact"/>
              <w:jc w:val="center"/>
            </w:pPr>
            <w:r>
              <w:t xml:space="preserve">Zu evaluieren</w:t>
            </w:r>
          </w:p>
        </w:tc>
        <w:tc>
          <w:tcPr/>
          <w:p>
            <w:pPr>
              <w:pStyle w:val="Compact"/>
              <w:jc w:val="center"/>
            </w:pPr>
            <w:r>
              <w:t xml:space="preserve">~80%</w:t>
            </w:r>
          </w:p>
        </w:tc>
        <w:tc>
          <w:tcPr/>
          <w:p>
            <w:pPr>
              <w:pStyle w:val="Compact"/>
              <w:jc w:val="center"/>
            </w:pPr>
            <w:r>
              <w:t xml:space="preserve">50→80%</w:t>
            </w:r>
          </w:p>
        </w:tc>
        <w:tc>
          <w:tcPr/>
          <w:p>
            <w:pPr>
              <w:pStyle w:val="Compact"/>
              <w:jc w:val="center"/>
            </w:pPr>
            <w:r>
              <w:t xml:space="preserve">83.9% F1</w:t>
            </w:r>
          </w:p>
        </w:tc>
        <w:tc>
          <w:tcPr/>
          <w:p>
            <w:pPr>
              <w:pStyle w:val="Compact"/>
              <w:jc w:val="center"/>
            </w:pPr>
            <w:r>
              <w:t xml:space="preserve">—</w:t>
            </w:r>
          </w:p>
        </w:tc>
        <w:tc>
          <w:tcPr/>
          <w:p>
            <w:pPr>
              <w:pStyle w:val="Compact"/>
              <w:jc w:val="center"/>
            </w:pPr>
            <w:r>
              <w:t xml:space="preserve">—</w:t>
            </w:r>
          </w:p>
        </w:tc>
      </w:tr>
      <w:tr>
        <w:tc>
          <w:tcPr/>
          <w:p>
            <w:pPr>
              <w:pStyle w:val="Compact"/>
            </w:pPr>
            <w:r>
              <w:t xml:space="preserve">Finanzierung</w:t>
            </w:r>
          </w:p>
        </w:tc>
        <w:tc>
          <w:tcPr/>
          <w:p>
            <w:pPr>
              <w:pStyle w:val="Compact"/>
              <w:jc w:val="center"/>
            </w:pPr>
            <w:r>
              <w:t xml:space="preserve">Innosuisse</w:t>
            </w:r>
          </w:p>
        </w:tc>
        <w:tc>
          <w:tcPr/>
          <w:p>
            <w:pPr>
              <w:pStyle w:val="Compact"/>
              <w:jc w:val="center"/>
            </w:pPr>
            <w:r>
              <w:t xml:space="preserve">EUR 1 Mio.</w:t>
            </w:r>
          </w:p>
        </w:tc>
        <w:tc>
          <w:tcPr/>
          <w:p>
            <w:pPr>
              <w:pStyle w:val="Compact"/>
              <w:jc w:val="center"/>
            </w:pPr>
            <w:r>
              <w:t xml:space="preserve">Stiftungen</w:t>
            </w:r>
          </w:p>
        </w:tc>
        <w:tc>
          <w:tcPr/>
          <w:p>
            <w:pPr>
              <w:pStyle w:val="Compact"/>
              <w:jc w:val="center"/>
            </w:pPr>
            <w:r>
              <w:t xml:space="preserve">Forschung</w:t>
            </w:r>
          </w:p>
        </w:tc>
        <w:tc>
          <w:tcPr/>
          <w:p>
            <w:pPr>
              <w:pStyle w:val="Compact"/>
              <w:jc w:val="center"/>
            </w:pPr>
            <w:r>
              <w:t xml:space="preserve">VC</w:t>
            </w:r>
          </w:p>
        </w:tc>
        <w:tc>
          <w:tcPr/>
          <w:p>
            <w:pPr>
              <w:pStyle w:val="Compact"/>
              <w:jc w:val="center"/>
            </w:pPr>
            <w:r>
              <w:t xml:space="preserve">EUR 2 Mio.</w:t>
            </w:r>
          </w:p>
        </w:tc>
      </w:tr>
    </w:tbl>
    <w:p>
      <w:pPr>
        <w:pStyle w:val="BodyText"/>
      </w:pPr>
      <w:r>
        <w:rPr>
          <w:b/>
          <w:bCs/>
        </w:rPr>
        <w:t xml:space="preserve">Wettbewerbsvorteil:</w:t>
      </w:r>
      <w:r>
        <w:t xml:space="preserve"> </w:t>
      </w:r>
      <w:r>
        <w:t xml:space="preserve">- Know-how: Einzige Cross-Provider-Debattenarchitektur (4 LLM-Provider). Kalibrierungs-Framework ohne publiziertes Äquivalent. 1199 Tests mit Input-Neutralitätsprüfung.</w:t>
      </w:r>
      <w:r>
        <w:t xml:space="preserve"> </w:t>
      </w:r>
      <w:r>
        <w:t xml:space="preserve">- Time-to-Market: Bestehende Plattform (TRL 5-6) als Ausgangspunkt.</w:t>
      </w:r>
      <w:r>
        <w:t xml:space="preserve"> </w:t>
      </w:r>
      <w:r>
        <w:t xml:space="preserve">- Eintrittsbarrieren: Integration von 7 Suchmaschinen + 4 LLM-Providern + 5-Schritt-Debatte + Kalibrierung = hohe Reproduktionskosten. Kalibrierungsdaten über Hunderte Testfälle aufgebaut.</w:t>
      </w:r>
    </w:p>
    <w:bookmarkEnd w:id="24"/>
    <w:bookmarkStart w:id="25" w:name="X8da48ae6175adf88d9feb1b1f07044f2d6807e8"/>
    <w:p>
      <w:pPr>
        <w:pStyle w:val="Heading3"/>
      </w:pPr>
      <w:r>
        <w:t xml:space="preserve">3.7 Umsatz- und Rentabilitätsentwicklung (NPV-Szenarien)</w:t>
      </w:r>
    </w:p>
    <w:p>
      <w:pPr>
        <w:pStyle w:val="FirstParagraph"/>
      </w:pPr>
      <w:r>
        <w:rPr>
          <w:b/>
          <w:bCs/>
        </w:rPr>
        <w:t xml:space="preserve">Szenario A: Ohne Innosuisse-Förderung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Jahr</w:t>
            </w:r>
          </w:p>
        </w:tc>
        <w:tc>
          <w:tcPr/>
          <w:p>
            <w:pPr>
              <w:pStyle w:val="Compact"/>
            </w:pPr>
            <w:r>
              <w:t xml:space="preserve">Investition</w:t>
            </w:r>
          </w:p>
        </w:tc>
        <w:tc>
          <w:tcPr/>
          <w:p>
            <w:pPr>
              <w:pStyle w:val="Compact"/>
            </w:pPr>
            <w:r>
              <w:t xml:space="preserve">Umsatz</w:t>
            </w:r>
          </w:p>
        </w:tc>
        <w:tc>
          <w:tcPr/>
          <w:p>
            <w:pPr>
              <w:pStyle w:val="Compact"/>
            </w:pPr>
            <w:r>
              <w:t xml:space="preserve">Cashflow</w:t>
            </w:r>
          </w:p>
        </w:tc>
        <w:tc>
          <w:tcPr/>
          <w:p>
            <w:pPr>
              <w:pStyle w:val="Compact"/>
            </w:pPr>
            <w:r>
              <w:t xml:space="preserve">Kumulativ</w:t>
            </w:r>
          </w:p>
        </w:tc>
      </w:tr>
      <w:tr>
        <w:tc>
          <w:tcPr/>
          <w:p>
            <w:pPr>
              <w:pStyle w:val="Compact"/>
            </w:pPr>
            <w:r>
              <w:t xml:space="preserve">1</w:t>
            </w:r>
          </w:p>
        </w:tc>
        <w:tc>
          <w:tcPr/>
          <w:p>
            <w:pPr>
              <w:pStyle w:val="Compact"/>
            </w:pPr>
            <w:r>
              <w:t xml:space="preserve">CHF -150’000</w:t>
            </w:r>
          </w:p>
        </w:tc>
        <w:tc>
          <w:tcPr/>
          <w:p>
            <w:pPr>
              <w:pStyle w:val="Compact"/>
            </w:pPr>
            <w:r>
              <w:t xml:space="preserve">CHF 0</w:t>
            </w:r>
          </w:p>
        </w:tc>
        <w:tc>
          <w:tcPr/>
          <w:p>
            <w:pPr>
              <w:pStyle w:val="Compact"/>
            </w:pPr>
            <w:r>
              <w:t xml:space="preserve">CHF -150’000</w:t>
            </w:r>
          </w:p>
        </w:tc>
        <w:tc>
          <w:tcPr/>
          <w:p>
            <w:pPr>
              <w:pStyle w:val="Compact"/>
            </w:pPr>
            <w:r>
              <w:t xml:space="preserve">CHF -150’000</w:t>
            </w:r>
          </w:p>
        </w:tc>
      </w:tr>
      <w:tr>
        <w:tc>
          <w:tcPr/>
          <w:p>
            <w:pPr>
              <w:pStyle w:val="Compact"/>
            </w:pPr>
            <w:r>
              <w:t xml:space="preserve">2</w:t>
            </w:r>
          </w:p>
        </w:tc>
        <w:tc>
          <w:tcPr/>
          <w:p>
            <w:pPr>
              <w:pStyle w:val="Compact"/>
            </w:pPr>
            <w:r>
              <w:t xml:space="preserve">CHF -120’000</w:t>
            </w:r>
          </w:p>
        </w:tc>
        <w:tc>
          <w:tcPr/>
          <w:p>
            <w:pPr>
              <w:pStyle w:val="Compact"/>
            </w:pPr>
            <w:r>
              <w:t xml:space="preserve">CHF 0</w:t>
            </w:r>
          </w:p>
        </w:tc>
        <w:tc>
          <w:tcPr/>
          <w:p>
            <w:pPr>
              <w:pStyle w:val="Compact"/>
            </w:pPr>
            <w:r>
              <w:t xml:space="preserve">CHF -120’000</w:t>
            </w:r>
          </w:p>
        </w:tc>
        <w:tc>
          <w:tcPr/>
          <w:p>
            <w:pPr>
              <w:pStyle w:val="Compact"/>
            </w:pPr>
            <w:r>
              <w:t xml:space="preserve">CHF -270’000</w:t>
            </w:r>
          </w:p>
        </w:tc>
      </w:tr>
      <w:tr>
        <w:tc>
          <w:tcPr/>
          <w:p>
            <w:pPr>
              <w:pStyle w:val="Compact"/>
            </w:pPr>
            <w:r>
              <w:t xml:space="preserve">3</w:t>
            </w:r>
          </w:p>
        </w:tc>
        <w:tc>
          <w:tcPr/>
          <w:p>
            <w:pPr>
              <w:pStyle w:val="Compact"/>
            </w:pPr>
            <w:r>
              <w:t xml:space="preserve">CHF -80’000</w:t>
            </w:r>
          </w:p>
        </w:tc>
        <w:tc>
          <w:tcPr/>
          <w:p>
            <w:pPr>
              <w:pStyle w:val="Compact"/>
            </w:pPr>
            <w:r>
              <w:t xml:space="preserve">CHF 60’000</w:t>
            </w:r>
          </w:p>
        </w:tc>
        <w:tc>
          <w:tcPr/>
          <w:p>
            <w:pPr>
              <w:pStyle w:val="Compact"/>
            </w:pPr>
            <w:r>
              <w:t xml:space="preserve">CHF -20’000</w:t>
            </w:r>
          </w:p>
        </w:tc>
        <w:tc>
          <w:tcPr/>
          <w:p>
            <w:pPr>
              <w:pStyle w:val="Compact"/>
            </w:pPr>
            <w:r>
              <w:t xml:space="preserve">CHF -290’000</w:t>
            </w:r>
          </w:p>
        </w:tc>
      </w:tr>
      <w:tr>
        <w:tc>
          <w:tcPr/>
          <w:p>
            <w:pPr>
              <w:pStyle w:val="Compact"/>
            </w:pPr>
            <w:r>
              <w:t xml:space="preserve">4</w:t>
            </w:r>
          </w:p>
        </w:tc>
        <w:tc>
          <w:tcPr/>
          <w:p>
            <w:pPr>
              <w:pStyle w:val="Compact"/>
            </w:pPr>
            <w:r>
              <w:t xml:space="preserve">CHF -60’000</w:t>
            </w:r>
          </w:p>
        </w:tc>
        <w:tc>
          <w:tcPr/>
          <w:p>
            <w:pPr>
              <w:pStyle w:val="Compact"/>
            </w:pPr>
            <w:r>
              <w:t xml:space="preserve">CHF 150’000</w:t>
            </w:r>
          </w:p>
        </w:tc>
        <w:tc>
          <w:tcPr/>
          <w:p>
            <w:pPr>
              <w:pStyle w:val="Compact"/>
            </w:pPr>
            <w:r>
              <w:t xml:space="preserve">CHF 90’000</w:t>
            </w:r>
          </w:p>
        </w:tc>
        <w:tc>
          <w:tcPr/>
          <w:p>
            <w:pPr>
              <w:pStyle w:val="Compact"/>
            </w:pPr>
            <w:r>
              <w:t xml:space="preserve">CHF -200’000</w:t>
            </w:r>
          </w:p>
        </w:tc>
      </w:tr>
      <w:tr>
        <w:tc>
          <w:tcPr/>
          <w:p>
            <w:pPr>
              <w:pStyle w:val="Compact"/>
            </w:pPr>
            <w:r>
              <w:t xml:space="preserve">5</w:t>
            </w:r>
          </w:p>
        </w:tc>
        <w:tc>
          <w:tcPr/>
          <w:p>
            <w:pPr>
              <w:pStyle w:val="Compact"/>
            </w:pPr>
            <w:r>
              <w:t xml:space="preserve">CHF -60’000</w:t>
            </w:r>
          </w:p>
        </w:tc>
        <w:tc>
          <w:tcPr/>
          <w:p>
            <w:pPr>
              <w:pStyle w:val="Compact"/>
            </w:pPr>
            <w:r>
              <w:t xml:space="preserve">CHF 300’000</w:t>
            </w:r>
          </w:p>
        </w:tc>
        <w:tc>
          <w:tcPr/>
          <w:p>
            <w:pPr>
              <w:pStyle w:val="Compact"/>
            </w:pPr>
            <w:r>
              <w:t xml:space="preserve">CHF 240’000</w:t>
            </w:r>
          </w:p>
        </w:tc>
        <w:tc>
          <w:tcPr/>
          <w:p>
            <w:pPr>
              <w:pStyle w:val="Compact"/>
            </w:pPr>
            <w:r>
              <w:t xml:space="preserve">CHF 40’000</w:t>
            </w:r>
          </w:p>
        </w:tc>
      </w:tr>
    </w:tbl>
    <w:p>
      <w:pPr>
        <w:pStyle w:val="BodyText"/>
      </w:pPr>
      <w:r>
        <w:rPr>
          <w:b/>
          <w:bCs/>
        </w:rPr>
        <w:t xml:space="preserve">NPV (8%, 5 Jahre): CHF -82’000</w:t>
      </w:r>
      <w:r>
        <w:t xml:space="preserve"> </w:t>
      </w:r>
      <w:r>
        <w:t xml:space="preserve">— wirtschaftlich marginal</w:t>
      </w:r>
    </w:p>
    <w:p>
      <w:pPr>
        <w:pStyle w:val="BodyText"/>
      </w:pPr>
      <w:r>
        <w:rPr>
          <w:b/>
          <w:bCs/>
        </w:rPr>
        <w:t xml:space="preserve">Szenario B: Mit Innosuisse-Förderung</w:t>
      </w:r>
    </w:p>
    <w:tbl>
      <w:tblPr>
        <w:tblStyle w:val="Table"/>
        <w:tblW w:type="pct" w:w="5000"/>
        <w:tblLayout w:type="fixed"/>
        <w:tblLook w:firstRow="1" w:lastRow="0" w:firstColumn="0" w:lastColumn="0" w:noHBand="0" w:noVBand="0" w:val="0020"/>
      </w:tblPr>
      <w:tblGrid>
        <w:gridCol w:w="601"/>
        <w:gridCol w:w="1804"/>
        <w:gridCol w:w="1303"/>
        <w:gridCol w:w="1303"/>
        <w:gridCol w:w="1503"/>
        <w:gridCol w:w="1403"/>
      </w:tblGrid>
      <w:tr>
        <w:trPr>
          <w:tblHeader w:val="on"/>
        </w:trPr>
        <w:tc>
          <w:tcPr/>
          <w:p>
            <w:pPr>
              <w:pStyle w:val="Compact"/>
            </w:pPr>
            <w:r>
              <w:t xml:space="preserve">Jahr</w:t>
            </w:r>
          </w:p>
        </w:tc>
        <w:tc>
          <w:tcPr/>
          <w:p>
            <w:pPr>
              <w:pStyle w:val="Compact"/>
            </w:pPr>
            <w:r>
              <w:t xml:space="preserve">Investition (FH)</w:t>
            </w:r>
          </w:p>
        </w:tc>
        <w:tc>
          <w:tcPr/>
          <w:p>
            <w:pPr>
              <w:pStyle w:val="Compact"/>
            </w:pPr>
            <w:r>
              <w:t xml:space="preserve">Innosuisse</w:t>
            </w:r>
          </w:p>
        </w:tc>
        <w:tc>
          <w:tcPr/>
          <w:p>
            <w:pPr>
              <w:pStyle w:val="Compact"/>
            </w:pPr>
            <w:r>
              <w:t xml:space="preserve">Umsatz</w:t>
            </w:r>
          </w:p>
        </w:tc>
        <w:tc>
          <w:tcPr/>
          <w:p>
            <w:pPr>
              <w:pStyle w:val="Compact"/>
            </w:pPr>
            <w:r>
              <w:t xml:space="preserve">Cashflow (FH)</w:t>
            </w:r>
          </w:p>
        </w:tc>
        <w:tc>
          <w:tcPr/>
          <w:p>
            <w:pPr>
              <w:pStyle w:val="Compact"/>
            </w:pPr>
            <w:r>
              <w:t xml:space="preserve">Kumulativ</w:t>
            </w:r>
          </w:p>
        </w:tc>
      </w:tr>
      <w:tr>
        <w:tc>
          <w:tcPr/>
          <w:p>
            <w:pPr>
              <w:pStyle w:val="Compact"/>
            </w:pPr>
            <w:r>
              <w:t xml:space="preserve">1</w:t>
            </w:r>
          </w:p>
        </w:tc>
        <w:tc>
          <w:tcPr/>
          <w:p>
            <w:pPr>
              <w:pStyle w:val="Compact"/>
            </w:pPr>
            <w:r>
              <w:t xml:space="preserve">CHF -65’000</w:t>
            </w:r>
          </w:p>
        </w:tc>
        <w:tc>
          <w:tcPr/>
          <w:p>
            <w:pPr>
              <w:pStyle w:val="Compact"/>
            </w:pPr>
            <w:r>
              <w:t xml:space="preserve">CHF 137’500</w:t>
            </w:r>
          </w:p>
        </w:tc>
        <w:tc>
          <w:tcPr/>
          <w:p>
            <w:pPr>
              <w:pStyle w:val="Compact"/>
            </w:pPr>
            <w:r>
              <w:t xml:space="preserve">CHF 0</w:t>
            </w:r>
          </w:p>
        </w:tc>
        <w:tc>
          <w:tcPr/>
          <w:p>
            <w:pPr>
              <w:pStyle w:val="Compact"/>
            </w:pPr>
            <w:r>
              <w:t xml:space="preserve">CHF -65’000</w:t>
            </w:r>
          </w:p>
        </w:tc>
        <w:tc>
          <w:tcPr/>
          <w:p>
            <w:pPr>
              <w:pStyle w:val="Compact"/>
            </w:pPr>
            <w:r>
              <w:t xml:space="preserve">CHF -65’000</w:t>
            </w:r>
          </w:p>
        </w:tc>
      </w:tr>
      <w:tr>
        <w:tc>
          <w:tcPr/>
          <w:p>
            <w:pPr>
              <w:pStyle w:val="Compact"/>
            </w:pPr>
            <w:r>
              <w:t xml:space="preserve">2</w:t>
            </w:r>
          </w:p>
        </w:tc>
        <w:tc>
          <w:tcPr/>
          <w:p>
            <w:pPr>
              <w:pStyle w:val="Compact"/>
            </w:pPr>
            <w:r>
              <w:t xml:space="preserve">CHF -65’000</w:t>
            </w:r>
          </w:p>
        </w:tc>
        <w:tc>
          <w:tcPr/>
          <w:p>
            <w:pPr>
              <w:pStyle w:val="Compact"/>
            </w:pPr>
            <w:r>
              <w:t xml:space="preserve">CHF 137’500</w:t>
            </w:r>
          </w:p>
        </w:tc>
        <w:tc>
          <w:tcPr/>
          <w:p>
            <w:pPr>
              <w:pStyle w:val="Compact"/>
            </w:pPr>
            <w:r>
              <w:t xml:space="preserve">CHF 30’000</w:t>
            </w:r>
          </w:p>
        </w:tc>
        <w:tc>
          <w:tcPr/>
          <w:p>
            <w:pPr>
              <w:pStyle w:val="Compact"/>
            </w:pPr>
            <w:r>
              <w:t xml:space="preserve">CHF -35’000</w:t>
            </w:r>
          </w:p>
        </w:tc>
        <w:tc>
          <w:tcPr/>
          <w:p>
            <w:pPr>
              <w:pStyle w:val="Compact"/>
            </w:pPr>
            <w:r>
              <w:t xml:space="preserve">CHF -100’000</w:t>
            </w:r>
          </w:p>
        </w:tc>
      </w:tr>
      <w:tr>
        <w:tc>
          <w:tcPr/>
          <w:p>
            <w:pPr>
              <w:pStyle w:val="Compact"/>
            </w:pPr>
            <w:r>
              <w:t xml:space="preserve">3</w:t>
            </w:r>
          </w:p>
        </w:tc>
        <w:tc>
          <w:tcPr/>
          <w:p>
            <w:pPr>
              <w:pStyle w:val="Compact"/>
            </w:pPr>
            <w:r>
              <w:t xml:space="preserve">CHF -40’000</w:t>
            </w:r>
          </w:p>
        </w:tc>
        <w:tc>
          <w:tcPr/>
          <w:p>
            <w:pPr>
              <w:pStyle w:val="Compact"/>
            </w:pPr>
            <w:r>
              <w:t xml:space="preserve">CHF 0</w:t>
            </w:r>
          </w:p>
        </w:tc>
        <w:tc>
          <w:tcPr/>
          <w:p>
            <w:pPr>
              <w:pStyle w:val="Compact"/>
            </w:pPr>
            <w:r>
              <w:t xml:space="preserve">CHF 150’000</w:t>
            </w:r>
          </w:p>
        </w:tc>
        <w:tc>
          <w:tcPr/>
          <w:p>
            <w:pPr>
              <w:pStyle w:val="Compact"/>
            </w:pPr>
            <w:r>
              <w:t xml:space="preserve">CHF 110’000</w:t>
            </w:r>
          </w:p>
        </w:tc>
        <w:tc>
          <w:tcPr/>
          <w:p>
            <w:pPr>
              <w:pStyle w:val="Compact"/>
            </w:pPr>
            <w:r>
              <w:t xml:space="preserve">CHF 10’000</w:t>
            </w:r>
          </w:p>
        </w:tc>
      </w:tr>
      <w:tr>
        <w:tc>
          <w:tcPr/>
          <w:p>
            <w:pPr>
              <w:pStyle w:val="Compact"/>
            </w:pPr>
            <w:r>
              <w:t xml:space="preserve">4</w:t>
            </w:r>
          </w:p>
        </w:tc>
        <w:tc>
          <w:tcPr/>
          <w:p>
            <w:pPr>
              <w:pStyle w:val="Compact"/>
            </w:pPr>
            <w:r>
              <w:t xml:space="preserve">CHF -40’000</w:t>
            </w:r>
          </w:p>
        </w:tc>
        <w:tc>
          <w:tcPr/>
          <w:p>
            <w:pPr>
              <w:pStyle w:val="Compact"/>
            </w:pPr>
            <w:r>
              <w:t xml:space="preserve">CHF 0</w:t>
            </w:r>
          </w:p>
        </w:tc>
        <w:tc>
          <w:tcPr/>
          <w:p>
            <w:pPr>
              <w:pStyle w:val="Compact"/>
            </w:pPr>
            <w:r>
              <w:t xml:space="preserve">CHF 400’000</w:t>
            </w:r>
          </w:p>
        </w:tc>
        <w:tc>
          <w:tcPr/>
          <w:p>
            <w:pPr>
              <w:pStyle w:val="Compact"/>
            </w:pPr>
            <w:r>
              <w:t xml:space="preserve">CHF 360’000</w:t>
            </w:r>
          </w:p>
        </w:tc>
        <w:tc>
          <w:tcPr/>
          <w:p>
            <w:pPr>
              <w:pStyle w:val="Compact"/>
            </w:pPr>
            <w:r>
              <w:t xml:space="preserve">CHF 370’000</w:t>
            </w:r>
          </w:p>
        </w:tc>
      </w:tr>
      <w:tr>
        <w:tc>
          <w:tcPr/>
          <w:p>
            <w:pPr>
              <w:pStyle w:val="Compact"/>
            </w:pPr>
            <w:r>
              <w:t xml:space="preserve">5</w:t>
            </w:r>
          </w:p>
        </w:tc>
        <w:tc>
          <w:tcPr/>
          <w:p>
            <w:pPr>
              <w:pStyle w:val="Compact"/>
            </w:pPr>
            <w:r>
              <w:t xml:space="preserve">CHF -40’000</w:t>
            </w:r>
          </w:p>
        </w:tc>
        <w:tc>
          <w:tcPr/>
          <w:p>
            <w:pPr>
              <w:pStyle w:val="Compact"/>
            </w:pPr>
            <w:r>
              <w:t xml:space="preserve">CHF 0</w:t>
            </w:r>
          </w:p>
        </w:tc>
        <w:tc>
          <w:tcPr/>
          <w:p>
            <w:pPr>
              <w:pStyle w:val="Compact"/>
            </w:pPr>
            <w:r>
              <w:t xml:space="preserve">CHF 600’000</w:t>
            </w:r>
          </w:p>
        </w:tc>
        <w:tc>
          <w:tcPr/>
          <w:p>
            <w:pPr>
              <w:pStyle w:val="Compact"/>
            </w:pPr>
            <w:r>
              <w:t xml:space="preserve">CHF 560’000</w:t>
            </w:r>
          </w:p>
        </w:tc>
        <w:tc>
          <w:tcPr/>
          <w:p>
            <w:pPr>
              <w:pStyle w:val="Compact"/>
            </w:pPr>
            <w:r>
              <w:t xml:space="preserve">CHF 930’000</w:t>
            </w:r>
          </w:p>
        </w:tc>
      </w:tr>
    </w:tbl>
    <w:p>
      <w:pPr>
        <w:pStyle w:val="BodyText"/>
      </w:pPr>
      <w:r>
        <w:rPr>
          <w:b/>
          <w:bCs/>
        </w:rPr>
        <w:t xml:space="preserve">NPV (8%, 5 Jahre): CHF 585’000</w:t>
      </w:r>
      <w:r>
        <w:t xml:space="preserve"> </w:t>
      </w:r>
      <w:r>
        <w:t xml:space="preserve">— wirtschaftlich attraktiv</w:t>
      </w:r>
    </w:p>
    <w:p>
      <w:pPr>
        <w:pStyle w:val="BodyText"/>
      </w:pPr>
      <w:r>
        <w:rPr>
          <w:b/>
          <w:bCs/>
        </w:rPr>
        <w:t xml:space="preserve">Die Innosuisse-Förderung ermöglicht einen um 2 Jahre früheren Markteintritt (Differenz: CHF 667’000).</w:t>
      </w:r>
    </w:p>
    <w:bookmarkEnd w:id="25"/>
    <w:bookmarkStart w:id="26" w:name="markteinführungsstrategie"/>
    <w:p>
      <w:pPr>
        <w:pStyle w:val="Heading3"/>
      </w:pPr>
      <w:r>
        <w:t xml:space="preserve">3.8 Markteinführungsstrategie</w:t>
      </w:r>
    </w:p>
    <w:p>
      <w:pPr>
        <w:pStyle w:val="FirstParagraph"/>
      </w:pPr>
      <w:r>
        <w:rPr>
          <w:b/>
          <w:bCs/>
        </w:rPr>
        <w:t xml:space="preserve">Phase 1 — Pilotierung (Monat 18-24):</w:t>
      </w:r>
      <w:r>
        <w:t xml:space="preserve"> </w:t>
      </w:r>
      <w:r>
        <w:t xml:space="preserve">2-3 Pilot-Newsrooms im DACH-Raum. Kostenlose Nutzung gegen strukturiertes Feedback. Live-Einsatz bei politischen Debatten.</w:t>
      </w:r>
    </w:p>
    <w:p>
      <w:pPr>
        <w:pStyle w:val="BodyText"/>
      </w:pPr>
      <w:r>
        <w:rPr>
          <w:b/>
          <w:bCs/>
        </w:rPr>
        <w:t xml:space="preserve">Phase 2 — Erste Kunden (Jahr 1 nach Projekt):</w:t>
      </w:r>
      <w:r>
        <w:t xml:space="preserve"> </w:t>
      </w:r>
      <w:r>
        <w:t xml:space="preserve">Conversion der Pilotpartner. Aufbau API-Service. Präsenz auf Fachkonferenzen (Global Fact, CLEF, IJ4EU).</w:t>
      </w:r>
    </w:p>
    <w:p>
      <w:pPr>
        <w:pStyle w:val="BodyText"/>
      </w:pPr>
      <w:r>
        <w:rPr>
          <w:b/>
          <w:bCs/>
        </w:rPr>
        <w:t xml:space="preserve">Phase 3 — Skalierung (Jahre 2-3):</w:t>
      </w:r>
      <w:r>
        <w:t xml:space="preserve"> </w:t>
      </w:r>
      <w:r>
        <w:t xml:space="preserve">Expansion in EU-Markt (EDMO-Hubs). Institutionelle Lizenzen. Partnerschaft mit Full Fact AI.</w:t>
      </w:r>
    </w:p>
    <w:p>
      <w:pPr>
        <w:pStyle w:val="BodyText"/>
      </w:pPr>
      <w:r>
        <w:rPr>
          <w:b/>
          <w:bCs/>
        </w:rPr>
        <w:t xml:space="preserve">Nachweis früher Marktentwicklung:</w:t>
      </w:r>
      <w:r>
        <w:t xml:space="preserve"> </w:t>
      </w:r>
      <w:r>
        <w:t xml:space="preserve">FactHarbor-Plattform ist operativ. Factiverse-Markterfolg beweist Zahlungsbereitschaft im Segment. Akademisches Interesse von UZH/ETH bestätigt.</w:t>
      </w:r>
    </w:p>
    <w:bookmarkEnd w:id="26"/>
    <w:bookmarkStart w:id="27" w:name="nachhaltigkeit"/>
    <w:p>
      <w:pPr>
        <w:pStyle w:val="Heading3"/>
      </w:pPr>
      <w:r>
        <w:t xml:space="preserve">3.9 Nachhaltigkeit</w:t>
      </w:r>
    </w:p>
    <w:p>
      <w:pPr>
        <w:pStyle w:val="FirstParagraph"/>
      </w:pPr>
      <w:r>
        <w:t xml:space="preserve">Die finanzielle Nachhaltigkeit basiert auf einem Einnahmenmodell ohne Abhängigkeit von Spenden, Sponsoring oder Subventionen: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Einnahmequelle</w:t>
            </w:r>
          </w:p>
        </w:tc>
        <w:tc>
          <w:tcPr/>
          <w:p>
            <w:pPr>
              <w:pStyle w:val="Compact"/>
            </w:pPr>
            <w:r>
              <w:t xml:space="preserve">Anteil (Ziel, Jahr 5)</w:t>
            </w:r>
          </w:p>
        </w:tc>
      </w:tr>
      <w:tr>
        <w:tc>
          <w:tcPr/>
          <w:p>
            <w:pPr>
              <w:pStyle w:val="Compact"/>
            </w:pPr>
            <w:r>
              <w:t xml:space="preserve">B2B SaaS-Subscriptions</w:t>
            </w:r>
          </w:p>
        </w:tc>
        <w:tc>
          <w:tcPr/>
          <w:p>
            <w:pPr>
              <w:pStyle w:val="Compact"/>
            </w:pPr>
            <w:r>
              <w:t xml:space="preserve">50%</w:t>
            </w:r>
          </w:p>
        </w:tc>
      </w:tr>
      <w:tr>
        <w:tc>
          <w:tcPr/>
          <w:p>
            <w:pPr>
              <w:pStyle w:val="Compact"/>
            </w:pPr>
            <w:r>
              <w:t xml:space="preserve">API-Umsatz (Pay-per-Verifikation)</w:t>
            </w:r>
          </w:p>
        </w:tc>
        <w:tc>
          <w:tcPr/>
          <w:p>
            <w:pPr>
              <w:pStyle w:val="Compact"/>
            </w:pPr>
            <w:r>
              <w:t xml:space="preserve">25%</w:t>
            </w:r>
          </w:p>
        </w:tc>
      </w:tr>
      <w:tr>
        <w:tc>
          <w:tcPr/>
          <w:p>
            <w:pPr>
              <w:pStyle w:val="Compact"/>
            </w:pPr>
            <w:r>
              <w:t xml:space="preserve">Institutionelle Lizenzen</w:t>
            </w:r>
          </w:p>
        </w:tc>
        <w:tc>
          <w:tcPr/>
          <w:p>
            <w:pPr>
              <w:pStyle w:val="Compact"/>
            </w:pPr>
            <w:r>
              <w:t xml:space="preserve">15%</w:t>
            </w:r>
          </w:p>
        </w:tc>
      </w:tr>
      <w:tr>
        <w:tc>
          <w:tcPr/>
          <w:p>
            <w:pPr>
              <w:pStyle w:val="Compact"/>
            </w:pPr>
            <w:r>
              <w:t xml:space="preserve">Evaluations-/Beratungsdienste</w:t>
            </w:r>
          </w:p>
        </w:tc>
        <w:tc>
          <w:tcPr/>
          <w:p>
            <w:pPr>
              <w:pStyle w:val="Compact"/>
            </w:pPr>
            <w:r>
              <w:t xml:space="preserve">10%</w:t>
            </w:r>
          </w:p>
        </w:tc>
      </w:tr>
    </w:tbl>
    <w:p>
      <w:pPr>
        <w:pStyle w:val="BodyText"/>
      </w:pPr>
      <w:r>
        <w:t xml:space="preserve">Risikominimierung: Dual-Tier-Preismodell (Non-Profit / kommerziell). Multi-Provider-Architektur ohne Abhängigkeit von einem LLM-Anbieter (Lehre aus Full Facts Google-Verlust: &gt;GBP 1 Mio./Jahr).</w:t>
      </w:r>
    </w:p>
    <w:bookmarkEnd w:id="27"/>
    <w:bookmarkStart w:id="28" w:name="erwartete-resultate-und-begünstigte"/>
    <w:p>
      <w:pPr>
        <w:pStyle w:val="Heading3"/>
      </w:pPr>
      <w:r>
        <w:t xml:space="preserve">3.10 Erwartete Resultate und Begünstigte</w:t>
      </w:r>
    </w:p>
    <w:p>
      <w:pPr>
        <w:pStyle w:val="FirstParagraph"/>
      </w:pPr>
      <w:r>
        <w:rPr>
          <w:b/>
          <w:bCs/>
        </w:rPr>
        <w:t xml:space="preserve">Quantitative Ergebnisse:</w:t>
      </w:r>
    </w:p>
    <w:tbl>
      <w:tblPr>
        <w:tblStyle w:val="Table"/>
        <w:tblW w:type="pct" w:w="5000"/>
        <w:tblLayout w:type="fixed"/>
        <w:tblLook w:firstRow="1" w:lastRow="0" w:firstColumn="0" w:lastColumn="0" w:noHBand="0" w:noVBand="0" w:val="0020"/>
      </w:tblPr>
      <w:tblGrid>
        <w:gridCol w:w="2290"/>
        <w:gridCol w:w="2290"/>
        <w:gridCol w:w="3339"/>
      </w:tblGrid>
      <w:tr>
        <w:trPr>
          <w:tblHeader w:val="on"/>
        </w:trPr>
        <w:tc>
          <w:tcPr/>
          <w:p>
            <w:pPr>
              <w:pStyle w:val="Compact"/>
            </w:pPr>
            <w:r>
              <w:t xml:space="preserve">Metrik</w:t>
            </w:r>
          </w:p>
        </w:tc>
        <w:tc>
          <w:tcPr/>
          <w:p>
            <w:pPr>
              <w:pStyle w:val="Compact"/>
            </w:pPr>
            <w:r>
              <w:t xml:space="preserve">Zielwert</w:t>
            </w:r>
          </w:p>
        </w:tc>
        <w:tc>
          <w:tcPr/>
          <w:p>
            <w:pPr>
              <w:pStyle w:val="Compact"/>
            </w:pPr>
            <w:r>
              <w:t xml:space="preserve">Baseline</w:t>
            </w:r>
          </w:p>
        </w:tc>
      </w:tr>
      <w:tr>
        <w:tc>
          <w:tcPr/>
          <w:p>
            <w:pPr>
              <w:pStyle w:val="Compact"/>
            </w:pPr>
            <w:r>
              <w:t xml:space="preserve">End-to-End-Latenz</w:t>
            </w:r>
          </w:p>
        </w:tc>
        <w:tc>
          <w:tcPr/>
          <w:p>
            <w:pPr>
              <w:pStyle w:val="Compact"/>
            </w:pPr>
            <w:r>
              <w:t xml:space="preserve">&lt;15 Sekunden</w:t>
            </w:r>
          </w:p>
        </w:tc>
        <w:tc>
          <w:tcPr/>
          <w:p>
            <w:pPr>
              <w:pStyle w:val="Compact"/>
            </w:pPr>
            <w:r>
              <w:t xml:space="preserve">Manuell: 15-60 Minuten</w:t>
            </w:r>
          </w:p>
        </w:tc>
      </w:tr>
      <w:tr>
        <w:tc>
          <w:tcPr/>
          <w:p>
            <w:pPr>
              <w:pStyle w:val="Compact"/>
            </w:pPr>
            <w:r>
              <w:t xml:space="preserve">Claim Detection F1</w:t>
            </w:r>
          </w:p>
        </w:tc>
        <w:tc>
          <w:tcPr/>
          <w:p>
            <w:pPr>
              <w:pStyle w:val="Compact"/>
            </w:pPr>
            <w:r>
              <w:t xml:space="preserve">≥0.85</w:t>
            </w:r>
          </w:p>
        </w:tc>
        <w:tc>
          <w:tcPr/>
          <w:p>
            <w:pPr>
              <w:pStyle w:val="Compact"/>
            </w:pPr>
            <w:r>
              <w:t xml:space="preserve">ClaimBuster: 0.899; LiveFC: 0.899</w:t>
            </w:r>
          </w:p>
        </w:tc>
      </w:tr>
      <w:tr>
        <w:tc>
          <w:tcPr/>
          <w:p>
            <w:pPr>
              <w:pStyle w:val="Compact"/>
            </w:pPr>
            <w:r>
              <w:t xml:space="preserve">Veracity Prediction F1</w:t>
            </w:r>
          </w:p>
        </w:tc>
        <w:tc>
          <w:tcPr/>
          <w:p>
            <w:pPr>
              <w:pStyle w:val="Compact"/>
            </w:pPr>
            <w:r>
              <w:t xml:space="preserve">≥0.75</w:t>
            </w:r>
          </w:p>
        </w:tc>
        <w:tc>
          <w:tcPr/>
          <w:p>
            <w:pPr>
              <w:pStyle w:val="Compact"/>
            </w:pPr>
            <w:r>
              <w:t xml:space="preserve">LiveFC: 0.839 (binär)</w:t>
            </w:r>
          </w:p>
        </w:tc>
      </w:tr>
      <w:tr>
        <w:tc>
          <w:tcPr/>
          <w:p>
            <w:pPr>
              <w:pStyle w:val="Compact"/>
            </w:pPr>
            <w:r>
              <w:t xml:space="preserve">Attributionsqualität</w:t>
            </w:r>
          </w:p>
        </w:tc>
        <w:tc>
          <w:tcPr/>
          <w:p>
            <w:pPr>
              <w:pStyle w:val="Compact"/>
            </w:pPr>
            <w:r>
              <w:t xml:space="preserve">≥80% korrekt</w:t>
            </w:r>
          </w:p>
        </w:tc>
        <w:tc>
          <w:tcPr/>
          <w:p>
            <w:pPr>
              <w:pStyle w:val="Compact"/>
            </w:pPr>
            <w:r>
              <w:t xml:space="preserve">Schimanski et al. 2024</w:t>
            </w:r>
          </w:p>
        </w:tc>
      </w:tr>
      <w:tr>
        <w:tc>
          <w:tcPr/>
          <w:p>
            <w:pPr>
              <w:pStyle w:val="Compact"/>
            </w:pPr>
            <w:r>
              <w:t xml:space="preserve">Verdict-Stabilität</w:t>
            </w:r>
          </w:p>
        </w:tc>
        <w:tc>
          <w:tcPr/>
          <w:p>
            <w:pPr>
              <w:pStyle w:val="Compact"/>
            </w:pPr>
            <w:r>
              <w:t xml:space="preserve">&lt;10pp Schwankung (60s)</w:t>
            </w:r>
          </w:p>
        </w:tc>
        <w:tc>
          <w:tcPr/>
          <w:p>
            <w:pPr>
              <w:pStyle w:val="Compact"/>
            </w:pPr>
            <w:r>
              <w:t xml:space="preserve">Kein Benchmark (neu)</w:t>
            </w:r>
          </w:p>
        </w:tc>
      </w:tr>
      <w:tr>
        <w:tc>
          <w:tcPr/>
          <w:p>
            <w:pPr>
              <w:pStyle w:val="Compact"/>
            </w:pPr>
            <w:r>
              <w:t xml:space="preserve">Reviewer-Zeitersparnis</w:t>
            </w:r>
          </w:p>
        </w:tc>
        <w:tc>
          <w:tcPr/>
          <w:p>
            <w:pPr>
              <w:pStyle w:val="Compact"/>
            </w:pPr>
            <w:r>
              <w:t xml:space="preserve">≥40%</w:t>
            </w:r>
          </w:p>
        </w:tc>
        <w:tc>
          <w:tcPr/>
          <w:p>
            <w:pPr>
              <w:pStyle w:val="Compact"/>
            </w:pPr>
            <w:r>
              <w:t xml:space="preserve">Full Fact: qualitativ bestätigt</w:t>
            </w:r>
          </w:p>
        </w:tc>
      </w:tr>
      <w:tr>
        <w:tc>
          <w:tcPr/>
          <w:p>
            <w:pPr>
              <w:pStyle w:val="Compact"/>
            </w:pPr>
            <w:r>
              <w:t xml:space="preserve">Pilotpartner</w:t>
            </w:r>
          </w:p>
        </w:tc>
        <w:tc>
          <w:tcPr/>
          <w:p>
            <w:pPr>
              <w:pStyle w:val="Compact"/>
            </w:pPr>
            <w:r>
              <w:t xml:space="preserve">≥3</w:t>
            </w:r>
          </w:p>
        </w:tc>
        <w:tc>
          <w:tcPr/>
          <w:p>
            <w:pPr>
              <w:pStyle w:val="Compact"/>
            </w:pPr>
            <w:r>
              <w:t xml:space="preserve">—</w:t>
            </w:r>
          </w:p>
        </w:tc>
      </w:tr>
      <w:tr>
        <w:tc>
          <w:tcPr/>
          <w:p>
            <w:pPr>
              <w:pStyle w:val="Compact"/>
            </w:pPr>
            <w:r>
              <w:t xml:space="preserve">Publikationen</w:t>
            </w:r>
          </w:p>
        </w:tc>
        <w:tc>
          <w:tcPr/>
          <w:p>
            <w:pPr>
              <w:pStyle w:val="Compact"/>
            </w:pPr>
            <w:r>
              <w:t xml:space="preserve">≥3 (ACL/EMNLP/NAACL)</w:t>
            </w:r>
          </w:p>
        </w:tc>
        <w:tc>
          <w:tcPr/>
          <w:p>
            <w:pPr>
              <w:pStyle w:val="Compact"/>
            </w:pPr>
            <w:r>
              <w:t xml:space="preserve">—</w:t>
            </w:r>
          </w:p>
        </w:tc>
      </w:tr>
      <w:tr>
        <w:tc>
          <w:tcPr/>
          <w:p>
            <w:pPr>
              <w:pStyle w:val="Compact"/>
            </w:pPr>
            <w:r>
              <w:t xml:space="preserve">Benchmark-Dataset</w:t>
            </w:r>
          </w:p>
        </w:tc>
        <w:tc>
          <w:tcPr/>
          <w:p>
            <w:pPr>
              <w:pStyle w:val="Compact"/>
            </w:pPr>
            <w:r>
              <w:t xml:space="preserve">1 (öffentlich)</w:t>
            </w:r>
          </w:p>
        </w:tc>
        <w:tc>
          <w:tcPr/>
          <w:p>
            <w:pPr>
              <w:pStyle w:val="Compact"/>
            </w:pPr>
            <w:r>
              <w:t xml:space="preserve">—</w:t>
            </w:r>
          </w:p>
        </w:tc>
      </w:tr>
    </w:tbl>
    <w:p>
      <w:pPr>
        <w:pStyle w:val="BodyText"/>
      </w:pPr>
      <w:r>
        <w:rPr>
          <w:b/>
          <w:bCs/>
        </w:rPr>
        <w:t xml:space="preserve">Direkte Begünstigte:</w:t>
      </w:r>
      <w:r>
        <w:t xml:space="preserve"> </w:t>
      </w:r>
      <w:r>
        <w:t xml:space="preserve">Newsrooms, Fact-Checking-Organisationen (443+ weltweit), Monitoring-Teams, öffentliche Institutionen.</w:t>
      </w:r>
    </w:p>
    <w:p>
      <w:pPr>
        <w:pStyle w:val="BodyText"/>
      </w:pPr>
      <w:r>
        <w:rPr>
          <w:b/>
          <w:bCs/>
        </w:rPr>
        <w:t xml:space="preserve">Indirekte Begünstigte:</w:t>
      </w:r>
      <w:r>
        <w:t xml:space="preserve"> </w:t>
      </w:r>
      <w:r>
        <w:t xml:space="preserve">Mediennutzer:innen, demokratische Öffentlichkeit, Forschende im Bereich Information Integrity.</w:t>
      </w:r>
    </w:p>
    <w:bookmarkEnd w:id="28"/>
    <w:bookmarkStart w:id="29" w:name="beitrag-zu-nachhaltiger-entwicklung"/>
    <w:p>
      <w:pPr>
        <w:pStyle w:val="Heading3"/>
      </w:pPr>
      <w:r>
        <w:t xml:space="preserve">3.11 Beitrag zu nachhaltiger Entwicklung</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SDG</w:t>
            </w:r>
          </w:p>
        </w:tc>
        <w:tc>
          <w:tcPr/>
          <w:p>
            <w:pPr>
              <w:pStyle w:val="Compact"/>
            </w:pPr>
            <w:r>
              <w:t xml:space="preserve">Beitrag</w:t>
            </w:r>
          </w:p>
        </w:tc>
      </w:tr>
      <w:tr>
        <w:tc>
          <w:tcPr/>
          <w:p>
            <w:pPr>
              <w:pStyle w:val="Compact"/>
            </w:pPr>
            <w:r>
              <w:t xml:space="preserve">SDG 16: Frieden, Gerechtigkeit, starke Institutionen</w:t>
            </w:r>
          </w:p>
        </w:tc>
        <w:tc>
          <w:tcPr/>
          <w:p>
            <w:pPr>
              <w:pStyle w:val="Compact"/>
            </w:pPr>
            <w:r>
              <w:t xml:space="preserve">Stärkung öffentlicher Informationsintegrität</w:t>
            </w:r>
          </w:p>
        </w:tc>
      </w:tr>
      <w:tr>
        <w:tc>
          <w:tcPr/>
          <w:p>
            <w:pPr>
              <w:pStyle w:val="Compact"/>
            </w:pPr>
            <w:r>
              <w:t xml:space="preserve">SDG 9: Industrie, Innovation, Infrastruktur</w:t>
            </w:r>
          </w:p>
        </w:tc>
        <w:tc>
          <w:tcPr/>
          <w:p>
            <w:pPr>
              <w:pStyle w:val="Compact"/>
            </w:pPr>
            <w:r>
              <w:t xml:space="preserve">Neuartige Verifikationsinfrastruktur</w:t>
            </w:r>
          </w:p>
        </w:tc>
      </w:tr>
      <w:tr>
        <w:tc>
          <w:tcPr/>
          <w:p>
            <w:pPr>
              <w:pStyle w:val="Compact"/>
            </w:pPr>
            <w:r>
              <w:t xml:space="preserve">SDG 4: Hochwertige Bildung</w:t>
            </w:r>
          </w:p>
        </w:tc>
        <w:tc>
          <w:tcPr/>
          <w:p>
            <w:pPr>
              <w:pStyle w:val="Compact"/>
            </w:pPr>
            <w:r>
              <w:t xml:space="preserve">Transparente Quellenattribution fördert Medienkompetenz</w:t>
            </w:r>
          </w:p>
        </w:tc>
      </w:tr>
      <w:tr>
        <w:tc>
          <w:tcPr/>
          <w:p>
            <w:pPr>
              <w:pStyle w:val="Compact"/>
            </w:pPr>
            <w:r>
              <w:t xml:space="preserve">SDG 17: Partnerschaften</w:t>
            </w:r>
          </w:p>
        </w:tc>
        <w:tc>
          <w:tcPr/>
          <w:p>
            <w:pPr>
              <w:pStyle w:val="Compact"/>
            </w:pPr>
            <w:r>
              <w:t xml:space="preserve">Akademisch-industrielle Partnerschaft; Open-Source-Beitrag</w:t>
            </w:r>
          </w:p>
        </w:tc>
      </w:tr>
    </w:tbl>
    <w:p>
      <w:r>
        <w:pict>
          <v:rect style="width:0;height:1.5pt" o:hralign="center" o:hrstd="t" o:hr="t"/>
        </w:pict>
      </w:r>
    </w:p>
    <w:bookmarkEnd w:id="29"/>
    <w:bookmarkEnd w:id="30"/>
    <w:bookmarkStart w:id="43" w:name="projektplanung"/>
    <w:p>
      <w:pPr>
        <w:pStyle w:val="Heading2"/>
      </w:pPr>
      <w:r>
        <w:t xml:space="preserve">4. Projektplanung</w:t>
      </w:r>
    </w:p>
    <w:bookmarkStart w:id="33" w:name="projektpartner-und-rollen"/>
    <w:p>
      <w:pPr>
        <w:pStyle w:val="Heading3"/>
      </w:pPr>
      <w:r>
        <w:t xml:space="preserve">4.1 Projektpartner und Rollen</w:t>
      </w:r>
    </w:p>
    <w:bookmarkStart w:id="31" w:name="X3d6f14f73d3ede44c5b9eca37e701e9ef724c78"/>
    <w:p>
      <w:pPr>
        <w:pStyle w:val="Heading4"/>
      </w:pPr>
      <w:r>
        <w:t xml:space="preserve">Umsetzungspartner — FactHarbor Verein, Zürich</w:t>
      </w:r>
    </w:p>
    <w:p>
      <w:pPr>
        <w:pStyle w:val="FirstParagraph"/>
      </w:pPr>
      <w:r>
        <w:rPr>
          <w:b/>
          <w:bCs/>
        </w:rPr>
        <w:t xml:space="preserve">Rolle:</w:t>
      </w:r>
      <w:r>
        <w:t xml:space="preserve"> </w:t>
      </w:r>
      <w:r>
        <w:t xml:space="preserve">Produktvision und Systemarchitektur, Integration in bestehende Plattform (TRL 5-6), Implementierung der Live-Pipeline, Pilotierung, Verwertung.</w:t>
      </w:r>
    </w:p>
    <w:p>
      <w:pPr>
        <w:pStyle w:val="BodyText"/>
      </w:pPr>
      <w:r>
        <w:rPr>
          <w:b/>
          <w:bCs/>
        </w:rPr>
        <w:t xml:space="preserve">Kompetenzen:</w:t>
      </w:r>
      <w:r>
        <w:t xml:space="preserve"> </w:t>
      </w:r>
      <w:r>
        <w:t xml:space="preserve">- Lauffähige evidenzbasierte Faktenprüfungsplattform (1199 Tests, Produktionsbetrieb)</w:t>
      </w:r>
      <w:r>
        <w:t xml:space="preserve"> </w:t>
      </w:r>
      <w:r>
        <w:t xml:space="preserve">- 5-Schritt-LLM-Debattenarchitektur mit Cross-Provider-Rollenzuweisung</w:t>
      </w:r>
      <w:r>
        <w:t xml:space="preserve"> </w:t>
      </w:r>
      <w:r>
        <w:t xml:space="preserve">- Multi-Provider-Integration: Anthropic, OpenAI, Google, Mistral (4 LLM-Provider)</w:t>
      </w:r>
      <w:r>
        <w:t xml:space="preserve"> </w:t>
      </w:r>
      <w:r>
        <w:t xml:space="preserve">- 7 integrierte Suchmaschinen: Google CSE, SerpAPI, Brave, Serper, Wikipedia, Semantic Scholar, Google Fact Check API</w:t>
      </w:r>
      <w:r>
        <w:t xml:space="preserve"> </w:t>
      </w:r>
      <w:r>
        <w:t xml:space="preserve">- Kalibrierungs-Framework: Konfidenz-Kalibrierung, Input-Neutralitätsprüfung (≤4% Toleranz), systematische Bias-Messung</w:t>
      </w:r>
      <w:r>
        <w:t xml:space="preserve"> </w:t>
      </w:r>
      <w:r>
        <w:t xml:space="preserve">- UCM-Konfigurationssystem mit 200+ konfigurierbaren Analyseparametern</w:t>
      </w:r>
    </w:p>
    <w:bookmarkEnd w:id="31"/>
    <w:bookmarkStart w:id="32" w:name="Xb662e3dd4c7704240970612a006bef677612c33"/>
    <w:p>
      <w:pPr>
        <w:pStyle w:val="Heading4"/>
      </w:pPr>
      <w:r>
        <w:t xml:space="preserve">Forschungspartner — Universität Zürich, Department of Finance</w:t>
      </w:r>
    </w:p>
    <w:p>
      <w:pPr>
        <w:pStyle w:val="FirstParagraph"/>
      </w:pPr>
      <w:r>
        <w:rPr>
          <w:b/>
          <w:bCs/>
        </w:rPr>
        <w:t xml:space="preserve">Gruppe:</w:t>
      </w:r>
      <w:r>
        <w:t xml:space="preserve"> </w:t>
      </w:r>
      <w:r>
        <w:t xml:space="preserve">Prof. Markus Leippold</w:t>
      </w:r>
      <w:r>
        <w:t xml:space="preserve"> </w:t>
      </w:r>
      <w:r>
        <w:rPr>
          <w:b/>
          <w:bCs/>
        </w:rPr>
        <w:t xml:space="preserve">Kontaktperson:</w:t>
      </w:r>
      <w:r>
        <w:t xml:space="preserve"> </w:t>
      </w:r>
      <w:r>
        <w:t xml:space="preserve">Tobias Schimanski (PhD-Kandidat / angehender Postdoc)</w:t>
      </w:r>
    </w:p>
    <w:p>
      <w:pPr>
        <w:pStyle w:val="BodyText"/>
      </w:pPr>
      <w:r>
        <w:rPr>
          <w:b/>
          <w:bCs/>
        </w:rPr>
        <w:t xml:space="preserve">Rolle:</w:t>
      </w:r>
      <w:r>
        <w:t xml:space="preserve"> </w:t>
      </w:r>
      <w:r>
        <w:t xml:space="preserve">Methodische Mitentwicklung (Streaming-Verifikation, Uncertainty-Quantifizierung), Evaluationsdesign und Benchmarking, wissenschaftliche Fundierung und Publikation.</w:t>
      </w:r>
    </w:p>
    <w:p>
      <w:pPr>
        <w:pStyle w:val="BodyText"/>
      </w:pPr>
      <w:r>
        <w:rPr>
          <w:b/>
          <w:bCs/>
        </w:rPr>
        <w:t xml:space="preserve">Qualifikationen der Gruppe:</w:t>
      </w:r>
      <w:r>
        <w:t xml:space="preserve"> </w:t>
      </w:r>
      <w:r>
        <w:t xml:space="preserve">- CLIMINATOR: 96% Genauigkeit bei Faktenprüfung mit Multi-Agenten-Debatte (npj Climate Action 2025)</w:t>
      </w:r>
      <w:r>
        <w:t xml:space="preserve"> </w:t>
      </w:r>
      <w:r>
        <w:t xml:space="preserve">- AFaCTA: Claim-Detection-Framework, angewendet auf 6 Mio. US-Kongressreden (ACL 2024)</w:t>
      </w:r>
      <w:r>
        <w:t xml:space="preserve"> </w:t>
      </w:r>
      <w:r>
        <w:t xml:space="preserve">- DIRAS: Kalibriertes Relevanz-Scoring via Wissensdistillation, 8B-Modell auf GPT-4-Niveau (NAACL 2025)</w:t>
      </w:r>
      <w:r>
        <w:t xml:space="preserve"> </w:t>
      </w:r>
      <w:r>
        <w:t xml:space="preserve">- Faithful LLM Specialists: Source-Attribution-Metriken (ACL 2024)</w:t>
      </w:r>
      <w:r>
        <w:t xml:space="preserve"> </w:t>
      </w:r>
      <w:r>
        <w:t xml:space="preserve">- ClimRetrieve: IR-Benchmark (EMNLP 2024)</w:t>
      </w:r>
      <w:r>
        <w:t xml:space="preserve"> </w:t>
      </w:r>
      <w:r>
        <w:t xml:space="preserve">- ClimateBERT: 16 Modelle, 840’000+ Downloads</w:t>
      </w:r>
      <w:r>
        <w:t xml:space="preserve"> </w:t>
      </w:r>
      <w:r>
        <w:t xml:space="preserve">- SERI-Förderung NATURE-3B (CHF 748’000, 2025)</w:t>
      </w:r>
    </w:p>
    <w:p>
      <w:pPr>
        <w:pStyle w:val="BodyText"/>
      </w:pPr>
      <w:r>
        <w:rPr>
          <w:b/>
          <w:bCs/>
        </w:rPr>
        <w:t xml:space="preserve">Affiliiert:</w:t>
      </w:r>
      <w:r>
        <w:t xml:space="preserve"> </w:t>
      </w:r>
      <w:r>
        <w:t xml:space="preserve">Prof. Elliott Ash (ETH Zürich, Center for Law &amp; Economics) — Kalibrierung und Bias-Analyse.</w:t>
      </w:r>
    </w:p>
    <w:bookmarkEnd w:id="32"/>
    <w:bookmarkEnd w:id="33"/>
    <w:bookmarkStart w:id="34" w:name="team"/>
    <w:p>
      <w:pPr>
        <w:pStyle w:val="Heading3"/>
      </w:pPr>
      <w:r>
        <w:t xml:space="preserve">4.2 Team</w:t>
      </w:r>
    </w:p>
    <w:tbl>
      <w:tblPr>
        <w:tblStyle w:val="Table"/>
        <w:tblW w:type="pct" w:w="5000"/>
        <w:tblLayout w:type="fixed"/>
        <w:tblLook w:firstRow="1" w:lastRow="0" w:firstColumn="0" w:lastColumn="0" w:noHBand="0" w:noVBand="0" w:val="0020"/>
      </w:tblPr>
      <w:tblGrid>
        <w:gridCol w:w="1997"/>
        <w:gridCol w:w="1721"/>
        <w:gridCol w:w="3512"/>
        <w:gridCol w:w="688"/>
      </w:tblGrid>
      <w:tr>
        <w:trPr>
          <w:tblHeader w:val="on"/>
        </w:trPr>
        <w:tc>
          <w:tcPr/>
          <w:p>
            <w:pPr>
              <w:pStyle w:val="Compact"/>
            </w:pPr>
            <w:r>
              <w:t xml:space="preserve">Rolle</w:t>
            </w:r>
          </w:p>
        </w:tc>
        <w:tc>
          <w:tcPr/>
          <w:p>
            <w:pPr>
              <w:pStyle w:val="Compact"/>
            </w:pPr>
            <w:r>
              <w:t xml:space="preserve">Profil</w:t>
            </w:r>
          </w:p>
        </w:tc>
        <w:tc>
          <w:tcPr/>
          <w:p>
            <w:pPr>
              <w:pStyle w:val="Compact"/>
            </w:pPr>
            <w:r>
              <w:t xml:space="preserve">Qualifikation</w:t>
            </w:r>
          </w:p>
        </w:tc>
        <w:tc>
          <w:tcPr/>
          <w:p>
            <w:pPr>
              <w:pStyle w:val="Compact"/>
            </w:pPr>
            <w:r>
              <w:t xml:space="preserve">Aufwand</w:t>
            </w:r>
          </w:p>
        </w:tc>
      </w:tr>
      <w:tr>
        <w:tc>
          <w:tcPr/>
          <w:p>
            <w:pPr>
              <w:pStyle w:val="Compact"/>
            </w:pPr>
            <w:r>
              <w:t xml:space="preserve">Projektleiter (UP)</w:t>
            </w:r>
          </w:p>
        </w:tc>
        <w:tc>
          <w:tcPr/>
          <w:p>
            <w:pPr>
              <w:pStyle w:val="Compact"/>
            </w:pPr>
            <w:r>
              <w:t xml:space="preserve">FactHarbor Gründer</w:t>
            </w:r>
          </w:p>
        </w:tc>
        <w:tc>
          <w:tcPr/>
          <w:p>
            <w:pPr>
              <w:pStyle w:val="Compact"/>
            </w:pPr>
            <w:r>
              <w:t xml:space="preserve">System-Architektur, Full-Stack, NLP/LLM-Erfahrung</w:t>
            </w:r>
          </w:p>
        </w:tc>
        <w:tc>
          <w:tcPr/>
          <w:p>
            <w:pPr>
              <w:pStyle w:val="Compact"/>
            </w:pPr>
            <w:r>
              <w:t xml:space="preserve">60% FTE</w:t>
            </w:r>
          </w:p>
        </w:tc>
      </w:tr>
      <w:tr>
        <w:tc>
          <w:tcPr/>
          <w:p>
            <w:pPr>
              <w:pStyle w:val="Compact"/>
            </w:pPr>
            <w:r>
              <w:t xml:space="preserve">Wissenschaftl. Leitung (FP)</w:t>
            </w:r>
          </w:p>
        </w:tc>
        <w:tc>
          <w:tcPr/>
          <w:p>
            <w:pPr>
              <w:pStyle w:val="Compact"/>
            </w:pPr>
            <w:r>
              <w:t xml:space="preserve">Postdoc (UZH)</w:t>
            </w:r>
          </w:p>
        </w:tc>
        <w:tc>
          <w:tcPr/>
          <w:p>
            <w:pPr>
              <w:pStyle w:val="Compact"/>
            </w:pPr>
            <w:r>
              <w:t xml:space="preserve">PhD in NLP/IR, Publikationen ACL/EMNLP/NAACL</w:t>
            </w:r>
          </w:p>
        </w:tc>
        <w:tc>
          <w:tcPr/>
          <w:p>
            <w:pPr>
              <w:pStyle w:val="Compact"/>
            </w:pPr>
            <w:r>
              <w:t xml:space="preserve">80% FTE</w:t>
            </w:r>
          </w:p>
        </w:tc>
      </w:tr>
      <w:tr>
        <w:tc>
          <w:tcPr/>
          <w:p>
            <w:pPr>
              <w:pStyle w:val="Compact"/>
            </w:pPr>
            <w:r>
              <w:t xml:space="preserve">PI (FP)</w:t>
            </w:r>
          </w:p>
        </w:tc>
        <w:tc>
          <w:tcPr/>
          <w:p>
            <w:pPr>
              <w:pStyle w:val="Compact"/>
            </w:pPr>
            <w:r>
              <w:t xml:space="preserve">Prof. M. Leippold (UZH)</w:t>
            </w:r>
          </w:p>
        </w:tc>
        <w:tc>
          <w:tcPr/>
          <w:p>
            <w:pPr>
              <w:pStyle w:val="Compact"/>
            </w:pPr>
            <w:r>
              <w:t xml:space="preserve">Full Professor, PI CLIMINATOR</w:t>
            </w:r>
          </w:p>
        </w:tc>
        <w:tc>
          <w:tcPr/>
          <w:p>
            <w:pPr>
              <w:pStyle w:val="Compact"/>
            </w:pPr>
            <w:r>
              <w:t xml:space="preserve">10% FTE</w:t>
            </w:r>
          </w:p>
        </w:tc>
      </w:tr>
      <w:tr>
        <w:tc>
          <w:tcPr/>
          <w:p>
            <w:pPr>
              <w:pStyle w:val="Compact"/>
            </w:pPr>
            <w:r>
              <w:t xml:space="preserve">Beratend (FP)</w:t>
            </w:r>
          </w:p>
        </w:tc>
        <w:tc>
          <w:tcPr/>
          <w:p>
            <w:pPr>
              <w:pStyle w:val="Compact"/>
            </w:pPr>
            <w:r>
              <w:t xml:space="preserve">T. Schimanski (UZH)</w:t>
            </w:r>
          </w:p>
        </w:tc>
        <w:tc>
          <w:tcPr/>
          <w:p>
            <w:pPr>
              <w:pStyle w:val="Compact"/>
            </w:pPr>
            <w:r>
              <w:t xml:space="preserve">Attribution, Retrieval, Debatte</w:t>
            </w:r>
          </w:p>
        </w:tc>
        <w:tc>
          <w:tcPr/>
          <w:p>
            <w:pPr>
              <w:pStyle w:val="Compact"/>
            </w:pPr>
            <w:r>
              <w:t xml:space="preserve">10% FTE</w:t>
            </w:r>
          </w:p>
        </w:tc>
      </w:tr>
      <w:tr>
        <w:tc>
          <w:tcPr/>
          <w:p>
            <w:pPr>
              <w:pStyle w:val="Compact"/>
            </w:pPr>
            <w:r>
              <w:t xml:space="preserve">Beratend (FP)</w:t>
            </w:r>
          </w:p>
        </w:tc>
        <w:tc>
          <w:tcPr/>
          <w:p>
            <w:pPr>
              <w:pStyle w:val="Compact"/>
            </w:pPr>
            <w:r>
              <w:t xml:space="preserve">Prof. E. Ash (ETH)</w:t>
            </w:r>
          </w:p>
        </w:tc>
        <w:tc>
          <w:tcPr/>
          <w:p>
            <w:pPr>
              <w:pStyle w:val="Compact"/>
            </w:pPr>
            <w:r>
              <w:t xml:space="preserve">Kalibrierung, Bias-Analyse</w:t>
            </w:r>
          </w:p>
        </w:tc>
        <w:tc>
          <w:tcPr/>
          <w:p>
            <w:pPr>
              <w:pStyle w:val="Compact"/>
            </w:pPr>
            <w:r>
              <w:t xml:space="preserve">Beratend</w:t>
            </w:r>
          </w:p>
        </w:tc>
      </w:tr>
    </w:tbl>
    <w:bookmarkEnd w:id="34"/>
    <w:bookmarkStart w:id="40" w:name="arbeitspakete"/>
    <w:p>
      <w:pPr>
        <w:pStyle w:val="Heading3"/>
      </w:pPr>
      <w:r>
        <w:t xml:space="preserve">4.3 Arbeitspakete</w:t>
      </w:r>
    </w:p>
    <w:bookmarkStart w:id="35" w:name="X645431cfa91f7578f05b772c39ea3f11bb4ed88"/>
    <w:p>
      <w:pPr>
        <w:pStyle w:val="Heading4"/>
      </w:pPr>
      <w:r>
        <w:t xml:space="preserve">AP1 — Use Cases, Datenbasis, Evaluationsrahmen (Monate 1-4)</w:t>
      </w:r>
    </w:p>
    <w:p>
      <w:pPr>
        <w:pStyle w:val="FirstParagraph"/>
      </w:pPr>
      <w:r>
        <w:rPr>
          <w:b/>
          <w:bCs/>
        </w:rPr>
        <w:t xml:space="preserve">Verantwortung:</w:t>
      </w:r>
      <w:r>
        <w:t xml:space="preserve"> </w:t>
      </w:r>
      <w:r>
        <w:t xml:space="preserve">FP (Lead), UP (Use-Case-Anforderungen)</w:t>
      </w:r>
    </w:p>
    <w:p>
      <w:pPr>
        <w:pStyle w:val="BodyText"/>
      </w:pPr>
      <w:r>
        <w:rPr>
          <w:b/>
          <w:bCs/>
        </w:rPr>
        <w:t xml:space="preserve">Ergebnisse:</w:t>
      </w:r>
      <w:r>
        <w:t xml:space="preserve"> </w:t>
      </w:r>
      <w:r>
        <w:t xml:space="preserve">- Use-Case-Spezifikation mit messbaren KPIs</w:t>
      </w:r>
      <w:r>
        <w:t xml:space="preserve"> </w:t>
      </w:r>
      <w:r>
        <w:t xml:space="preserve">- Evaluationsprotokoll (Latenz, F1, Attribution Quality, Verdict Stability)</w:t>
      </w:r>
      <w:r>
        <w:t xml:space="preserve"> </w:t>
      </w:r>
      <w:r>
        <w:t xml:space="preserve">- Daten- und Rechtekonzept (DSG-konform)</w:t>
      </w:r>
      <w:r>
        <w:t xml:space="preserve"> </w:t>
      </w:r>
      <w:r>
        <w:t xml:space="preserve">- Live-Faktenprüfungs-Benchmark-Design</w:t>
      </w:r>
      <w:r>
        <w:t xml:space="preserve"> </w:t>
      </w:r>
      <w:r>
        <w:t xml:space="preserve">- Ontologie-Spezifikation</w:t>
      </w:r>
    </w:p>
    <w:bookmarkEnd w:id="35"/>
    <w:bookmarkStart w:id="36" w:name="X1239237a7d68bb5c352080be2ccb4406deb9fa1"/>
    <w:p>
      <w:pPr>
        <w:pStyle w:val="Heading4"/>
      </w:pPr>
      <w:r>
        <w:t xml:space="preserve">AP2 — Streaming Ingestion und Claim Detection (Monate 3-10)</w:t>
      </w:r>
    </w:p>
    <w:p>
      <w:pPr>
        <w:pStyle w:val="FirstParagraph"/>
      </w:pPr>
      <w:r>
        <w:rPr>
          <w:b/>
          <w:bCs/>
        </w:rPr>
        <w:t xml:space="preserve">Verantwortung:</w:t>
      </w:r>
      <w:r>
        <w:t xml:space="preserve"> </w:t>
      </w:r>
      <w:r>
        <w:t xml:space="preserve">UP (Pipeline), FP (Detection-Modelle)</w:t>
      </w:r>
    </w:p>
    <w:p>
      <w:pPr>
        <w:pStyle w:val="BodyText"/>
      </w:pPr>
      <w:r>
        <w:rPr>
          <w:b/>
          <w:bCs/>
        </w:rPr>
        <w:t xml:space="preserve">Technologie:</w:t>
      </w:r>
      <w:r>
        <w:t xml:space="preserve"> </w:t>
      </w:r>
      <w:r>
        <w:t xml:space="preserve">Whisper Large V3 Turbo (MIT, 300ms Latenz), pyannote-audio (MIT, WER 2.68%), Fine-tuned XLM-RoBERTa oder LLM-basiert (Vergleichsstudie).</w:t>
      </w:r>
    </w:p>
    <w:p>
      <w:pPr>
        <w:pStyle w:val="BodyText"/>
      </w:pPr>
      <w:r>
        <w:rPr>
          <w:b/>
          <w:bCs/>
        </w:rPr>
        <w:t xml:space="preserve">Ergebnisse:</w:t>
      </w:r>
      <w:r>
        <w:t xml:space="preserve"> </w:t>
      </w:r>
      <w:r>
        <w:t xml:space="preserve">- Streaming-Ingestion-Prototyp (Audio → segmentierter Text in &lt;3s)</w:t>
      </w:r>
      <w:r>
        <w:t xml:space="preserve"> </w:t>
      </w:r>
      <w:r>
        <w:t xml:space="preserve">- Claim-Candidate-Engine mit Rolling-Window-Detection</w:t>
      </w:r>
      <w:r>
        <w:t xml:space="preserve"> </w:t>
      </w:r>
      <w:r>
        <w:t xml:space="preserve">- Detection-Baseline (Ziel: F1 ≥ 0.85)</w:t>
      </w:r>
      <w:r>
        <w:t xml:space="preserve"> </w:t>
      </w:r>
      <w:r>
        <w:t xml:space="preserve">- Vergleichsstudie Classifier vs. LLM-Prompt</w:t>
      </w:r>
    </w:p>
    <w:bookmarkEnd w:id="36"/>
    <w:bookmarkStart w:id="37" w:name="Xa857979c7c11ce77071a81947cb4d1abc603bed"/>
    <w:p>
      <w:pPr>
        <w:pStyle w:val="Heading4"/>
      </w:pPr>
      <w:r>
        <w:t xml:space="preserve">AP3 — Zeitbudgetierte Evidenzsuche und Live-Verifikation (Monate 8-16)</w:t>
      </w:r>
    </w:p>
    <w:p>
      <w:pPr>
        <w:pStyle w:val="FirstParagraph"/>
      </w:pPr>
      <w:r>
        <w:rPr>
          <w:b/>
          <w:bCs/>
        </w:rPr>
        <w:t xml:space="preserve">Verantwortung:</w:t>
      </w:r>
      <w:r>
        <w:t xml:space="preserve"> </w:t>
      </w:r>
      <w:r>
        <w:t xml:space="preserve">UP (Retrieval-Integration), FP (Ranking/Attribution)</w:t>
      </w:r>
    </w:p>
    <w:p>
      <w:pPr>
        <w:pStyle w:val="BodyText"/>
      </w:pPr>
      <w:r>
        <w:rPr>
          <w:b/>
          <w:bCs/>
        </w:rPr>
        <w:t xml:space="preserve">Ergebnisse:</w:t>
      </w:r>
      <w:r>
        <w:t xml:space="preserve"> </w:t>
      </w:r>
      <w:r>
        <w:t xml:space="preserve">- Zeitbudgetierte Retrieval-Schicht mit konfidenzbasiertem Early-Stopping</w:t>
      </w:r>
      <w:r>
        <w:t xml:space="preserve"> </w:t>
      </w:r>
      <w:r>
        <w:t xml:space="preserve">- Attributionslogik mit Degradations-Kurve</w:t>
      </w:r>
      <w:r>
        <w:t xml:space="preserve"> </w:t>
      </w:r>
      <w:r>
        <w:t xml:space="preserve">- Optimierte Debatte-Konfiguration für verschiedene Latenzbudgets (5s/15s/30s/60s)</w:t>
      </w:r>
      <w:r>
        <w:t xml:space="preserve"> </w:t>
      </w:r>
      <w:r>
        <w:t xml:space="preserve">- Live-Signal-Ausgabe mit kalibrierter Unsicherheit</w:t>
      </w:r>
      <w:r>
        <w:t xml:space="preserve"> </w:t>
      </w:r>
      <w:r>
        <w:t xml:space="preserve">- Publikation: Attributionsqualität unter Zeitdruck (Ziel: ACL/EMNLP)</w:t>
      </w:r>
    </w:p>
    <w:bookmarkEnd w:id="37"/>
    <w:bookmarkStart w:id="38" w:name="X1c46b6b276589c1d4784f31d496e65d0cf0ad4f"/>
    <w:p>
      <w:pPr>
        <w:pStyle w:val="Heading4"/>
      </w:pPr>
      <w:r>
        <w:t xml:space="preserve">AP4 — Human-in-the-Loop und Produktintegration (Monate 14-22)</w:t>
      </w:r>
    </w:p>
    <w:p>
      <w:pPr>
        <w:pStyle w:val="FirstParagraph"/>
      </w:pPr>
      <w:r>
        <w:rPr>
          <w:b/>
          <w:bCs/>
        </w:rPr>
        <w:t xml:space="preserve">Verantwortung:</w:t>
      </w:r>
      <w:r>
        <w:t xml:space="preserve"> </w:t>
      </w:r>
      <w:r>
        <w:t xml:space="preserve">UP (UI/Produkt), FP (Triage-Modell)</w:t>
      </w:r>
    </w:p>
    <w:p>
      <w:pPr>
        <w:pStyle w:val="BodyText"/>
      </w:pPr>
      <w:r>
        <w:rPr>
          <w:b/>
          <w:bCs/>
        </w:rPr>
        <w:t xml:space="preserve">Ergebnisse:</w:t>
      </w:r>
      <w:r>
        <w:t xml:space="preserve"> </w:t>
      </w:r>
      <w:r>
        <w:t xml:space="preserve">- Reviewer-Oberfläche mit Echtzeit-Evidenzanzeige</w:t>
      </w:r>
      <w:r>
        <w:t xml:space="preserve"> </w:t>
      </w:r>
      <w:r>
        <w:t xml:space="preserve">- Prädiktives Triage-Modell</w:t>
      </w:r>
      <w:r>
        <w:t xml:space="preserve"> </w:t>
      </w:r>
      <w:r>
        <w:t xml:space="preserve">- Eskalationslogik mit konfigurierbaren Schwellenwerten</w:t>
      </w:r>
      <w:r>
        <w:t xml:space="preserve"> </w:t>
      </w:r>
      <w:r>
        <w:t xml:space="preserve">- Pilotfähige Produktintegration</w:t>
      </w:r>
      <w:r>
        <w:t xml:space="preserve"> </w:t>
      </w:r>
      <w:r>
        <w:t xml:space="preserve">- Publikation: Prädiktive Triage (Ziel: CHI/CSCW)</w:t>
      </w:r>
    </w:p>
    <w:bookmarkEnd w:id="38"/>
    <w:bookmarkStart w:id="39" w:name="X2dcae84d4e936047cdf8544fc78bc91deafeec0"/>
    <w:p>
      <w:pPr>
        <w:pStyle w:val="Heading4"/>
      </w:pPr>
      <w:r>
        <w:t xml:space="preserve">AP5 — Evaluation, Pilotierung, Verwertung (Monate 20-24)</w:t>
      </w:r>
    </w:p>
    <w:p>
      <w:pPr>
        <w:pStyle w:val="FirstParagraph"/>
      </w:pPr>
      <w:r>
        <w:rPr>
          <w:b/>
          <w:bCs/>
        </w:rPr>
        <w:t xml:space="preserve">Verantwortung:</w:t>
      </w:r>
      <w:r>
        <w:t xml:space="preserve"> </w:t>
      </w:r>
      <w:r>
        <w:t xml:space="preserve">UP (Pilotierung), FP (Evaluation)</w:t>
      </w:r>
    </w:p>
    <w:p>
      <w:pPr>
        <w:pStyle w:val="BodyText"/>
      </w:pPr>
      <w:r>
        <w:rPr>
          <w:b/>
          <w:bCs/>
        </w:rPr>
        <w:t xml:space="preserve">Ergebnisse:</w:t>
      </w:r>
      <w:r>
        <w:t xml:space="preserve"> </w:t>
      </w:r>
      <w:r>
        <w:t xml:space="preserve">- Evaluationsbericht mit vollständiger Metrik-Dokumentation</w:t>
      </w:r>
      <w:r>
        <w:t xml:space="preserve"> </w:t>
      </w:r>
      <w:r>
        <w:t xml:space="preserve">- Pilotreport (≥3 Partner, ≥2 Live-Events)</w:t>
      </w:r>
      <w:r>
        <w:t xml:space="preserve"> </w:t>
      </w:r>
      <w:r>
        <w:t xml:space="preserve">- Verwertungs- und Nachhaltigkeitskonzept</w:t>
      </w:r>
      <w:r>
        <w:t xml:space="preserve"> </w:t>
      </w:r>
      <w:r>
        <w:t xml:space="preserve">- Live-Faktenprüfungs-Benchmark (öffentlich)</w:t>
      </w:r>
      <w:r>
        <w:t xml:space="preserve"> </w:t>
      </w:r>
      <w:r>
        <w:t xml:space="preserve">- Publikation: Benchmark-Paper (Ziel: FEVER Workshop / CLEF CheckThat!)</w:t>
      </w:r>
      <w:r>
        <w:t xml:space="preserve"> </w:t>
      </w:r>
      <w:r>
        <w:t xml:space="preserve">- Go-/No-Go-Entscheid</w:t>
      </w:r>
    </w:p>
    <w:bookmarkEnd w:id="39"/>
    <w:bookmarkEnd w:id="40"/>
    <w:bookmarkStart w:id="41" w:name="meilensteine"/>
    <w:p>
      <w:pPr>
        <w:pStyle w:val="Heading3"/>
      </w:pPr>
      <w:r>
        <w:t xml:space="preserve">4.4 Meilensteine</w:t>
      </w:r>
    </w:p>
    <w:tbl>
      <w:tblPr>
        <w:tblStyle w:val="Table"/>
        <w:tblW w:type="pct" w:w="5000"/>
        <w:tblLayout w:type="fixed"/>
        <w:tblLook w:firstRow="1" w:lastRow="0" w:firstColumn="0" w:lastColumn="0" w:noHBand="0" w:noVBand="0" w:val="0020"/>
      </w:tblPr>
      <w:tblGrid>
        <w:gridCol w:w="1549"/>
        <w:gridCol w:w="401"/>
        <w:gridCol w:w="5165"/>
        <w:gridCol w:w="803"/>
      </w:tblGrid>
      <w:tr>
        <w:trPr>
          <w:tblHeader w:val="on"/>
        </w:trPr>
        <w:tc>
          <w:tcPr/>
          <w:p>
            <w:pPr>
              <w:pStyle w:val="Compact"/>
            </w:pPr>
            <w:r>
              <w:t xml:space="preserve">Meilenstein</w:t>
            </w:r>
          </w:p>
        </w:tc>
        <w:tc>
          <w:tcPr/>
          <w:p>
            <w:pPr>
              <w:pStyle w:val="Compact"/>
            </w:pPr>
            <w:r>
              <w:t xml:space="preserve">Monat</w:t>
            </w:r>
          </w:p>
        </w:tc>
        <w:tc>
          <w:tcPr/>
          <w:p>
            <w:pPr>
              <w:pStyle w:val="Compact"/>
            </w:pPr>
            <w:r>
              <w:t xml:space="preserve">Kriterium (messbar)</w:t>
            </w:r>
          </w:p>
        </w:tc>
        <w:tc>
          <w:tcPr/>
          <w:p>
            <w:pPr>
              <w:pStyle w:val="Compact"/>
            </w:pPr>
            <w:r>
              <w:t xml:space="preserve">Go/No-Go</w:t>
            </w:r>
          </w:p>
        </w:tc>
      </w:tr>
      <w:tr>
        <w:tc>
          <w:tcPr/>
          <w:p>
            <w:pPr>
              <w:pStyle w:val="Compact"/>
            </w:pPr>
            <w:r>
              <w:rPr>
                <w:b/>
                <w:bCs/>
              </w:rPr>
              <w:t xml:space="preserve">M1: Projektbasis</w:t>
            </w:r>
          </w:p>
        </w:tc>
        <w:tc>
          <w:tcPr/>
          <w:p>
            <w:pPr>
              <w:pStyle w:val="Compact"/>
            </w:pPr>
            <w:r>
              <w:t xml:space="preserve">4</w:t>
            </w:r>
          </w:p>
        </w:tc>
        <w:tc>
          <w:tcPr/>
          <w:p>
            <w:pPr>
              <w:pStyle w:val="Compact"/>
            </w:pPr>
            <w:r>
              <w:t xml:space="preserve">Use Cases mit KPIs definiert; Evaluationsprotokoll verabschiedet; Ontologie spezifiziert</w:t>
            </w:r>
          </w:p>
        </w:tc>
        <w:tc>
          <w:tcPr/>
          <w:p>
            <w:pPr>
              <w:pStyle w:val="Compact"/>
            </w:pPr>
            <w:r>
              <w:t xml:space="preserve">—</w:t>
            </w:r>
          </w:p>
        </w:tc>
      </w:tr>
      <w:tr>
        <w:tc>
          <w:tcPr/>
          <w:p>
            <w:pPr>
              <w:pStyle w:val="Compact"/>
            </w:pPr>
            <w:r>
              <w:rPr>
                <w:b/>
                <w:bCs/>
              </w:rPr>
              <w:t xml:space="preserve">M2: Claim Detection</w:t>
            </w:r>
          </w:p>
        </w:tc>
        <w:tc>
          <w:tcPr/>
          <w:p>
            <w:pPr>
              <w:pStyle w:val="Compact"/>
            </w:pPr>
            <w:r>
              <w:t xml:space="preserve">8</w:t>
            </w:r>
          </w:p>
        </w:tc>
        <w:tc>
          <w:tcPr/>
          <w:p>
            <w:pPr>
              <w:pStyle w:val="Compact"/>
            </w:pPr>
            <w:r>
              <w:t xml:space="preserve">F1 ≥ 0.80 bei Latenz &lt; 5s auf deutschsprachigen Audio-Streams</w:t>
            </w:r>
          </w:p>
        </w:tc>
        <w:tc>
          <w:tcPr/>
          <w:p>
            <w:pPr>
              <w:pStyle w:val="Compact"/>
            </w:pPr>
            <w:r>
              <w:rPr>
                <w:b/>
                <w:bCs/>
              </w:rPr>
              <w:t xml:space="preserve">Go/No-Go</w:t>
            </w:r>
          </w:p>
        </w:tc>
      </w:tr>
      <w:tr>
        <w:tc>
          <w:tcPr/>
          <w:p>
            <w:pPr>
              <w:pStyle w:val="Compact"/>
            </w:pPr>
            <w:r>
              <w:rPr>
                <w:b/>
                <w:bCs/>
              </w:rPr>
              <w:t xml:space="preserve">M3: Evidenzsuche</w:t>
            </w:r>
          </w:p>
        </w:tc>
        <w:tc>
          <w:tcPr/>
          <w:p>
            <w:pPr>
              <w:pStyle w:val="Compact"/>
            </w:pPr>
            <w:r>
              <w:t xml:space="preserve">12</w:t>
            </w:r>
          </w:p>
        </w:tc>
        <w:tc>
          <w:tcPr/>
          <w:p>
            <w:pPr>
              <w:pStyle w:val="Compact"/>
            </w:pPr>
            <w:r>
              <w:t xml:space="preserve">Relevante Evidenz innerhalb &lt;15s; Attributionsqualität ≥ 70%</w:t>
            </w:r>
          </w:p>
        </w:tc>
        <w:tc>
          <w:tcPr/>
          <w:p>
            <w:pPr>
              <w:pStyle w:val="Compact"/>
            </w:pPr>
            <w:r>
              <w:t xml:space="preserve">—</w:t>
            </w:r>
          </w:p>
        </w:tc>
      </w:tr>
      <w:tr>
        <w:tc>
          <w:tcPr/>
          <w:p>
            <w:pPr>
              <w:pStyle w:val="Compact"/>
            </w:pPr>
            <w:r>
              <w:rPr>
                <w:b/>
                <w:bCs/>
              </w:rPr>
              <w:t xml:space="preserve">M4: Live-Signale</w:t>
            </w:r>
          </w:p>
        </w:tc>
        <w:tc>
          <w:tcPr/>
          <w:p>
            <w:pPr>
              <w:pStyle w:val="Compact"/>
            </w:pPr>
            <w:r>
              <w:t xml:space="preserve">16</w:t>
            </w:r>
          </w:p>
        </w:tc>
        <w:tc>
          <w:tcPr/>
          <w:p>
            <w:pPr>
              <w:pStyle w:val="Compact"/>
            </w:pPr>
            <w:r>
              <w:t xml:space="preserve">Verifikationssignale mit Quellenbezug; Verdict-Stabilität &lt; 15pp (60s)</w:t>
            </w:r>
          </w:p>
        </w:tc>
        <w:tc>
          <w:tcPr/>
          <w:p>
            <w:pPr>
              <w:pStyle w:val="Compact"/>
            </w:pPr>
            <w:r>
              <w:rPr>
                <w:b/>
                <w:bCs/>
              </w:rPr>
              <w:t xml:space="preserve">Go/No-Go</w:t>
            </w:r>
          </w:p>
        </w:tc>
      </w:tr>
      <w:tr>
        <w:tc>
          <w:tcPr/>
          <w:p>
            <w:pPr>
              <w:pStyle w:val="Compact"/>
            </w:pPr>
            <w:r>
              <w:rPr>
                <w:b/>
                <w:bCs/>
              </w:rPr>
              <w:t xml:space="preserve">M5: Human-in-Loop</w:t>
            </w:r>
          </w:p>
        </w:tc>
        <w:tc>
          <w:tcPr/>
          <w:p>
            <w:pPr>
              <w:pStyle w:val="Compact"/>
            </w:pPr>
            <w:r>
              <w:t xml:space="preserve">20</w:t>
            </w:r>
          </w:p>
        </w:tc>
        <w:tc>
          <w:tcPr/>
          <w:p>
            <w:pPr>
              <w:pStyle w:val="Compact"/>
            </w:pPr>
            <w:r>
              <w:t xml:space="preserve">Reviewer-Workflow integriert; Triage-Genauigkeit ≥ 80%</w:t>
            </w:r>
          </w:p>
        </w:tc>
        <w:tc>
          <w:tcPr/>
          <w:p>
            <w:pPr>
              <w:pStyle w:val="Compact"/>
            </w:pPr>
            <w:r>
              <w:t xml:space="preserve">—</w:t>
            </w:r>
          </w:p>
        </w:tc>
      </w:tr>
      <w:tr>
        <w:tc>
          <w:tcPr/>
          <w:p>
            <w:pPr>
              <w:pStyle w:val="Compact"/>
            </w:pPr>
            <w:r>
              <w:rPr>
                <w:b/>
                <w:bCs/>
              </w:rPr>
              <w:t xml:space="preserve">M6: Transferentscheid</w:t>
            </w:r>
          </w:p>
        </w:tc>
        <w:tc>
          <w:tcPr/>
          <w:p>
            <w:pPr>
              <w:pStyle w:val="Compact"/>
            </w:pPr>
            <w:r>
              <w:t xml:space="preserve">24</w:t>
            </w:r>
          </w:p>
        </w:tc>
        <w:tc>
          <w:tcPr/>
          <w:p>
            <w:pPr>
              <w:pStyle w:val="Compact"/>
            </w:pPr>
            <w:r>
              <w:t xml:space="preserve">≥3 Pilotpartner evaluiert; ≥2 bestätigen Produktnutzen</w:t>
            </w:r>
          </w:p>
        </w:tc>
        <w:tc>
          <w:tcPr/>
          <w:p>
            <w:pPr>
              <w:pStyle w:val="Compact"/>
            </w:pPr>
            <w:r>
              <w:rPr>
                <w:b/>
                <w:bCs/>
              </w:rPr>
              <w:t xml:space="preserve">Go/No-Go</w:t>
            </w:r>
          </w:p>
        </w:tc>
      </w:tr>
    </w:tbl>
    <w:bookmarkEnd w:id="41"/>
    <w:bookmarkStart w:id="42" w:name="gantt-übersicht"/>
    <w:p>
      <w:pPr>
        <w:pStyle w:val="Heading3"/>
      </w:pPr>
      <w:r>
        <w:t xml:space="preserve">4.5 Gantt-Übersicht</w:t>
      </w:r>
    </w:p>
    <w:p>
      <w:pPr>
        <w:pStyle w:val="SourceCode"/>
      </w:pPr>
      <w:r>
        <w:rPr>
          <w:rStyle w:val="VerbatimChar"/>
        </w:rPr>
        <w:t xml:space="preserve">Monat:    1  2  3  4  5  6  7  8  9  10 11 12 13 14 15 16 17 18 19 20 21 22 23 24</w:t>
      </w:r>
      <w:r>
        <w:br/>
      </w:r>
      <w:r>
        <w:rPr>
          <w:rStyle w:val="VerbatimChar"/>
        </w:rPr>
        <w:t xml:space="preserve">AP1       ████████████████████</w:t>
      </w:r>
      <w:r>
        <w:br/>
      </w:r>
      <w:r>
        <w:rPr>
          <w:rStyle w:val="VerbatimChar"/>
        </w:rPr>
        <w:t xml:space="preserve">AP2                ████████████████████████████████████</w:t>
      </w:r>
      <w:r>
        <w:br/>
      </w:r>
      <w:r>
        <w:rPr>
          <w:rStyle w:val="VerbatimChar"/>
        </w:rPr>
        <w:t xml:space="preserve">AP3                               ████████████████████████████████████</w:t>
      </w:r>
      <w:r>
        <w:br/>
      </w:r>
      <w:r>
        <w:rPr>
          <w:rStyle w:val="VerbatimChar"/>
        </w:rPr>
        <w:t xml:space="preserve">AP4                                                 █████████████████████████████████</w:t>
      </w:r>
      <w:r>
        <w:br/>
      </w:r>
      <w:r>
        <w:rPr>
          <w:rStyle w:val="VerbatimChar"/>
        </w:rPr>
        <w:t xml:space="preserve">AP5                                                                    █████████████</w:t>
      </w:r>
      <w:r>
        <w:br/>
      </w:r>
      <w:r>
        <w:rPr>
          <w:rStyle w:val="VerbatimChar"/>
        </w:rPr>
        <w:t xml:space="preserve">          ↑           ↑              ↑                 ↑                    ↑        ↑</w:t>
      </w:r>
      <w:r>
        <w:br/>
      </w:r>
      <w:r>
        <w:rPr>
          <w:rStyle w:val="VerbatimChar"/>
        </w:rPr>
        <w:t xml:space="preserve">          M1          M2             M3                M4                   M5       M6</w:t>
      </w:r>
    </w:p>
    <w:p>
      <w:r>
        <w:pict>
          <v:rect style="width:0;height:1.5pt" o:hralign="center" o:hrstd="t" o:hr="t"/>
        </w:pict>
      </w:r>
    </w:p>
    <w:bookmarkEnd w:id="42"/>
    <w:bookmarkEnd w:id="43"/>
    <w:bookmarkStart w:id="51" w:name="ict--ai-spezifische-anforderungen"/>
    <w:p>
      <w:pPr>
        <w:pStyle w:val="Heading2"/>
      </w:pPr>
      <w:r>
        <w:t xml:space="preserve">5. ICT- / AI-spezifische Anforderungen</w:t>
      </w:r>
    </w:p>
    <w:bookmarkStart w:id="44" w:name="ontologie"/>
    <w:p>
      <w:pPr>
        <w:pStyle w:val="Heading3"/>
      </w:pPr>
      <w:r>
        <w:t xml:space="preserve">5.1 Ontologie</w:t>
      </w:r>
    </w:p>
    <w:p>
      <w:pPr>
        <w:pStyle w:val="SourceCode"/>
      </w:pPr>
      <w:r>
        <w:rPr>
          <w:rStyle w:val="VerbatimChar"/>
        </w:rPr>
        <w:t xml:space="preserve">UserInput (Audio/Video/Text)</w:t>
      </w:r>
      <w:r>
        <w:br/>
      </w:r>
      <w:r>
        <w:rPr>
          <w:rStyle w:val="VerbatimChar"/>
        </w:rPr>
        <w:t xml:space="preserve">  ↓ [Streaming Ingestion]</w:t>
      </w:r>
      <w:r>
        <w:br/>
      </w:r>
      <w:r>
        <w:rPr>
          <w:rStyle w:val="VerbatimChar"/>
        </w:rPr>
        <w:t xml:space="preserve">TranscribedSegment {speakerId, timestamp, text}</w:t>
      </w:r>
      <w:r>
        <w:br/>
      </w:r>
      <w:r>
        <w:rPr>
          <w:rStyle w:val="VerbatimChar"/>
        </w:rPr>
        <w:t xml:space="preserve">  ↓ [Claim Detection]</w:t>
      </w:r>
      <w:r>
        <w:br/>
      </w:r>
      <w:r>
        <w:rPr>
          <w:rStyle w:val="VerbatimChar"/>
        </w:rPr>
        <w:t xml:space="preserve">AtomicClaim {claimText, claimType, centrality, harmPotential, checkWorthiness, speakerAttribution}</w:t>
      </w:r>
      <w:r>
        <w:br/>
      </w:r>
      <w:r>
        <w:rPr>
          <w:rStyle w:val="VerbatimChar"/>
        </w:rPr>
        <w:t xml:space="preserve">  ↓ [Evidence Retrieval]</w:t>
      </w:r>
      <w:r>
        <w:br/>
      </w:r>
      <w:r>
        <w:rPr>
          <w:rStyle w:val="VerbatimChar"/>
        </w:rPr>
        <w:t xml:space="preserve">EvidenceItem {statement, category, claimDirection, probativeValue, sourceType, sourceAuthority,</w:t>
      </w:r>
      <w:r>
        <w:br/>
      </w:r>
      <w:r>
        <w:rPr>
          <w:rStyle w:val="VerbatimChar"/>
        </w:rPr>
        <w:t xml:space="preserve">              evidenceBasis, evidenceScope, sourceReliability}</w:t>
      </w:r>
      <w:r>
        <w:br/>
      </w:r>
      <w:r>
        <w:rPr>
          <w:rStyle w:val="VerbatimChar"/>
        </w:rPr>
        <w:t xml:space="preserve">  ↓ [Clustering]</w:t>
      </w:r>
      <w:r>
        <w:br/>
      </w:r>
      <w:r>
        <w:rPr>
          <w:rStyle w:val="VerbatimChar"/>
        </w:rPr>
        <w:t xml:space="preserve">ClaimAssessmentBoundary {evidenzbasierte Gruppierung kompatibler EvidenceScopes}</w:t>
      </w:r>
      <w:r>
        <w:br/>
      </w:r>
      <w:r>
        <w:rPr>
          <w:rStyle w:val="VerbatimChar"/>
        </w:rPr>
        <w:t xml:space="preserve">  ↓ [Debate &amp; Verdict]</w:t>
      </w:r>
      <w:r>
        <w:br/>
      </w:r>
      <w:r>
        <w:rPr>
          <w:rStyle w:val="VerbatimChar"/>
        </w:rPr>
        <w:t xml:space="preserve">ClaimVerdict {truthPercentage, confidence, rating[7-point], supportingEvidenceIds,</w:t>
      </w:r>
      <w:r>
        <w:br/>
      </w:r>
      <w:r>
        <w:rPr>
          <w:rStyle w:val="VerbatimChar"/>
        </w:rPr>
        <w:t xml:space="preserve">              reasoning, isContested, factualBasis, provisionalStability}</w:t>
      </w:r>
    </w:p>
    <w:p>
      <w:pPr>
        <w:pStyle w:val="FirstParagraph"/>
      </w:pPr>
      <w:r>
        <w:rPr>
          <w:b/>
          <w:bCs/>
        </w:rPr>
        <w:t xml:space="preserve">Claim-Typen:</w:t>
      </w:r>
      <w:r>
        <w:t xml:space="preserve"> </w:t>
      </w:r>
      <w:r>
        <w:t xml:space="preserve">FACTUAL, OPINION, PREDICTION, AMBIGUOUS</w:t>
      </w:r>
      <w:r>
        <w:t xml:space="preserve"> </w:t>
      </w:r>
      <w:r>
        <w:rPr>
          <w:b/>
          <w:bCs/>
        </w:rPr>
        <w:t xml:space="preserve">Evidence-Kategorien:</w:t>
      </w:r>
      <w:r>
        <w:t xml:space="preserve"> </w:t>
      </w:r>
      <w:r>
        <w:t xml:space="preserve">legal_provision, evidence, direct_evidence, expert_quote, statistic, event, criticism</w:t>
      </w:r>
      <w:r>
        <w:t xml:space="preserve"> </w:t>
      </w:r>
      <w:r>
        <w:rPr>
          <w:b/>
          <w:bCs/>
        </w:rPr>
        <w:t xml:space="preserve">Source-Typen:</w:t>
      </w:r>
      <w:r>
        <w:t xml:space="preserve"> </w:t>
      </w:r>
      <w:r>
        <w:t xml:space="preserve">peer_reviewed_study, fact_check_report, government_report, legal_document, news_primary, news_secondary, expert_statement, organization_report</w:t>
      </w:r>
      <w:r>
        <w:t xml:space="preserve"> </w:t>
      </w:r>
      <w:r>
        <w:rPr>
          <w:b/>
          <w:bCs/>
        </w:rPr>
        <w:t xml:space="preserve">Verdict-Skala:</w:t>
      </w:r>
      <w:r>
        <w:t xml:space="preserve"> </w:t>
      </w:r>
      <w:r>
        <w:t xml:space="preserve">TRUE, MOSTLY-TRUE, LEANING-TRUE, MIXED, UNVERIFIED, LEANING-FALSE, MOSTLY-FALSE, FALSE</w:t>
      </w:r>
    </w:p>
    <w:p>
      <w:pPr>
        <w:pStyle w:val="BodyText"/>
      </w:pPr>
      <w:r>
        <w:t xml:space="preserve">Die Ontologie wird in AP1 verfeinert und über ein UCM-Konfigurationssystem verwaltet.</w:t>
      </w:r>
    </w:p>
    <w:bookmarkEnd w:id="44"/>
    <w:bookmarkStart w:id="45" w:name="datenquellen"/>
    <w:p>
      <w:pPr>
        <w:pStyle w:val="Heading3"/>
      </w:pPr>
      <w:r>
        <w:t xml:space="preserve">5.2 Datenquellen</w:t>
      </w:r>
    </w:p>
    <w:tbl>
      <w:tblPr>
        <w:tblStyle w:val="Table"/>
        <w:tblW w:type="pct" w:w="5000"/>
        <w:tblLayout w:type="fixed"/>
        <w:tblLook w:firstRow="1" w:lastRow="0" w:firstColumn="0" w:lastColumn="0" w:noHBand="0" w:noVBand="0" w:val="0020"/>
      </w:tblPr>
      <w:tblGrid>
        <w:gridCol w:w="3021"/>
        <w:gridCol w:w="1959"/>
        <w:gridCol w:w="2939"/>
      </w:tblGrid>
      <w:tr>
        <w:trPr>
          <w:tblHeader w:val="on"/>
        </w:trPr>
        <w:tc>
          <w:tcPr/>
          <w:p>
            <w:pPr>
              <w:pStyle w:val="Compact"/>
            </w:pPr>
            <w:r>
              <w:t xml:space="preserve">Quelle</w:t>
            </w:r>
          </w:p>
        </w:tc>
        <w:tc>
          <w:tcPr/>
          <w:p>
            <w:pPr>
              <w:pStyle w:val="Compact"/>
            </w:pPr>
            <w:r>
              <w:t xml:space="preserve">Zugang</w:t>
            </w:r>
          </w:p>
        </w:tc>
        <w:tc>
          <w:tcPr/>
          <w:p>
            <w:pPr>
              <w:pStyle w:val="Compact"/>
            </w:pPr>
            <w:r>
              <w:t xml:space="preserve">Nutzungsrecht</w:t>
            </w:r>
          </w:p>
        </w:tc>
      </w:tr>
      <w:tr>
        <w:tc>
          <w:tcPr/>
          <w:p>
            <w:pPr>
              <w:pStyle w:val="Compact"/>
            </w:pPr>
            <w:r>
              <w:t xml:space="preserve">Live-Audio-Streams (TV, Podcasts)</w:t>
            </w:r>
          </w:p>
        </w:tc>
        <w:tc>
          <w:tcPr/>
          <w:p>
            <w:pPr>
              <w:pStyle w:val="Compact"/>
            </w:pPr>
            <w:r>
              <w:t xml:space="preserve">HLS/m3u8, öffentlich</w:t>
            </w:r>
          </w:p>
        </w:tc>
        <w:tc>
          <w:tcPr/>
          <w:p>
            <w:pPr>
              <w:pStyle w:val="Compact"/>
            </w:pPr>
            <w:r>
              <w:t xml:space="preserve">Forschungsprivileg CH URG Art. 24d</w:t>
            </w:r>
          </w:p>
        </w:tc>
      </w:tr>
      <w:tr>
        <w:tc>
          <w:tcPr/>
          <w:p>
            <w:pPr>
              <w:pStyle w:val="Compact"/>
            </w:pPr>
            <w:r>
              <w:t xml:space="preserve">Video-Clips (Mediatheken)</w:t>
            </w:r>
          </w:p>
        </w:tc>
        <w:tc>
          <w:tcPr/>
          <w:p>
            <w:pPr>
              <w:pStyle w:val="Compact"/>
            </w:pPr>
            <w:r>
              <w:t xml:space="preserve">Öffentlich</w:t>
            </w:r>
          </w:p>
        </w:tc>
        <w:tc>
          <w:tcPr/>
          <w:p>
            <w:pPr>
              <w:pStyle w:val="Compact"/>
            </w:pPr>
            <w:r>
              <w:t xml:space="preserve">Forschungsprivileg</w:t>
            </w:r>
          </w:p>
        </w:tc>
      </w:tr>
      <w:tr>
        <w:tc>
          <w:tcPr/>
          <w:p>
            <w:pPr>
              <w:pStyle w:val="Compact"/>
            </w:pPr>
            <w:r>
              <w:t xml:space="preserve">CLEF CheckThat! / AVeriTeC</w:t>
            </w:r>
          </w:p>
        </w:tc>
        <w:tc>
          <w:tcPr/>
          <w:p>
            <w:pPr>
              <w:pStyle w:val="Compact"/>
            </w:pPr>
            <w:r>
              <w:t xml:space="preserve">Forschungs-Communities</w:t>
            </w:r>
          </w:p>
        </w:tc>
        <w:tc>
          <w:tcPr/>
          <w:p>
            <w:pPr>
              <w:pStyle w:val="Compact"/>
            </w:pPr>
            <w:r>
              <w:t xml:space="preserve">Akademische Lizenz</w:t>
            </w:r>
          </w:p>
        </w:tc>
      </w:tr>
      <w:tr>
        <w:tc>
          <w:tcPr/>
          <w:p>
            <w:pPr>
              <w:pStyle w:val="Compact"/>
            </w:pPr>
            <w:r>
              <w:t xml:space="preserve">Web-Quellen (7 Suchmaschinen)</w:t>
            </w:r>
          </w:p>
        </w:tc>
        <w:tc>
          <w:tcPr/>
          <w:p>
            <w:pPr>
              <w:pStyle w:val="Compact"/>
            </w:pPr>
            <w:r>
              <w:t xml:space="preserve">APIs</w:t>
            </w:r>
          </w:p>
        </w:tc>
        <w:tc>
          <w:tcPr/>
          <w:p>
            <w:pPr>
              <w:pStyle w:val="Compact"/>
            </w:pPr>
            <w:r>
              <w:t xml:space="preserve">Öffentlich zugänglich</w:t>
            </w:r>
          </w:p>
        </w:tc>
      </w:tr>
      <w:tr>
        <w:tc>
          <w:tcPr/>
          <w:p>
            <w:pPr>
              <w:pStyle w:val="Compact"/>
            </w:pPr>
            <w:r>
              <w:t xml:space="preserve">Semantic Scholar (216 Mio.+ Papers)</w:t>
            </w:r>
          </w:p>
        </w:tc>
        <w:tc>
          <w:tcPr/>
          <w:p>
            <w:pPr>
              <w:pStyle w:val="Compact"/>
            </w:pPr>
            <w:r>
              <w:t xml:space="preserve">API</w:t>
            </w:r>
          </w:p>
        </w:tc>
        <w:tc>
          <w:tcPr/>
          <w:p>
            <w:pPr>
              <w:pStyle w:val="Compact"/>
            </w:pPr>
            <w:r>
              <w:t xml:space="preserve">Frei nutzbar</w:t>
            </w:r>
          </w:p>
        </w:tc>
      </w:tr>
      <w:tr>
        <w:tc>
          <w:tcPr/>
          <w:p>
            <w:pPr>
              <w:pStyle w:val="Compact"/>
            </w:pPr>
            <w:r>
              <w:t xml:space="preserve">Google Fact Check API (280’000+)</w:t>
            </w:r>
          </w:p>
        </w:tc>
        <w:tc>
          <w:tcPr/>
          <w:p>
            <w:pPr>
              <w:pStyle w:val="Compact"/>
            </w:pPr>
            <w:r>
              <w:t xml:space="preserve">API</w:t>
            </w:r>
          </w:p>
        </w:tc>
        <w:tc>
          <w:tcPr/>
          <w:p>
            <w:pPr>
              <w:pStyle w:val="Compact"/>
            </w:pPr>
            <w:r>
              <w:t xml:space="preserve">Frei nutzbar</w:t>
            </w:r>
          </w:p>
        </w:tc>
      </w:tr>
    </w:tbl>
    <w:p>
      <w:pPr>
        <w:pStyle w:val="BodyText"/>
      </w:pPr>
      <w:r>
        <w:t xml:space="preserve">Datenschutz: Keine personenbezogenen Daten gespeichert. Transkripte nur für Analysedauer. DSG-konforme Verarbeitung.</w:t>
      </w:r>
    </w:p>
    <w:bookmarkEnd w:id="45"/>
    <w:bookmarkStart w:id="46" w:name="trainingsdaten"/>
    <w:p>
      <w:pPr>
        <w:pStyle w:val="Heading3"/>
      </w:pPr>
      <w:r>
        <w:t xml:space="preserve">5.3 Trainingsdaten</w:t>
      </w:r>
    </w:p>
    <w:p>
      <w:pPr>
        <w:pStyle w:val="FirstParagraph"/>
      </w:pPr>
      <w:r>
        <w:t xml:space="preserve">LiveCheck nutzt vortrainierte LLMs via API. Trainingsdaten betreffen primär Claim Detection (Fine-Tuning):</w:t>
      </w:r>
    </w:p>
    <w:p>
      <w:pPr>
        <w:pStyle w:val="Compact"/>
        <w:numPr>
          <w:ilvl w:val="0"/>
          <w:numId w:val="1003"/>
        </w:numPr>
      </w:pPr>
      <w:r>
        <w:t xml:space="preserve">ClaimBuster-Datensatz: ~23’000 annotierte Sätze</w:t>
      </w:r>
    </w:p>
    <w:p>
      <w:pPr>
        <w:pStyle w:val="Compact"/>
        <w:numPr>
          <w:ilvl w:val="0"/>
          <w:numId w:val="1003"/>
        </w:numPr>
      </w:pPr>
      <w:r>
        <w:t xml:space="preserve">CLEF CheckThat! Datasets: 2018-2025, 15+ Sprachen</w:t>
      </w:r>
    </w:p>
    <w:p>
      <w:pPr>
        <w:pStyle w:val="Compact"/>
        <w:numPr>
          <w:ilvl w:val="0"/>
          <w:numId w:val="1003"/>
        </w:numPr>
      </w:pPr>
      <w:r>
        <w:t xml:space="preserve">Eigene Produktionsannotationen: Ziel 1’000+ Claims (IAA ≥ 0.75 Cohen’s κ)</w:t>
      </w:r>
    </w:p>
    <w:p>
      <w:pPr>
        <w:pStyle w:val="FirstParagraph"/>
      </w:pPr>
      <w:r>
        <w:rPr>
          <w:b/>
          <w:bCs/>
        </w:rPr>
        <w:t xml:space="preserve">Evaluationsdaten:</w:t>
      </w:r>
      <w:r>
        <w:t xml:space="preserve"> </w:t>
      </w:r>
      <w:r>
        <w:t xml:space="preserve">AVeriTeC (4’568 Claims, 50 Organisationen), FEVER (185’000 Claims), eigener Live-Benchmark (Ziel: 500+ Claims).</w:t>
      </w:r>
    </w:p>
    <w:p>
      <w:pPr>
        <w:pStyle w:val="BodyText"/>
      </w:pPr>
      <w:r>
        <w:rPr>
          <w:b/>
          <w:bCs/>
        </w:rPr>
        <w:t xml:space="preserve">Erwartete Fehlerraten:</w:t>
      </w:r>
    </w:p>
    <w:tbl>
      <w:tblPr>
        <w:tblStyle w:val="Table"/>
        <w:tblW w:type="pct" w:w="5000"/>
        <w:tblLayout w:type="fixed"/>
        <w:tblLook w:firstRow="1" w:lastRow="0" w:firstColumn="0" w:lastColumn="0" w:noHBand="0" w:noVBand="0" w:val="0020"/>
      </w:tblPr>
      <w:tblGrid>
        <w:gridCol w:w="1704"/>
        <w:gridCol w:w="902"/>
        <w:gridCol w:w="902"/>
        <w:gridCol w:w="4411"/>
      </w:tblGrid>
      <w:tr>
        <w:trPr>
          <w:tblHeader w:val="on"/>
        </w:trPr>
        <w:tc>
          <w:tcPr/>
          <w:p>
            <w:pPr>
              <w:pStyle w:val="Compact"/>
            </w:pPr>
            <w:r>
              <w:t xml:space="preserve">Komponente</w:t>
            </w:r>
          </w:p>
        </w:tc>
        <w:tc>
          <w:tcPr/>
          <w:p>
            <w:pPr>
              <w:pStyle w:val="Compact"/>
            </w:pPr>
            <w:r>
              <w:t xml:space="preserve">FP-Rate</w:t>
            </w:r>
          </w:p>
        </w:tc>
        <w:tc>
          <w:tcPr/>
          <w:p>
            <w:pPr>
              <w:pStyle w:val="Compact"/>
            </w:pPr>
            <w:r>
              <w:t xml:space="preserve">FN-Rate</w:t>
            </w:r>
          </w:p>
        </w:tc>
        <w:tc>
          <w:tcPr/>
          <w:p>
            <w:pPr>
              <w:pStyle w:val="Compact"/>
            </w:pPr>
            <w:r>
              <w:t xml:space="preserve">Umgang</w:t>
            </w:r>
          </w:p>
        </w:tc>
      </w:tr>
      <w:tr>
        <w:tc>
          <w:tcPr/>
          <w:p>
            <w:pPr>
              <w:pStyle w:val="Compact"/>
            </w:pPr>
            <w:r>
              <w:t xml:space="preserve">Claim Detection</w:t>
            </w:r>
          </w:p>
        </w:tc>
        <w:tc>
          <w:tcPr/>
          <w:p>
            <w:pPr>
              <w:pStyle w:val="Compact"/>
            </w:pPr>
            <w:r>
              <w:t xml:space="preserve">&lt;15%</w:t>
            </w:r>
          </w:p>
        </w:tc>
        <w:tc>
          <w:tcPr/>
          <w:p>
            <w:pPr>
              <w:pStyle w:val="Compact"/>
            </w:pPr>
            <w:r>
              <w:t xml:space="preserve">&lt;20%</w:t>
            </w:r>
          </w:p>
        </w:tc>
        <w:tc>
          <w:tcPr/>
          <w:p>
            <w:pPr>
              <w:pStyle w:val="Compact"/>
            </w:pPr>
            <w:r>
              <w:t xml:space="preserve">FP: Ressourcenkosten. FN: Human Escalation</w:t>
            </w:r>
          </w:p>
        </w:tc>
      </w:tr>
      <w:tr>
        <w:tc>
          <w:tcPr/>
          <w:p>
            <w:pPr>
              <w:pStyle w:val="Compact"/>
            </w:pPr>
            <w:r>
              <w:t xml:space="preserve">Verdict</w:t>
            </w:r>
          </w:p>
        </w:tc>
        <w:tc>
          <w:tcPr/>
          <w:p>
            <w:pPr>
              <w:pStyle w:val="Compact"/>
            </w:pPr>
            <w:r>
              <w:t xml:space="preserve">&lt;20%</w:t>
            </w:r>
          </w:p>
        </w:tc>
        <w:tc>
          <w:tcPr/>
          <w:p>
            <w:pPr>
              <w:pStyle w:val="Compact"/>
            </w:pPr>
            <w:r>
              <w:t xml:space="preserve">&lt;20%</w:t>
            </w:r>
          </w:p>
        </w:tc>
        <w:tc>
          <w:tcPr/>
          <w:p>
            <w:pPr>
              <w:pStyle w:val="Compact"/>
            </w:pPr>
            <w:r>
              <w:t xml:space="preserve">Unsicherheitskommunikation + Escalation</w:t>
            </w:r>
          </w:p>
        </w:tc>
      </w:tr>
      <w:tr>
        <w:tc>
          <w:tcPr/>
          <w:p>
            <w:pPr>
              <w:pStyle w:val="Compact"/>
            </w:pPr>
            <w:r>
              <w:t xml:space="preserve">Triage</w:t>
            </w:r>
          </w:p>
        </w:tc>
        <w:tc>
          <w:tcPr/>
          <w:p>
            <w:pPr>
              <w:pStyle w:val="Compact"/>
            </w:pPr>
            <w:r>
              <w:t xml:space="preserve">&lt;10%</w:t>
            </w:r>
          </w:p>
        </w:tc>
        <w:tc>
          <w:tcPr/>
          <w:p>
            <w:pPr>
              <w:pStyle w:val="Compact"/>
            </w:pPr>
            <w:r>
              <w:t xml:space="preserve">&lt;15%</w:t>
            </w:r>
          </w:p>
        </w:tc>
        <w:tc>
          <w:tcPr/>
          <w:p>
            <w:pPr>
              <w:pStyle w:val="Compact"/>
            </w:pPr>
            <w:r>
              <w:t xml:space="preserve">FP akzeptabel. FN: Confidence-Floor</w:t>
            </w:r>
          </w:p>
        </w:tc>
      </w:tr>
    </w:tbl>
    <w:p>
      <w:pPr>
        <w:pStyle w:val="BodyText"/>
      </w:pPr>
      <w:r>
        <w:rPr>
          <w:b/>
          <w:bCs/>
        </w:rPr>
        <w:t xml:space="preserve">Rückkopplungsschleife:</w:t>
      </w:r>
      <w:r>
        <w:t xml:space="preserve"> </w:t>
      </w:r>
      <w:r>
        <w:t xml:space="preserve">Reviewer-Feedback → Triage-Training. Pilotdaten → Benchmark-Erweiterung. Produktionsdaten → Konfidenz-Kalibrierung. Source-Reliability-Cache wächst kontinuierlich.</w:t>
      </w:r>
    </w:p>
    <w:bookmarkEnd w:id="46"/>
    <w:bookmarkStart w:id="47" w:name="algorithmus-begründung"/>
    <w:p>
      <w:pPr>
        <w:pStyle w:val="Heading3"/>
      </w:pPr>
      <w:r>
        <w:t xml:space="preserve">5.4 Algorithmus-Begründung</w:t>
      </w:r>
    </w:p>
    <w:tbl>
      <w:tblPr>
        <w:tblStyle w:val="Table"/>
        <w:tblW w:type="pct" w:w="5000"/>
        <w:tblLayout w:type="fixed"/>
        <w:tblLook w:firstRow="1" w:lastRow="0" w:firstColumn="0" w:lastColumn="0" w:noHBand="0" w:noVBand="0" w:val="0020"/>
      </w:tblPr>
      <w:tblGrid>
        <w:gridCol w:w="1257"/>
        <w:gridCol w:w="2200"/>
        <w:gridCol w:w="3205"/>
        <w:gridCol w:w="1257"/>
      </w:tblGrid>
      <w:tr>
        <w:trPr>
          <w:tblHeader w:val="on"/>
        </w:trPr>
        <w:tc>
          <w:tcPr/>
          <w:p>
            <w:pPr>
              <w:pStyle w:val="Compact"/>
            </w:pPr>
            <w:r>
              <w:t xml:space="preserve">Komponente</w:t>
            </w:r>
          </w:p>
        </w:tc>
        <w:tc>
          <w:tcPr/>
          <w:p>
            <w:pPr>
              <w:pStyle w:val="Compact"/>
            </w:pPr>
            <w:r>
              <w:t xml:space="preserve">Technologie</w:t>
            </w:r>
          </w:p>
        </w:tc>
        <w:tc>
          <w:tcPr/>
          <w:p>
            <w:pPr>
              <w:pStyle w:val="Compact"/>
            </w:pPr>
            <w:r>
              <w:t xml:space="preserve">Begründung</w:t>
            </w:r>
          </w:p>
        </w:tc>
        <w:tc>
          <w:tcPr/>
          <w:p>
            <w:pPr>
              <w:pStyle w:val="Compact"/>
            </w:pPr>
            <w:r>
              <w:t xml:space="preserve">Leistungsannahme</w:t>
            </w:r>
          </w:p>
        </w:tc>
      </w:tr>
      <w:tr>
        <w:tc>
          <w:tcPr/>
          <w:p>
            <w:pPr>
              <w:pStyle w:val="Compact"/>
            </w:pPr>
            <w:r>
              <w:t xml:space="preserve">Transkription</w:t>
            </w:r>
          </w:p>
        </w:tc>
        <w:tc>
          <w:tcPr/>
          <w:p>
            <w:pPr>
              <w:pStyle w:val="Compact"/>
            </w:pPr>
            <w:r>
              <w:t xml:space="preserve">Whisper V3 Turbo</w:t>
            </w:r>
          </w:p>
        </w:tc>
        <w:tc>
          <w:tcPr/>
          <w:p>
            <w:pPr>
              <w:pStyle w:val="Compact"/>
            </w:pPr>
            <w:r>
              <w:t xml:space="preserve">5.4× schneller; MIT; 100+ Sprachen</w:t>
            </w:r>
          </w:p>
        </w:tc>
        <w:tc>
          <w:tcPr/>
          <w:p>
            <w:pPr>
              <w:pStyle w:val="Compact"/>
            </w:pPr>
            <w:r>
              <w:t xml:space="preserve">WER &lt; 5%</w:t>
            </w:r>
          </w:p>
        </w:tc>
      </w:tr>
      <w:tr>
        <w:tc>
          <w:tcPr/>
          <w:p>
            <w:pPr>
              <w:pStyle w:val="Compact"/>
            </w:pPr>
            <w:r>
              <w:t xml:space="preserve">Diarisierung</w:t>
            </w:r>
          </w:p>
        </w:tc>
        <w:tc>
          <w:tcPr/>
          <w:p>
            <w:pPr>
              <w:pStyle w:val="Compact"/>
            </w:pPr>
            <w:r>
              <w:t xml:space="preserve">pyannote-audio</w:t>
            </w:r>
          </w:p>
        </w:tc>
        <w:tc>
          <w:tcPr/>
          <w:p>
            <w:pPr>
              <w:pStyle w:val="Compact"/>
            </w:pPr>
            <w:r>
              <w:t xml:space="preserve">State-of-the-Art; MIT; WDER 2.68%</w:t>
            </w:r>
          </w:p>
        </w:tc>
        <w:tc>
          <w:tcPr/>
          <w:p>
            <w:pPr>
              <w:pStyle w:val="Compact"/>
            </w:pPr>
            <w:r>
              <w:t xml:space="preserve">WDER &lt; 5%</w:t>
            </w:r>
          </w:p>
        </w:tc>
      </w:tr>
      <w:tr>
        <w:tc>
          <w:tcPr/>
          <w:p>
            <w:pPr>
              <w:pStyle w:val="Compact"/>
            </w:pPr>
            <w:r>
              <w:t xml:space="preserve">Claim Detection</w:t>
            </w:r>
          </w:p>
        </w:tc>
        <w:tc>
          <w:tcPr/>
          <w:p>
            <w:pPr>
              <w:pStyle w:val="Compact"/>
            </w:pPr>
            <w:r>
              <w:t xml:space="preserve">XLM-RoBERTa / LLM</w:t>
            </w:r>
          </w:p>
        </w:tc>
        <w:tc>
          <w:tcPr/>
          <w:p>
            <w:pPr>
              <w:pStyle w:val="Compact"/>
            </w:pPr>
            <w:r>
              <w:t xml:space="preserve">Multilingual; LiveFC: F1 0.899</w:t>
            </w:r>
          </w:p>
        </w:tc>
        <w:tc>
          <w:tcPr/>
          <w:p>
            <w:pPr>
              <w:pStyle w:val="Compact"/>
            </w:pPr>
            <w:r>
              <w:t xml:space="preserve">F1 ≥ 0.85</w:t>
            </w:r>
          </w:p>
        </w:tc>
      </w:tr>
      <w:tr>
        <w:tc>
          <w:tcPr/>
          <w:p>
            <w:pPr>
              <w:pStyle w:val="Compact"/>
            </w:pPr>
            <w:r>
              <w:t xml:space="preserve">Evidence Retrieval</w:t>
            </w:r>
          </w:p>
        </w:tc>
        <w:tc>
          <w:tcPr/>
          <w:p>
            <w:pPr>
              <w:pStyle w:val="Compact"/>
            </w:pPr>
            <w:r>
              <w:t xml:space="preserve">Multi-Source + FIRE-Retrieval</w:t>
            </w:r>
          </w:p>
        </w:tc>
        <w:tc>
          <w:tcPr/>
          <w:p>
            <w:pPr>
              <w:pStyle w:val="Compact"/>
            </w:pPr>
            <w:r>
              <w:t xml:space="preserve">7 Provider; konfidenzbasiertes Early-Stopping</w:t>
            </w:r>
          </w:p>
        </w:tc>
        <w:tc>
          <w:tcPr/>
          <w:p>
            <w:pPr>
              <w:pStyle w:val="Compact"/>
            </w:pPr>
            <w:r>
              <w:t xml:space="preserve">Evidenz in &lt;15s</w:t>
            </w:r>
          </w:p>
        </w:tc>
      </w:tr>
      <w:tr>
        <w:tc>
          <w:tcPr/>
          <w:p>
            <w:pPr>
              <w:pStyle w:val="Compact"/>
            </w:pPr>
            <w:r>
              <w:t xml:space="preserve">Verifikation</w:t>
            </w:r>
          </w:p>
        </w:tc>
        <w:tc>
          <w:tcPr/>
          <w:p>
            <w:pPr>
              <w:pStyle w:val="Compact"/>
            </w:pPr>
            <w:r>
              <w:t xml:space="preserve">5-Schritt Debatte</w:t>
            </w:r>
          </w:p>
        </w:tc>
        <w:tc>
          <w:tcPr/>
          <w:p>
            <w:pPr>
              <w:pStyle w:val="Compact"/>
            </w:pPr>
            <w:r>
              <w:t xml:space="preserve">Cross-Provider reduziert Bias; CLIMINATOR: 96%</w:t>
            </w:r>
          </w:p>
        </w:tc>
        <w:tc>
          <w:tcPr/>
          <w:p>
            <w:pPr>
              <w:pStyle w:val="Compact"/>
            </w:pPr>
            <w:r>
              <w:t xml:space="preserve">F1 ≥ 0.75</w:t>
            </w:r>
          </w:p>
        </w:tc>
      </w:tr>
      <w:tr>
        <w:tc>
          <w:tcPr/>
          <w:p>
            <w:pPr>
              <w:pStyle w:val="Compact"/>
            </w:pPr>
            <w:r>
              <w:t xml:space="preserve">Confidence</w:t>
            </w:r>
          </w:p>
        </w:tc>
        <w:tc>
          <w:tcPr/>
          <w:p>
            <w:pPr>
              <w:pStyle w:val="Compact"/>
            </w:pPr>
            <w:r>
              <w:t xml:space="preserve">Multi-Faktor-Kalibrierung</w:t>
            </w:r>
          </w:p>
        </w:tc>
        <w:tc>
          <w:tcPr/>
          <w:p>
            <w:pPr>
              <w:pStyle w:val="Compact"/>
            </w:pPr>
            <w:r>
              <w:t xml:space="preserve">Density Anchor + Band Snapping + Verdict Coupling</w:t>
            </w:r>
          </w:p>
        </w:tc>
        <w:tc>
          <w:tcPr/>
          <w:p>
            <w:pPr>
              <w:pStyle w:val="Compact"/>
            </w:pPr>
            <w:r>
              <w:t xml:space="preserve">ECE &lt; 0.15</w:t>
            </w:r>
          </w:p>
        </w:tc>
      </w:tr>
      <w:tr>
        <w:tc>
          <w:tcPr/>
          <w:p>
            <w:pPr>
              <w:pStyle w:val="Compact"/>
            </w:pPr>
            <w:r>
              <w:t xml:space="preserve">Triage</w:t>
            </w:r>
          </w:p>
        </w:tc>
        <w:tc>
          <w:tcPr/>
          <w:p>
            <w:pPr>
              <w:pStyle w:val="Compact"/>
            </w:pPr>
            <w:r>
              <w:t xml:space="preserve">Trainiertes Klassifikationsmodell</w:t>
            </w:r>
          </w:p>
        </w:tc>
        <w:tc>
          <w:tcPr/>
          <w:p>
            <w:pPr>
              <w:pStyle w:val="Compact"/>
            </w:pPr>
            <w:r>
              <w:t xml:space="preserve">Prädiktive Eskalation</w:t>
            </w:r>
          </w:p>
        </w:tc>
        <w:tc>
          <w:tcPr/>
          <w:p>
            <w:pPr>
              <w:pStyle w:val="Compact"/>
            </w:pPr>
            <w:r>
              <w:t xml:space="preserve">P ≥ 0.80, R ≥ 0.85</w:t>
            </w:r>
          </w:p>
        </w:tc>
      </w:tr>
    </w:tbl>
    <w:p>
      <w:pPr>
        <w:pStyle w:val="BodyText"/>
      </w:pPr>
      <w:r>
        <w:rPr>
          <w:b/>
          <w:bCs/>
        </w:rPr>
        <w:t xml:space="preserve">Kosten pro Echtzeit-Verifikation:</w:t>
      </w:r>
      <w:r>
        <w:t xml:space="preserve"> </w:t>
      </w:r>
      <w:r>
        <w:t xml:space="preserve">CHF 0.20-1.00 (dreistufige Modell-Schichtung: Budget/Standard/Premium).</w:t>
      </w:r>
    </w:p>
    <w:bookmarkEnd w:id="47"/>
    <w:bookmarkStart w:id="48" w:name="X9e31547a5a132b4d63acdad50fe8af73af3424d"/>
    <w:p>
      <w:pPr>
        <w:pStyle w:val="Heading3"/>
      </w:pPr>
      <w:r>
        <w:t xml:space="preserve">5.5 Marktakzeptanz einer nicht 100% exakten Lösung</w:t>
      </w:r>
    </w:p>
    <w:p>
      <w:pPr>
        <w:pStyle w:val="FirstParagraph"/>
      </w:pPr>
      <w:r>
        <w:t xml:space="preserve">LiveCheck wird als priorisierende Live-Assistentin positioniert, nicht als unfehlbarer Automat.</w:t>
      </w:r>
    </w:p>
    <w:p>
      <w:pPr>
        <w:pStyle w:val="Compact"/>
        <w:numPr>
          <w:ilvl w:val="0"/>
          <w:numId w:val="1004"/>
        </w:numPr>
      </w:pPr>
      <w:r>
        <w:rPr>
          <w:b/>
          <w:bCs/>
        </w:rPr>
        <w:t xml:space="preserve">Geschwindigkeitsvorteil:</w:t>
      </w:r>
      <w:r>
        <w:t xml:space="preserve"> </w:t>
      </w:r>
      <w:r>
        <w:t xml:space="preserve">75% F1 in 15 Sekunden ist für Live-Situationen wertvoller als 95% F1 in 60 Minuten.</w:t>
      </w:r>
    </w:p>
    <w:p>
      <w:pPr>
        <w:pStyle w:val="Compact"/>
        <w:numPr>
          <w:ilvl w:val="0"/>
          <w:numId w:val="1004"/>
        </w:numPr>
      </w:pPr>
      <w:r>
        <w:rPr>
          <w:b/>
          <w:bCs/>
        </w:rPr>
        <w:t xml:space="preserve">Professionelle Validierung:</w:t>
      </w:r>
      <w:r>
        <w:t xml:space="preserve"> </w:t>
      </w:r>
      <w:r>
        <w:t xml:space="preserve">Warren et al. (CHI 2025) zeigen: Faktenprüfer priorisieren Transparenz und Replizierbarkeit, nicht Perfektion.</w:t>
      </w:r>
    </w:p>
    <w:p>
      <w:pPr>
        <w:pStyle w:val="Compact"/>
        <w:numPr>
          <w:ilvl w:val="0"/>
          <w:numId w:val="1004"/>
        </w:numPr>
      </w:pPr>
      <w:r>
        <w:rPr>
          <w:b/>
          <w:bCs/>
        </w:rPr>
        <w:t xml:space="preserve">Bewährte Akzeptanz:</w:t>
      </w:r>
      <w:r>
        <w:t xml:space="preserve"> </w:t>
      </w:r>
      <w:r>
        <w:t xml:space="preserve">Full Fact AI startete mit 50% Genauigkeit, wird von 40+ Organisationen genutzt. Factiverse hat ~80% und Kunden.</w:t>
      </w:r>
    </w:p>
    <w:p>
      <w:pPr>
        <w:pStyle w:val="Compact"/>
        <w:numPr>
          <w:ilvl w:val="0"/>
          <w:numId w:val="1004"/>
        </w:numPr>
      </w:pPr>
      <w:r>
        <w:rPr>
          <w:b/>
          <w:bCs/>
        </w:rPr>
        <w:t xml:space="preserve">Vertrauensmechanismus:</w:t>
      </w:r>
      <w:r>
        <w:t xml:space="preserve"> </w:t>
      </w:r>
      <w:r>
        <w:t xml:space="preserve">7-Punkte-Skala mit Konfidenzband kommuniziert aktiv, wann ein Ergebnis belastbar ist — ehrlicher als scheinbar sichere Binärurteile.</w:t>
      </w:r>
    </w:p>
    <w:bookmarkEnd w:id="48"/>
    <w:bookmarkStart w:id="49" w:name="black-swan--edge-case-handling"/>
    <w:p>
      <w:pPr>
        <w:pStyle w:val="Heading3"/>
      </w:pPr>
      <w:r>
        <w:t xml:space="preserve">5.6 Black-Swan- / Edge-Case-Handling</w:t>
      </w:r>
    </w:p>
    <w:tbl>
      <w:tblPr>
        <w:tblStyle w:val="Table"/>
        <w:tblW w:type="pct" w:w="5000"/>
        <w:tblLayout w:type="fixed"/>
        <w:tblLook w:firstRow="1" w:lastRow="0" w:firstColumn="0" w:lastColumn="0" w:noHBand="0" w:noVBand="0" w:val="0020"/>
      </w:tblPr>
      <w:tblGrid>
        <w:gridCol w:w="1909"/>
        <w:gridCol w:w="2333"/>
        <w:gridCol w:w="3677"/>
      </w:tblGrid>
      <w:tr>
        <w:trPr>
          <w:tblHeader w:val="on"/>
        </w:trPr>
        <w:tc>
          <w:tcPr/>
          <w:p>
            <w:pPr>
              <w:pStyle w:val="Compact"/>
            </w:pPr>
            <w:r>
              <w:t xml:space="preserve">Szenario</w:t>
            </w:r>
          </w:p>
        </w:tc>
        <w:tc>
          <w:tcPr/>
          <w:p>
            <w:pPr>
              <w:pStyle w:val="Compact"/>
            </w:pPr>
            <w:r>
              <w:t xml:space="preserve">Erkennung</w:t>
            </w:r>
          </w:p>
        </w:tc>
        <w:tc>
          <w:tcPr/>
          <w:p>
            <w:pPr>
              <w:pStyle w:val="Compact"/>
            </w:pPr>
            <w:r>
              <w:t xml:space="preserve">Reaktion</w:t>
            </w:r>
          </w:p>
        </w:tc>
      </w:tr>
      <w:tr>
        <w:tc>
          <w:tcPr/>
          <w:p>
            <w:pPr>
              <w:pStyle w:val="Compact"/>
            </w:pPr>
            <w:r>
              <w:t xml:space="preserve">Breaking News</w:t>
            </w:r>
          </w:p>
        </w:tc>
        <w:tc>
          <w:tcPr/>
          <w:p>
            <w:pPr>
              <w:pStyle w:val="Compact"/>
            </w:pPr>
            <w:r>
              <w:t xml:space="preserve">Evidenzdichte-Check</w:t>
            </w:r>
          </w:p>
        </w:tc>
        <w:tc>
          <w:tcPr/>
          <w:p>
            <w:pPr>
              <w:pStyle w:val="Compact"/>
            </w:pPr>
            <w:r>
              <w:t xml:space="preserve">Eskalation;</w:t>
            </w:r>
            <w:r>
              <w:t xml:space="preserve"> </w:t>
            </w:r>
            <w:r>
              <w:t xml:space="preserve">“INSUFFICIENT”</w:t>
            </w:r>
            <w:r>
              <w:t xml:space="preserve"> </w:t>
            </w:r>
            <w:r>
              <w:t xml:space="preserve">markiert</w:t>
            </w:r>
          </w:p>
        </w:tc>
      </w:tr>
      <w:tr>
        <w:tc>
          <w:tcPr/>
          <w:p>
            <w:pPr>
              <w:pStyle w:val="Compact"/>
            </w:pPr>
            <w:r>
              <w:t xml:space="preserve">Themenverschiebung</w:t>
            </w:r>
          </w:p>
        </w:tc>
        <w:tc>
          <w:tcPr/>
          <w:p>
            <w:pPr>
              <w:pStyle w:val="Compact"/>
            </w:pPr>
            <w:r>
              <w:t xml:space="preserve">Diarisierung + Segmentierung</w:t>
            </w:r>
          </w:p>
        </w:tc>
        <w:tc>
          <w:tcPr/>
          <w:p>
            <w:pPr>
              <w:pStyle w:val="Compact"/>
            </w:pPr>
            <w:r>
              <w:t xml:space="preserve">Neuer ClaimAssessmentBoundary</w:t>
            </w:r>
          </w:p>
        </w:tc>
      </w:tr>
      <w:tr>
        <w:tc>
          <w:tcPr/>
          <w:p>
            <w:pPr>
              <w:pStyle w:val="Compact"/>
            </w:pPr>
            <w:r>
              <w:t xml:space="preserve">Ironie/Mehrdeutigkeit</w:t>
            </w:r>
          </w:p>
        </w:tc>
        <w:tc>
          <w:tcPr/>
          <w:p>
            <w:pPr>
              <w:pStyle w:val="Compact"/>
            </w:pPr>
            <w:r>
              <w:t xml:space="preserve">AMBIGUOUS-Klassifikation</w:t>
            </w:r>
          </w:p>
        </w:tc>
        <w:tc>
          <w:tcPr/>
          <w:p>
            <w:pPr>
              <w:pStyle w:val="Compact"/>
            </w:pPr>
            <w:r>
              <w:t xml:space="preserve">Niedrige Worthiness; Eskalation</w:t>
            </w:r>
          </w:p>
        </w:tc>
      </w:tr>
      <w:tr>
        <w:tc>
          <w:tcPr/>
          <w:p>
            <w:pPr>
              <w:pStyle w:val="Compact"/>
            </w:pPr>
            <w:r>
              <w:t xml:space="preserve">ASR-Fehler</w:t>
            </w:r>
          </w:p>
        </w:tc>
        <w:tc>
          <w:tcPr/>
          <w:p>
            <w:pPr>
              <w:pStyle w:val="Compact"/>
            </w:pPr>
            <w:r>
              <w:t xml:space="preserve">WER-Monitoring pro Segment</w:t>
            </w:r>
          </w:p>
        </w:tc>
        <w:tc>
          <w:tcPr/>
          <w:p>
            <w:pPr>
              <w:pStyle w:val="Compact"/>
            </w:pPr>
            <w:r>
              <w:t xml:space="preserve">Niedrig-konfidente Segmente gefiltert</w:t>
            </w:r>
          </w:p>
        </w:tc>
      </w:tr>
      <w:tr>
        <w:tc>
          <w:tcPr/>
          <w:p>
            <w:pPr>
              <w:pStyle w:val="Compact"/>
            </w:pPr>
            <w:r>
              <w:t xml:space="preserve">Adversariale Manipulation</w:t>
            </w:r>
          </w:p>
        </w:tc>
        <w:tc>
          <w:tcPr/>
          <w:p>
            <w:pPr>
              <w:pStyle w:val="Compact"/>
            </w:pPr>
            <w:r>
              <w:t xml:space="preserve">Harm-Potential-Klassifikation</w:t>
            </w:r>
          </w:p>
        </w:tc>
        <w:tc>
          <w:tcPr/>
          <w:p>
            <w:pPr>
              <w:pStyle w:val="Compact"/>
            </w:pPr>
            <w:r>
              <w:t xml:space="preserve">High-Harm-Floor: 50% Minimum-Confidence</w:t>
            </w:r>
          </w:p>
        </w:tc>
      </w:tr>
      <w:tr>
        <w:tc>
          <w:tcPr/>
          <w:p>
            <w:pPr>
              <w:pStyle w:val="Compact"/>
            </w:pPr>
            <w:r>
              <w:t xml:space="preserve">Provider-Ausfall</w:t>
            </w:r>
          </w:p>
        </w:tc>
        <w:tc>
          <w:tcPr/>
          <w:p>
            <w:pPr>
              <w:pStyle w:val="Compact"/>
            </w:pPr>
            <w:r>
              <w:t xml:space="preserve">Circuit Breaker, Multi-Provider</w:t>
            </w:r>
          </w:p>
        </w:tc>
        <w:tc>
          <w:tcPr/>
          <w:p>
            <w:pPr>
              <w:pStyle w:val="Compact"/>
            </w:pPr>
            <w:r>
              <w:t xml:space="preserve">Automatischer Failover; Eskalation bei &lt;2 Provider</w:t>
            </w:r>
          </w:p>
        </w:tc>
      </w:tr>
    </w:tbl>
    <w:p>
      <w:pPr>
        <w:pStyle w:val="BodyText"/>
      </w:pPr>
      <w:r>
        <w:t xml:space="preserve">Robustheit: Multi-Provider-Architektur (7 Suchmaschinen, 4 LLM-Provider). Totalausfall erfordert simultanen Ausfall aller Provider.</w:t>
      </w:r>
    </w:p>
    <w:bookmarkEnd w:id="49"/>
    <w:bookmarkStart w:id="50" w:name="evaluationsmetriken"/>
    <w:p>
      <w:pPr>
        <w:pStyle w:val="Heading3"/>
      </w:pPr>
      <w:r>
        <w:t xml:space="preserve">5.7 Evaluationsmetriken</w:t>
      </w:r>
    </w:p>
    <w:tbl>
      <w:tblPr>
        <w:tblStyle w:val="Table"/>
        <w:tblW w:type="pct" w:w="5000"/>
        <w:tblLayout w:type="fixed"/>
        <w:tblLook w:firstRow="1" w:lastRow="0" w:firstColumn="0" w:lastColumn="0" w:noHBand="0" w:noVBand="0" w:val="0020"/>
      </w:tblPr>
      <w:tblGrid>
        <w:gridCol w:w="2053"/>
        <w:gridCol w:w="2346"/>
        <w:gridCol w:w="3520"/>
      </w:tblGrid>
      <w:tr>
        <w:trPr>
          <w:tblHeader w:val="on"/>
        </w:trPr>
        <w:tc>
          <w:tcPr/>
          <w:p>
            <w:pPr>
              <w:pStyle w:val="Compact"/>
            </w:pPr>
            <w:r>
              <w:t xml:space="preserve">Metrik</w:t>
            </w:r>
          </w:p>
        </w:tc>
        <w:tc>
          <w:tcPr/>
          <w:p>
            <w:pPr>
              <w:pStyle w:val="Compact"/>
            </w:pPr>
            <w:r>
              <w:t xml:space="preserve">Zielwert</w:t>
            </w:r>
          </w:p>
        </w:tc>
        <w:tc>
          <w:tcPr/>
          <w:p>
            <w:pPr>
              <w:pStyle w:val="Compact"/>
            </w:pPr>
            <w:r>
              <w:t xml:space="preserve">Messmethode</w:t>
            </w:r>
          </w:p>
        </w:tc>
      </w:tr>
      <w:tr>
        <w:tc>
          <w:tcPr/>
          <w:p>
            <w:pPr>
              <w:pStyle w:val="Compact"/>
            </w:pPr>
            <w:r>
              <w:t xml:space="preserve">End-to-End-Latenz</w:t>
            </w:r>
          </w:p>
        </w:tc>
        <w:tc>
          <w:tcPr/>
          <w:p>
            <w:pPr>
              <w:pStyle w:val="Compact"/>
            </w:pPr>
            <w:r>
              <w:t xml:space="preserve">&lt;15s (P50), &lt;30s (P95)</w:t>
            </w:r>
          </w:p>
        </w:tc>
        <w:tc>
          <w:tcPr/>
          <w:p>
            <w:pPr>
              <w:pStyle w:val="Compact"/>
            </w:pPr>
            <w:r>
              <w:t xml:space="preserve">Pipeline-Monitoring</w:t>
            </w:r>
          </w:p>
        </w:tc>
      </w:tr>
      <w:tr>
        <w:tc>
          <w:tcPr/>
          <w:p>
            <w:pPr>
              <w:pStyle w:val="Compact"/>
            </w:pPr>
            <w:r>
              <w:t xml:space="preserve">Claim Detection F1</w:t>
            </w:r>
          </w:p>
        </w:tc>
        <w:tc>
          <w:tcPr/>
          <w:p>
            <w:pPr>
              <w:pStyle w:val="Compact"/>
            </w:pPr>
            <w:r>
              <w:t xml:space="preserve">≥0.85</w:t>
            </w:r>
          </w:p>
        </w:tc>
        <w:tc>
          <w:tcPr/>
          <w:p>
            <w:pPr>
              <w:pStyle w:val="Compact"/>
            </w:pPr>
            <w:r>
              <w:t xml:space="preserve">Annotiertes Test-Set (≥500 Claims)</w:t>
            </w:r>
          </w:p>
        </w:tc>
      </w:tr>
      <w:tr>
        <w:tc>
          <w:tcPr/>
          <w:p>
            <w:pPr>
              <w:pStyle w:val="Compact"/>
            </w:pPr>
            <w:r>
              <w:t xml:space="preserve">Veracity F1</w:t>
            </w:r>
          </w:p>
        </w:tc>
        <w:tc>
          <w:tcPr/>
          <w:p>
            <w:pPr>
              <w:pStyle w:val="Compact"/>
            </w:pPr>
            <w:r>
              <w:t xml:space="preserve">≥0.75</w:t>
            </w:r>
          </w:p>
        </w:tc>
        <w:tc>
          <w:tcPr/>
          <w:p>
            <w:pPr>
              <w:pStyle w:val="Compact"/>
            </w:pPr>
            <w:r>
              <w:t xml:space="preserve">AVeriTeC + eigener Benchmark</w:t>
            </w:r>
          </w:p>
        </w:tc>
      </w:tr>
      <w:tr>
        <w:tc>
          <w:tcPr/>
          <w:p>
            <w:pPr>
              <w:pStyle w:val="Compact"/>
            </w:pPr>
            <w:r>
              <w:t xml:space="preserve">Attribution Quality</w:t>
            </w:r>
          </w:p>
        </w:tc>
        <w:tc>
          <w:tcPr/>
          <w:p>
            <w:pPr>
              <w:pStyle w:val="Compact"/>
            </w:pPr>
            <w:r>
              <w:t xml:space="preserve">≥80%</w:t>
            </w:r>
          </w:p>
        </w:tc>
        <w:tc>
          <w:tcPr/>
          <w:p>
            <w:pPr>
              <w:pStyle w:val="Compact"/>
            </w:pPr>
            <w:r>
              <w:t xml:space="preserve">Manuelle Annotation + NLI</w:t>
            </w:r>
          </w:p>
        </w:tc>
      </w:tr>
      <w:tr>
        <w:tc>
          <w:tcPr/>
          <w:p>
            <w:pPr>
              <w:pStyle w:val="Compact"/>
            </w:pPr>
            <w:r>
              <w:t xml:space="preserve">Verdict Stability</w:t>
            </w:r>
          </w:p>
        </w:tc>
        <w:tc>
          <w:tcPr/>
          <w:p>
            <w:pPr>
              <w:pStyle w:val="Compact"/>
            </w:pPr>
            <w:r>
              <w:t xml:space="preserve">&lt;10pp (60s)</w:t>
            </w:r>
          </w:p>
        </w:tc>
        <w:tc>
          <w:tcPr/>
          <w:p>
            <w:pPr>
              <w:pStyle w:val="Compact"/>
            </w:pPr>
            <w:r>
              <w:t xml:space="preserve">Evidenz-Akkumulationsfenster</w:t>
            </w:r>
          </w:p>
        </w:tc>
      </w:tr>
      <w:tr>
        <w:tc>
          <w:tcPr/>
          <w:p>
            <w:pPr>
              <w:pStyle w:val="Compact"/>
            </w:pPr>
            <w:r>
              <w:t xml:space="preserve">Triage P/R</w:t>
            </w:r>
          </w:p>
        </w:tc>
        <w:tc>
          <w:tcPr/>
          <w:p>
            <w:pPr>
              <w:pStyle w:val="Compact"/>
            </w:pPr>
            <w:r>
              <w:t xml:space="preserve">P≥0.80, R≥0.85</w:t>
            </w:r>
          </w:p>
        </w:tc>
        <w:tc>
          <w:tcPr/>
          <w:p>
            <w:pPr>
              <w:pStyle w:val="Compact"/>
            </w:pPr>
            <w:r>
              <w:t xml:space="preserve">Human-annotierte Daten</w:t>
            </w:r>
          </w:p>
        </w:tc>
      </w:tr>
      <w:tr>
        <w:tc>
          <w:tcPr/>
          <w:p>
            <w:pPr>
              <w:pStyle w:val="Compact"/>
            </w:pPr>
            <w:r>
              <w:t xml:space="preserve">ECE</w:t>
            </w:r>
          </w:p>
        </w:tc>
        <w:tc>
          <w:tcPr/>
          <w:p>
            <w:pPr>
              <w:pStyle w:val="Compact"/>
            </w:pPr>
            <w:r>
              <w:t xml:space="preserve">&lt;0.15</w:t>
            </w:r>
          </w:p>
        </w:tc>
        <w:tc>
          <w:tcPr/>
          <w:p>
            <w:pPr>
              <w:pStyle w:val="Compact"/>
            </w:pPr>
            <w:r>
              <w:t xml:space="preserve">Reliability Diagram</w:t>
            </w:r>
          </w:p>
        </w:tc>
      </w:tr>
      <w:tr>
        <w:tc>
          <w:tcPr/>
          <w:p>
            <w:pPr>
              <w:pStyle w:val="Compact"/>
            </w:pPr>
            <w:r>
              <w:t xml:space="preserve">Input-Neutralität</w:t>
            </w:r>
          </w:p>
        </w:tc>
        <w:tc>
          <w:tcPr/>
          <w:p>
            <w:pPr>
              <w:pStyle w:val="Compact"/>
            </w:pPr>
            <w:r>
              <w:t xml:space="preserve">≤4pp</w:t>
            </w:r>
          </w:p>
        </w:tc>
        <w:tc>
          <w:tcPr/>
          <w:p>
            <w:pPr>
              <w:pStyle w:val="Compact"/>
            </w:pPr>
            <w:r>
              <w:t xml:space="preserve">FactHarbor-Framework</w:t>
            </w:r>
          </w:p>
        </w:tc>
      </w:tr>
    </w:tbl>
    <w:p>
      <w:r>
        <w:pict>
          <v:rect style="width:0;height:1.5pt" o:hralign="center" o:hrstd="t" o:hr="t"/>
        </w:pict>
      </w:r>
    </w:p>
    <w:bookmarkEnd w:id="50"/>
    <w:bookmarkEnd w:id="51"/>
    <w:bookmarkStart w:id="55" w:name="budget-und-kostenstruktur"/>
    <w:p>
      <w:pPr>
        <w:pStyle w:val="Heading2"/>
      </w:pPr>
      <w:r>
        <w:t xml:space="preserve">6. Budget und Kostenstruktur</w:t>
      </w:r>
    </w:p>
    <w:bookmarkStart w:id="52" w:name="gesamtbudget"/>
    <w:p>
      <w:pPr>
        <w:pStyle w:val="Heading3"/>
      </w:pPr>
      <w:r>
        <w:t xml:space="preserve">6.1 Gesamtbudget</w:t>
      </w:r>
    </w:p>
    <w:tbl>
      <w:tblPr>
        <w:tblStyle w:val="Table"/>
        <w:tblW w:type="pct" w:w="5000"/>
        <w:tblLayout w:type="fixed"/>
        <w:tblLook w:firstRow="1" w:lastRow="0" w:firstColumn="0" w:lastColumn="0" w:noHBand="0" w:noVBand="0" w:val="0020"/>
      </w:tblPr>
      <w:tblGrid>
        <w:gridCol w:w="2112"/>
        <w:gridCol w:w="2200"/>
        <w:gridCol w:w="2112"/>
        <w:gridCol w:w="1496"/>
      </w:tblGrid>
      <w:tr>
        <w:trPr>
          <w:tblHeader w:val="on"/>
        </w:trPr>
        <w:tc>
          <w:tcPr/>
          <w:p>
            <w:pPr>
              <w:pStyle w:val="Compact"/>
            </w:pPr>
            <w:r>
              <w:t xml:space="preserve">Kostenblock</w:t>
            </w:r>
          </w:p>
        </w:tc>
        <w:tc>
          <w:tcPr/>
          <w:p>
            <w:pPr>
              <w:pStyle w:val="Compact"/>
            </w:pPr>
            <w:r>
              <w:t xml:space="preserve">Forschungspartner (UZH)</w:t>
            </w:r>
          </w:p>
        </w:tc>
        <w:tc>
          <w:tcPr/>
          <w:p>
            <w:pPr>
              <w:pStyle w:val="Compact"/>
            </w:pPr>
            <w:r>
              <w:t xml:space="preserve">Umsetzungspartner (FH)</w:t>
            </w:r>
          </w:p>
        </w:tc>
        <w:tc>
          <w:tcPr/>
          <w:p>
            <w:pPr>
              <w:pStyle w:val="Compact"/>
            </w:pPr>
            <w:r>
              <w:t xml:space="preserve">Total</w:t>
            </w:r>
          </w:p>
        </w:tc>
      </w:tr>
      <w:tr>
        <w:tc>
          <w:tcPr/>
          <w:p>
            <w:pPr>
              <w:pStyle w:val="Compact"/>
            </w:pPr>
            <w:r>
              <w:t xml:space="preserve">Personalkosten</w:t>
            </w:r>
          </w:p>
        </w:tc>
        <w:tc>
          <w:tcPr/>
          <w:p>
            <w:pPr>
              <w:pStyle w:val="Compact"/>
            </w:pPr>
            <w:r>
              <w:t xml:space="preserve">CHF 220’000</w:t>
            </w:r>
          </w:p>
        </w:tc>
        <w:tc>
          <w:tcPr/>
          <w:p>
            <w:pPr>
              <w:pStyle w:val="Compact"/>
            </w:pPr>
            <w:r>
              <w:t xml:space="preserve">CHF 195’000 (In-Kind)</w:t>
            </w:r>
          </w:p>
        </w:tc>
        <w:tc>
          <w:tcPr/>
          <w:p>
            <w:pPr>
              <w:pStyle w:val="Compact"/>
            </w:pPr>
            <w:r>
              <w:t xml:space="preserve">CHF 415’000</w:t>
            </w:r>
          </w:p>
        </w:tc>
      </w:tr>
      <w:tr>
        <w:tc>
          <w:tcPr/>
          <w:p>
            <w:pPr>
              <w:pStyle w:val="Compact"/>
            </w:pPr>
            <w:r>
              <w:t xml:space="preserve">Material/Infrastruktur</w:t>
            </w:r>
          </w:p>
        </w:tc>
        <w:tc>
          <w:tcPr/>
          <w:p>
            <w:pPr>
              <w:pStyle w:val="Compact"/>
            </w:pPr>
            <w:r>
              <w:t xml:space="preserve">CHF 15’000</w:t>
            </w:r>
          </w:p>
        </w:tc>
        <w:tc>
          <w:tcPr/>
          <w:p>
            <w:pPr>
              <w:pStyle w:val="Compact"/>
            </w:pPr>
            <w:r>
              <w:t xml:space="preserve">CHF 30’000</w:t>
            </w:r>
          </w:p>
        </w:tc>
        <w:tc>
          <w:tcPr/>
          <w:p>
            <w:pPr>
              <w:pStyle w:val="Compact"/>
            </w:pPr>
            <w:r>
              <w:t xml:space="preserve">CHF 45’000</w:t>
            </w:r>
          </w:p>
        </w:tc>
      </w:tr>
      <w:tr>
        <w:tc>
          <w:tcPr/>
          <w:p>
            <w:pPr>
              <w:pStyle w:val="Compact"/>
            </w:pPr>
            <w:r>
              <w:t xml:space="preserve">Reisen/Konferenzen</w:t>
            </w:r>
          </w:p>
        </w:tc>
        <w:tc>
          <w:tcPr/>
          <w:p>
            <w:pPr>
              <w:pStyle w:val="Compact"/>
            </w:pPr>
            <w:r>
              <w:t xml:space="preserve">CHF 10’000</w:t>
            </w:r>
          </w:p>
        </w:tc>
        <w:tc>
          <w:tcPr/>
          <w:p>
            <w:pPr>
              <w:pStyle w:val="Compact"/>
            </w:pPr>
            <w:r>
              <w:t xml:space="preserve">CHF 5’000</w:t>
            </w:r>
          </w:p>
        </w:tc>
        <w:tc>
          <w:tcPr/>
          <w:p>
            <w:pPr>
              <w:pStyle w:val="Compact"/>
            </w:pPr>
            <w:r>
              <w:t xml:space="preserve">CHF 15’000</w:t>
            </w:r>
          </w:p>
        </w:tc>
      </w:tr>
      <w:tr>
        <w:tc>
          <w:tcPr/>
          <w:p>
            <w:pPr>
              <w:pStyle w:val="Compact"/>
            </w:pPr>
            <w:r>
              <w:t xml:space="preserve">Sonstiges</w:t>
            </w:r>
          </w:p>
        </w:tc>
        <w:tc>
          <w:tcPr/>
          <w:p>
            <w:pPr>
              <w:pStyle w:val="Compact"/>
            </w:pPr>
            <w:r>
              <w:t xml:space="preserve">CHF 5’000</w:t>
            </w:r>
          </w:p>
        </w:tc>
        <w:tc>
          <w:tcPr/>
          <w:p>
            <w:pPr>
              <w:pStyle w:val="Compact"/>
            </w:pPr>
            <w:r>
              <w:t xml:space="preserve">CHF 5’000</w:t>
            </w:r>
          </w:p>
        </w:tc>
        <w:tc>
          <w:tcPr/>
          <w:p>
            <w:pPr>
              <w:pStyle w:val="Compact"/>
            </w:pPr>
            <w:r>
              <w:t xml:space="preserve">CHF 10’000</w:t>
            </w:r>
          </w:p>
        </w:tc>
      </w:tr>
      <w:tr>
        <w:tc>
          <w:tcPr/>
          <w:p>
            <w:pPr>
              <w:pStyle w:val="Compact"/>
            </w:pPr>
            <w:r>
              <w:rPr>
                <w:b/>
                <w:bCs/>
              </w:rPr>
              <w:t xml:space="preserve">Zwischensumme</w:t>
            </w:r>
          </w:p>
        </w:tc>
        <w:tc>
          <w:tcPr/>
          <w:p>
            <w:pPr>
              <w:pStyle w:val="Compact"/>
            </w:pPr>
            <w:r>
              <w:rPr>
                <w:b/>
                <w:bCs/>
              </w:rPr>
              <w:t xml:space="preserve">CHF 250’000</w:t>
            </w:r>
          </w:p>
        </w:tc>
        <w:tc>
          <w:tcPr/>
          <w:p>
            <w:pPr>
              <w:pStyle w:val="Compact"/>
            </w:pPr>
            <w:r>
              <w:rPr>
                <w:b/>
                <w:bCs/>
              </w:rPr>
              <w:t xml:space="preserve">CHF 235’000</w:t>
            </w:r>
          </w:p>
        </w:tc>
        <w:tc>
          <w:tcPr/>
          <w:p>
            <w:pPr>
              <w:pStyle w:val="Compact"/>
            </w:pPr>
            <w:r>
              <w:rPr>
                <w:b/>
                <w:bCs/>
              </w:rPr>
              <w:t xml:space="preserve">CHF 485’000</w:t>
            </w:r>
          </w:p>
        </w:tc>
      </w:tr>
    </w:tbl>
    <w:bookmarkEnd w:id="52"/>
    <w:bookmarkStart w:id="53" w:name="finanzierungsaufteilung"/>
    <w:p>
      <w:pPr>
        <w:pStyle w:val="Heading3"/>
      </w:pPr>
      <w:r>
        <w:t xml:space="preserve">6.2 Finanzierungsaufteilung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Quelle</w:t>
            </w:r>
          </w:p>
        </w:tc>
        <w:tc>
          <w:tcPr/>
          <w:p>
            <w:pPr>
              <w:pStyle w:val="Compact"/>
            </w:pPr>
            <w:r>
              <w:t xml:space="preserve">Betrag</w:t>
            </w:r>
          </w:p>
        </w:tc>
        <w:tc>
          <w:tcPr/>
          <w:p>
            <w:pPr>
              <w:pStyle w:val="Compact"/>
            </w:pPr>
            <w:r>
              <w:t xml:space="preserve">Anteil</w:t>
            </w:r>
          </w:p>
        </w:tc>
      </w:tr>
      <w:tr>
        <w:tc>
          <w:tcPr/>
          <w:p>
            <w:pPr>
              <w:pStyle w:val="Compact"/>
            </w:pPr>
            <w:r>
              <w:t xml:space="preserve">Innosuisse-Beitrag (an FP)</w:t>
            </w:r>
          </w:p>
        </w:tc>
        <w:tc>
          <w:tcPr/>
          <w:p>
            <w:pPr>
              <w:pStyle w:val="Compact"/>
            </w:pPr>
            <w:r>
              <w:t xml:space="preserve">CHF 250’000</w:t>
            </w:r>
          </w:p>
        </w:tc>
        <w:tc>
          <w:tcPr/>
          <w:p>
            <w:pPr>
              <w:pStyle w:val="Compact"/>
            </w:pPr>
            <w:r>
              <w:t xml:space="preserve">51.5%</w:t>
            </w:r>
          </w:p>
        </w:tc>
      </w:tr>
      <w:tr>
        <w:tc>
          <w:tcPr/>
          <w:p>
            <w:pPr>
              <w:pStyle w:val="Compact"/>
            </w:pPr>
            <w:r>
              <w:t xml:space="preserve">Umsetzungspartner In-Kind</w:t>
            </w:r>
          </w:p>
        </w:tc>
        <w:tc>
          <w:tcPr/>
          <w:p>
            <w:pPr>
              <w:pStyle w:val="Compact"/>
            </w:pPr>
            <w:r>
              <w:t xml:space="preserve">CHF 211’500</w:t>
            </w:r>
          </w:p>
        </w:tc>
        <w:tc>
          <w:tcPr/>
          <w:p>
            <w:pPr>
              <w:pStyle w:val="Compact"/>
            </w:pPr>
            <w:r>
              <w:t xml:space="preserve">43.6%</w:t>
            </w:r>
          </w:p>
        </w:tc>
      </w:tr>
      <w:tr>
        <w:tc>
          <w:tcPr/>
          <w:p>
            <w:pPr>
              <w:pStyle w:val="Compact"/>
            </w:pPr>
            <w:r>
              <w:t xml:space="preserve">Umsetzungspartner Cash (Barbeitrag)</w:t>
            </w:r>
          </w:p>
        </w:tc>
        <w:tc>
          <w:tcPr/>
          <w:p>
            <w:pPr>
              <w:pStyle w:val="Compact"/>
            </w:pPr>
            <w:r>
              <w:t xml:space="preserve">CHF 24’250</w:t>
            </w:r>
          </w:p>
        </w:tc>
        <w:tc>
          <w:tcPr/>
          <w:p>
            <w:pPr>
              <w:pStyle w:val="Compact"/>
            </w:pPr>
            <w:r>
              <w:t xml:space="preserve">5.0%</w:t>
            </w:r>
          </w:p>
        </w:tc>
      </w:tr>
      <w:tr>
        <w:tc>
          <w:tcPr/>
          <w:p>
            <w:pPr>
              <w:pStyle w:val="Compact"/>
            </w:pPr>
            <w:r>
              <w:rPr>
                <w:b/>
                <w:bCs/>
              </w:rPr>
              <w:t xml:space="preserve">Total</w:t>
            </w:r>
          </w:p>
        </w:tc>
        <w:tc>
          <w:tcPr/>
          <w:p>
            <w:pPr>
              <w:pStyle w:val="Compact"/>
            </w:pPr>
            <w:r>
              <w:rPr>
                <w:b/>
                <w:bCs/>
              </w:rPr>
              <w:t xml:space="preserve">CHF 485’750</w:t>
            </w:r>
          </w:p>
        </w:tc>
        <w:tc>
          <w:tcPr/>
          <w:p>
            <w:pPr>
              <w:pStyle w:val="Compact"/>
            </w:pPr>
            <w:r>
              <w:rPr>
                <w:b/>
                <w:bCs/>
              </w:rPr>
              <w:t xml:space="preserve">100%</w:t>
            </w:r>
          </w:p>
        </w:tc>
      </w:tr>
    </w:tbl>
    <w:bookmarkEnd w:id="53"/>
    <w:bookmarkStart w:id="54" w:name="härtefallklausel-art.-19-abs.-2bis-fifg"/>
    <w:p>
      <w:pPr>
        <w:pStyle w:val="Heading3"/>
      </w:pPr>
      <w:r>
        <w:t xml:space="preserve">6.3 Härtefallklausel — Art. 19 Abs. 2bis FIFG</w:t>
      </w:r>
    </w:p>
    <w:p>
      <w:pPr>
        <w:pStyle w:val="FirstParagraph"/>
      </w:pPr>
      <w:r>
        <w:t xml:space="preserve">FactHarbor Verein beantragt eine Reduktion des Barbeitrags. Drei gesetzliche Bedingungen sind erfüllt:</w:t>
      </w:r>
    </w:p>
    <w:p>
      <w:pPr>
        <w:pStyle w:val="BodyText"/>
      </w:pPr>
      <w:r>
        <w:rPr>
          <w:b/>
          <w:bCs/>
        </w:rPr>
        <w:t xml:space="preserve">(a)</w:t>
      </w:r>
      <w:r>
        <w:t xml:space="preserve"> </w:t>
      </w:r>
      <w:r>
        <w:t xml:space="preserve">Überdurchschnittliches Realisierungsrisiko, aber hoher gesellschaftlicher Nutzen: Echtzeit-Faktenprüfung adressiert eine zentrale demokratische Herausforderung.</w:t>
      </w:r>
    </w:p>
    <w:p>
      <w:pPr>
        <w:pStyle w:val="BodyText"/>
      </w:pPr>
      <w:r>
        <w:rPr>
          <w:b/>
          <w:bCs/>
        </w:rPr>
        <w:t xml:space="preserve">(b)</w:t>
      </w:r>
      <w:r>
        <w:t xml:space="preserve"> </w:t>
      </w:r>
      <w:r>
        <w:t xml:space="preserve">Ergebnisse nützen einer breiten Nutzergruppe: Open-Source-Benchmark und Evaluations-Framework kommen 443+ Organisationen weltweit zugute.</w:t>
      </w:r>
    </w:p>
    <w:p>
      <w:pPr>
        <w:pStyle w:val="BodyText"/>
      </w:pPr>
      <w:r>
        <w:rPr>
          <w:b/>
          <w:bCs/>
        </w:rPr>
        <w:t xml:space="preserve">(c)</w:t>
      </w:r>
      <w:r>
        <w:t xml:space="preserve"> </w:t>
      </w:r>
      <w:r>
        <w:t xml:space="preserve">Partner finanziell nicht in der Lage, Standardbeitrag zu leisten, aber überdurchschnittliches Umsetzungspotenzial: Non-Profit-Organisation mit funktionsfähiger Plattform (TRL 5-6).</w:t>
      </w:r>
    </w:p>
    <w:p>
      <w:r>
        <w:pict>
          <v:rect style="width:0;height:1.5pt" o:hralign="center" o:hrstd="t" o:hr="t"/>
        </w:pict>
      </w:r>
    </w:p>
    <w:bookmarkEnd w:id="54"/>
    <w:bookmarkEnd w:id="55"/>
    <w:bookmarkStart w:id="56" w:name="X2145738cd526dd35bab6b6cf7a904e4d279c285"/>
    <w:p>
      <w:pPr>
        <w:pStyle w:val="Heading2"/>
      </w:pPr>
      <w:r>
        <w:t xml:space="preserve">7. Wirtschaftliche und gesellschaftliche Wirkung</w:t>
      </w:r>
    </w:p>
    <w:p>
      <w:pPr>
        <w:pStyle w:val="FirstParagraph"/>
      </w:pPr>
      <w:r>
        <w:rPr>
          <w:b/>
          <w:bCs/>
        </w:rPr>
        <w:t xml:space="preserve">Wirtschaftlich:</w:t>
      </w:r>
      <w:r>
        <w:t xml:space="preserve"> </w:t>
      </w:r>
      <w:r>
        <w:t xml:space="preserve">- Neues Produkt im wachsenden Segment der Medien-Assistenzsysteme</w:t>
      </w:r>
      <w:r>
        <w:t xml:space="preserve"> </w:t>
      </w:r>
      <w:r>
        <w:t xml:space="preserve">- 2-5 Arbeitsplätze ab Jahr 3</w:t>
      </w:r>
      <w:r>
        <w:t xml:space="preserve"> </w:t>
      </w:r>
      <w:r>
        <w:t xml:space="preserve">- Wertschöpfung Schweiz: Technologie, Publikationen, Benchmark-Daten</w:t>
      </w:r>
      <w:r>
        <w:t xml:space="preserve"> </w:t>
      </w:r>
      <w:r>
        <w:t xml:space="preserve">- Stärkung des Schweizer KI-Ökosystems</w:t>
      </w:r>
    </w:p>
    <w:p>
      <w:pPr>
        <w:pStyle w:val="BodyText"/>
      </w:pPr>
      <w:r>
        <w:rPr>
          <w:b/>
          <w:bCs/>
        </w:rPr>
        <w:t xml:space="preserve">Gesellschaftlich:</w:t>
      </w:r>
      <w:r>
        <w:t xml:space="preserve"> </w:t>
      </w:r>
      <w:r>
        <w:t xml:space="preserve">- Stärkung der Informationsintegrität in Live-Formaten</w:t>
      </w:r>
      <w:r>
        <w:t xml:space="preserve"> </w:t>
      </w:r>
      <w:r>
        <w:t xml:space="preserve">- Werkzeug für 443+ Faktenprüfungsorganisationen</w:t>
      </w:r>
      <w:r>
        <w:t xml:space="preserve"> </w:t>
      </w:r>
      <w:r>
        <w:t xml:space="preserve">- Unabhängigkeit von Plattform-Finanzierung (Meta, Google)</w:t>
      </w:r>
      <w:r>
        <w:t xml:space="preserve"> </w:t>
      </w:r>
      <w:r>
        <w:t xml:space="preserve">- EU AI Act-Compliance (Transparenz, Audit, menschliche Aufsicht)</w:t>
      </w:r>
      <w:r>
        <w:t xml:space="preserve"> </w:t>
      </w:r>
      <w:r>
        <w:t xml:space="preserve">- Open-Source-Benchmark als öffentliches Gut</w:t>
      </w:r>
    </w:p>
    <w:p>
      <w:r>
        <w:pict>
          <v:rect style="width:0;height:1.5pt" o:hralign="center" o:hrstd="t" o:hr="t"/>
        </w:pict>
      </w:r>
    </w:p>
    <w:bookmarkEnd w:id="56"/>
    <w:bookmarkStart w:id="57" w:name="risiken-und-gegenmaßnahmen"/>
    <w:p>
      <w:pPr>
        <w:pStyle w:val="Heading2"/>
      </w:pPr>
      <w:r>
        <w:t xml:space="preserve">8. Risiken und Gegenmaßnahmen</w:t>
      </w:r>
    </w:p>
    <w:tbl>
      <w:tblPr>
        <w:tblStyle w:val="Table"/>
        <w:tblW w:type="pct" w:w="5000"/>
        <w:tblLayout w:type="fixed"/>
        <w:tblLook w:firstRow="1" w:lastRow="0" w:firstColumn="0" w:lastColumn="0" w:noHBand="0" w:noVBand="0" w:val="0020"/>
      </w:tblPr>
      <w:tblGrid>
        <w:gridCol w:w="2401"/>
        <w:gridCol w:w="584"/>
        <w:gridCol w:w="584"/>
        <w:gridCol w:w="4349"/>
      </w:tblGrid>
      <w:tr>
        <w:trPr>
          <w:tblHeader w:val="on"/>
        </w:trPr>
        <w:tc>
          <w:tcPr/>
          <w:p>
            <w:pPr>
              <w:pStyle w:val="Compact"/>
            </w:pPr>
            <w:r>
              <w:t xml:space="preserve">Risiko</w:t>
            </w:r>
          </w:p>
        </w:tc>
        <w:tc>
          <w:tcPr/>
          <w:p>
            <w:pPr>
              <w:pStyle w:val="Compact"/>
            </w:pPr>
            <w:r>
              <w:t xml:space="preserve">WS</w:t>
            </w:r>
          </w:p>
        </w:tc>
        <w:tc>
          <w:tcPr/>
          <w:p>
            <w:pPr>
              <w:pStyle w:val="Compact"/>
            </w:pPr>
            <w:r>
              <w:t xml:space="preserve">Wirkung</w:t>
            </w:r>
          </w:p>
        </w:tc>
        <w:tc>
          <w:tcPr/>
          <w:p>
            <w:pPr>
              <w:pStyle w:val="Compact"/>
            </w:pPr>
            <w:r>
              <w:t xml:space="preserve">Gegenmaßnahme</w:t>
            </w:r>
          </w:p>
        </w:tc>
      </w:tr>
      <w:tr>
        <w:tc>
          <w:tcPr/>
          <w:p>
            <w:pPr>
              <w:pStyle w:val="Compact"/>
            </w:pPr>
            <w:r>
              <w:t xml:space="preserve">Latenz zu hoch</w:t>
            </w:r>
          </w:p>
        </w:tc>
        <w:tc>
          <w:tcPr/>
          <w:p>
            <w:pPr>
              <w:pStyle w:val="Compact"/>
            </w:pPr>
            <w:r>
              <w:t xml:space="preserve">Mittel</w:t>
            </w:r>
          </w:p>
        </w:tc>
        <w:tc>
          <w:tcPr/>
          <w:p>
            <w:pPr>
              <w:pStyle w:val="Compact"/>
            </w:pPr>
            <w:r>
              <w:t xml:space="preserve">Hoch</w:t>
            </w:r>
          </w:p>
        </w:tc>
        <w:tc>
          <w:tcPr/>
          <w:p>
            <w:pPr>
              <w:pStyle w:val="Compact"/>
            </w:pPr>
            <w:r>
              <w:t xml:space="preserve">Gestufte Zeitbudgets (5s/15s/30s/60s); M2 Go/No-Go</w:t>
            </w:r>
          </w:p>
        </w:tc>
      </w:tr>
      <w:tr>
        <w:tc>
          <w:tcPr/>
          <w:p>
            <w:pPr>
              <w:pStyle w:val="Compact"/>
            </w:pPr>
            <w:r>
              <w:t xml:space="preserve">Evidenzqualität ungenügend</w:t>
            </w:r>
          </w:p>
        </w:tc>
        <w:tc>
          <w:tcPr/>
          <w:p>
            <w:pPr>
              <w:pStyle w:val="Compact"/>
            </w:pPr>
            <w:r>
              <w:t xml:space="preserve">Mittel</w:t>
            </w:r>
          </w:p>
        </w:tc>
        <w:tc>
          <w:tcPr/>
          <w:p>
            <w:pPr>
              <w:pStyle w:val="Compact"/>
            </w:pPr>
            <w:r>
              <w:t xml:space="preserve">Hoch</w:t>
            </w:r>
          </w:p>
        </w:tc>
        <w:tc>
          <w:tcPr/>
          <w:p>
            <w:pPr>
              <w:pStyle w:val="Compact"/>
            </w:pPr>
            <w:r>
              <w:t xml:space="preserve">FIRE-Early-Stopping; Multi-Source; Contrarian-Search; Eskalation</w:t>
            </w:r>
          </w:p>
        </w:tc>
      </w:tr>
      <w:tr>
        <w:tc>
          <w:tcPr/>
          <w:p>
            <w:pPr>
              <w:pStyle w:val="Compact"/>
            </w:pPr>
            <w:r>
              <w:t xml:space="preserve">Markt akzeptiert Unsicherheit nicht</w:t>
            </w:r>
          </w:p>
        </w:tc>
        <w:tc>
          <w:tcPr/>
          <w:p>
            <w:pPr>
              <w:pStyle w:val="Compact"/>
            </w:pPr>
            <w:r>
              <w:t xml:space="preserve">Mittel</w:t>
            </w:r>
          </w:p>
        </w:tc>
        <w:tc>
          <w:tcPr/>
          <w:p>
            <w:pPr>
              <w:pStyle w:val="Compact"/>
            </w:pPr>
            <w:r>
              <w:t xml:space="preserve">Mittel</w:t>
            </w:r>
          </w:p>
        </w:tc>
        <w:tc>
          <w:tcPr/>
          <w:p>
            <w:pPr>
              <w:pStyle w:val="Compact"/>
            </w:pPr>
            <w:r>
              <w:t xml:space="preserve">CHI 2025 validiert Bedarf; UX-Design; Human-in-Loop</w:t>
            </w:r>
          </w:p>
        </w:tc>
      </w:tr>
      <w:tr>
        <w:tc>
          <w:tcPr/>
          <w:p>
            <w:pPr>
              <w:pStyle w:val="Compact"/>
            </w:pPr>
            <w:r>
              <w:t xml:space="preserve">Daten-/Rechtefragen</w:t>
            </w:r>
          </w:p>
        </w:tc>
        <w:tc>
          <w:tcPr/>
          <w:p>
            <w:pPr>
              <w:pStyle w:val="Compact"/>
            </w:pPr>
            <w:r>
              <w:t xml:space="preserve">Mittel</w:t>
            </w:r>
          </w:p>
        </w:tc>
        <w:tc>
          <w:tcPr/>
          <w:p>
            <w:pPr>
              <w:pStyle w:val="Compact"/>
            </w:pPr>
            <w:r>
              <w:t xml:space="preserve">Hoch</w:t>
            </w:r>
          </w:p>
        </w:tc>
        <w:tc>
          <w:tcPr/>
          <w:p>
            <w:pPr>
              <w:pStyle w:val="Compact"/>
            </w:pPr>
            <w:r>
              <w:t xml:space="preserve">Frühe Klärung AP1; öffentliche Streams; CH URG Art. 24d</w:t>
            </w:r>
          </w:p>
        </w:tc>
      </w:tr>
      <w:tr>
        <w:tc>
          <w:tcPr/>
          <w:p>
            <w:pPr>
              <w:pStyle w:val="Compact"/>
            </w:pPr>
            <w:r>
              <w:t xml:space="preserve">Transkription instabil</w:t>
            </w:r>
          </w:p>
        </w:tc>
        <w:tc>
          <w:tcPr/>
          <w:p>
            <w:pPr>
              <w:pStyle w:val="Compact"/>
            </w:pPr>
            <w:r>
              <w:t xml:space="preserve">Niedrig</w:t>
            </w:r>
          </w:p>
        </w:tc>
        <w:tc>
          <w:tcPr/>
          <w:p>
            <w:pPr>
              <w:pStyle w:val="Compact"/>
            </w:pPr>
            <w:r>
              <w:t xml:space="preserve">Mittel</w:t>
            </w:r>
          </w:p>
        </w:tc>
        <w:tc>
          <w:tcPr/>
          <w:p>
            <w:pPr>
              <w:pStyle w:val="Compact"/>
            </w:pPr>
            <w:r>
              <w:t xml:space="preserve">Whisper V3 Turbo (WER &lt;5%); Fallbacks</w:t>
            </w:r>
          </w:p>
        </w:tc>
      </w:tr>
      <w:tr>
        <w:tc>
          <w:tcPr/>
          <w:p>
            <w:pPr>
              <w:pStyle w:val="Compact"/>
            </w:pPr>
            <w:r>
              <w:t xml:space="preserve">LLM-Kosten steigen</w:t>
            </w:r>
          </w:p>
        </w:tc>
        <w:tc>
          <w:tcPr/>
          <w:p>
            <w:pPr>
              <w:pStyle w:val="Compact"/>
            </w:pPr>
            <w:r>
              <w:t xml:space="preserve">Niedrig</w:t>
            </w:r>
          </w:p>
        </w:tc>
        <w:tc>
          <w:tcPr/>
          <w:p>
            <w:pPr>
              <w:pStyle w:val="Compact"/>
            </w:pPr>
            <w:r>
              <w:t xml:space="preserve">Mittel</w:t>
            </w:r>
          </w:p>
        </w:tc>
        <w:tc>
          <w:tcPr/>
          <w:p>
            <w:pPr>
              <w:pStyle w:val="Compact"/>
            </w:pPr>
            <w:r>
              <w:t xml:space="preserve">Multi-Provider; Budget-Tier; lokale Modelle als Fallback</w:t>
            </w:r>
          </w:p>
        </w:tc>
      </w:tr>
      <w:tr>
        <w:tc>
          <w:tcPr/>
          <w:p>
            <w:pPr>
              <w:pStyle w:val="Compact"/>
            </w:pPr>
            <w:r>
              <w:t xml:space="preserve">Konkurrent</w:t>
            </w:r>
          </w:p>
        </w:tc>
        <w:tc>
          <w:tcPr/>
          <w:p>
            <w:pPr>
              <w:pStyle w:val="Compact"/>
            </w:pPr>
            <w:r>
              <w:t xml:space="preserve">Mittel</w:t>
            </w:r>
          </w:p>
        </w:tc>
        <w:tc>
          <w:tcPr/>
          <w:p>
            <w:pPr>
              <w:pStyle w:val="Compact"/>
            </w:pPr>
            <w:r>
              <w:t xml:space="preserve">Mittel</w:t>
            </w:r>
          </w:p>
        </w:tc>
        <w:tc>
          <w:tcPr/>
          <w:p>
            <w:pPr>
              <w:pStyle w:val="Compact"/>
            </w:pPr>
            <w:r>
              <w:t xml:space="preserve">TRL-5-Vorsprung; Differenzierung durch Evidenztiefe + Attribution</w:t>
            </w:r>
          </w:p>
        </w:tc>
      </w:tr>
    </w:tbl>
    <w:p>
      <w:r>
        <w:pict>
          <v:rect style="width:0;height:1.5pt" o:hralign="center" o:hrstd="t" o:hr="t"/>
        </w:pict>
      </w:r>
    </w:p>
    <w:bookmarkEnd w:id="57"/>
    <w:bookmarkStart w:id="58" w:name="referenzen"/>
    <w:p>
      <w:pPr>
        <w:pStyle w:val="Heading2"/>
      </w:pPr>
      <w:r>
        <w:t xml:space="preserve">9. Referenzen</w:t>
      </w:r>
    </w:p>
    <w:p>
      <w:pPr>
        <w:pStyle w:val="Compact"/>
        <w:numPr>
          <w:ilvl w:val="0"/>
          <w:numId w:val="1005"/>
        </w:numPr>
      </w:pPr>
      <w:r>
        <w:t xml:space="preserve">Guo, Z., Schlichtkrull, M. &amp; Vlachos, A. (2022). A Survey on Automated Fact-Checking.</w:t>
      </w:r>
      <w:r>
        <w:t xml:space="preserve"> </w:t>
      </w:r>
      <w:r>
        <w:rPr>
          <w:i/>
          <w:iCs/>
        </w:rPr>
        <w:t xml:space="preserve">TACL</w:t>
      </w:r>
      <w:r>
        <w:t xml:space="preserve">, 10, 178-206.</w:t>
      </w:r>
    </w:p>
    <w:p>
      <w:pPr>
        <w:pStyle w:val="Compact"/>
        <w:numPr>
          <w:ilvl w:val="0"/>
          <w:numId w:val="1005"/>
        </w:numPr>
      </w:pPr>
      <w:r>
        <w:t xml:space="preserve">Vykopal, I. et al. (2024). Generative LLMs in Automated Fact-Checking: A Survey.</w:t>
      </w:r>
      <w:r>
        <w:t xml:space="preserve"> </w:t>
      </w:r>
      <w:r>
        <w:rPr>
          <w:i/>
          <w:iCs/>
        </w:rPr>
        <w:t xml:space="preserve">arXiv:2407.02351</w:t>
      </w:r>
      <w:r>
        <w:t xml:space="preserve">.</w:t>
      </w:r>
    </w:p>
    <w:p>
      <w:pPr>
        <w:pStyle w:val="Compact"/>
        <w:numPr>
          <w:ilvl w:val="0"/>
          <w:numId w:val="1005"/>
        </w:numPr>
      </w:pPr>
      <w:r>
        <w:t xml:space="preserve">Venktesh, V. &amp; Setty, V. (2024). LiveFC: Live Fact-Checking of Audio Streams.</w:t>
      </w:r>
      <w:r>
        <w:t xml:space="preserve"> </w:t>
      </w:r>
      <w:r>
        <w:rPr>
          <w:i/>
          <w:iCs/>
        </w:rPr>
        <w:t xml:space="preserve">WSDM 2025</w:t>
      </w:r>
      <w:r>
        <w:t xml:space="preserve">.</w:t>
      </w:r>
    </w:p>
    <w:p>
      <w:pPr>
        <w:pStyle w:val="Compact"/>
        <w:numPr>
          <w:ilvl w:val="0"/>
          <w:numId w:val="1005"/>
        </w:numPr>
      </w:pPr>
      <w:r>
        <w:t xml:space="preserve">Hassan, N. et al. (2017). Toward Automated Fact-Checking: ClaimBuster.</w:t>
      </w:r>
      <w:r>
        <w:t xml:space="preserve"> </w:t>
      </w:r>
      <w:r>
        <w:rPr>
          <w:i/>
          <w:iCs/>
        </w:rPr>
        <w:t xml:space="preserve">KDD 2017</w:t>
      </w:r>
      <w:r>
        <w:t xml:space="preserve">.</w:t>
      </w:r>
    </w:p>
    <w:p>
      <w:pPr>
        <w:pStyle w:val="Compact"/>
        <w:numPr>
          <w:ilvl w:val="0"/>
          <w:numId w:val="1005"/>
        </w:numPr>
      </w:pPr>
      <w:r>
        <w:t xml:space="preserve">Leippold, M. et al. (2025). CLIMINATOR: Automated Fact-Checking of Climate Claims.</w:t>
      </w:r>
      <w:r>
        <w:t xml:space="preserve"> </w:t>
      </w:r>
      <w:r>
        <w:rPr>
          <w:i/>
          <w:iCs/>
        </w:rPr>
        <w:t xml:space="preserve">npj Climate Action</w:t>
      </w:r>
      <w:r>
        <w:t xml:space="preserve">, 4, 17.</w:t>
      </w:r>
    </w:p>
    <w:p>
      <w:pPr>
        <w:pStyle w:val="Compact"/>
        <w:numPr>
          <w:ilvl w:val="0"/>
          <w:numId w:val="1005"/>
        </w:numPr>
      </w:pPr>
      <w:r>
        <w:t xml:space="preserve">Xie, Z. et al. (2025). FIRE: Fact-checking with Iterative Retrieval.</w:t>
      </w:r>
      <w:r>
        <w:t xml:space="preserve"> </w:t>
      </w:r>
      <w:r>
        <w:rPr>
          <w:i/>
          <w:iCs/>
        </w:rPr>
        <w:t xml:space="preserve">Findings of NAACL 2025</w:t>
      </w:r>
      <w:r>
        <w:t xml:space="preserve">.</w:t>
      </w:r>
    </w:p>
    <w:p>
      <w:pPr>
        <w:pStyle w:val="Compact"/>
        <w:numPr>
          <w:ilvl w:val="0"/>
          <w:numId w:val="1005"/>
        </w:numPr>
      </w:pPr>
      <w:r>
        <w:t xml:space="preserve">Schimanski, T. et al. (2024). Faithful and Robust LLM Specialists for Evidence-Based QA.</w:t>
      </w:r>
      <w:r>
        <w:t xml:space="preserve"> </w:t>
      </w:r>
      <w:r>
        <w:rPr>
          <w:i/>
          <w:iCs/>
        </w:rPr>
        <w:t xml:space="preserve">ACL 2024</w:t>
      </w:r>
      <w:r>
        <w:t xml:space="preserve">.</w:t>
      </w:r>
    </w:p>
    <w:p>
      <w:pPr>
        <w:pStyle w:val="Compact"/>
        <w:numPr>
          <w:ilvl w:val="0"/>
          <w:numId w:val="1005"/>
        </w:numPr>
      </w:pPr>
      <w:r>
        <w:t xml:space="preserve">Schimanski, T. et al. (2025). DIRAS: Efficient LLM Annotation for Document Relevance.</w:t>
      </w:r>
      <w:r>
        <w:t xml:space="preserve"> </w:t>
      </w:r>
      <w:r>
        <w:rPr>
          <w:i/>
          <w:iCs/>
        </w:rPr>
        <w:t xml:space="preserve">NAACL 2025</w:t>
      </w:r>
      <w:r>
        <w:t xml:space="preserve">.</w:t>
      </w:r>
    </w:p>
    <w:p>
      <w:pPr>
        <w:pStyle w:val="Compact"/>
        <w:numPr>
          <w:ilvl w:val="0"/>
          <w:numId w:val="1005"/>
        </w:numPr>
      </w:pPr>
      <w:r>
        <w:t xml:space="preserve">Ni, J., Stammbach, D., Ash, E. &amp; Leippold, M. (2024). AFaCTA: Assisting Annotation of Factual Claims.</w:t>
      </w:r>
      <w:r>
        <w:t xml:space="preserve"> </w:t>
      </w:r>
      <w:r>
        <w:rPr>
          <w:i/>
          <w:iCs/>
        </w:rPr>
        <w:t xml:space="preserve">ACL 2024</w:t>
      </w:r>
      <w:r>
        <w:t xml:space="preserve">.</w:t>
      </w:r>
    </w:p>
    <w:p>
      <w:pPr>
        <w:pStyle w:val="Compact"/>
        <w:numPr>
          <w:ilvl w:val="0"/>
          <w:numId w:val="1005"/>
        </w:numPr>
      </w:pPr>
      <w:r>
        <w:t xml:space="preserve">Warren, G. et al. (2025). Show Me the Work: Fact-Checkers’ Requirements for Explainable AFC.</w:t>
      </w:r>
      <w:r>
        <w:t xml:space="preserve"> </w:t>
      </w:r>
      <w:r>
        <w:rPr>
          <w:i/>
          <w:iCs/>
        </w:rPr>
        <w:t xml:space="preserve">CHI ’25</w:t>
      </w:r>
      <w:r>
        <w:t xml:space="preserve">.</w:t>
      </w:r>
    </w:p>
    <w:p>
      <w:pPr>
        <w:pStyle w:val="Compact"/>
        <w:numPr>
          <w:ilvl w:val="0"/>
          <w:numId w:val="1005"/>
        </w:numPr>
      </w:pPr>
      <w:r>
        <w:t xml:space="preserve">Du, Y. et al. (2023). Improving Factuality through Multiagent Debate.</w:t>
      </w:r>
      <w:r>
        <w:t xml:space="preserve"> </w:t>
      </w:r>
      <w:r>
        <w:rPr>
          <w:i/>
          <w:iCs/>
        </w:rPr>
        <w:t xml:space="preserve">arXiv:2305.14325</w:t>
      </w:r>
      <w:r>
        <w:t xml:space="preserve">.</w:t>
      </w:r>
    </w:p>
    <w:p>
      <w:pPr>
        <w:pStyle w:val="Compact"/>
        <w:numPr>
          <w:ilvl w:val="0"/>
          <w:numId w:val="1005"/>
        </w:numPr>
      </w:pPr>
      <w:r>
        <w:t xml:space="preserve">Tool-MAD (2026). Multi-Agent Debate for Fact Verification.</w:t>
      </w:r>
      <w:r>
        <w:t xml:space="preserve"> </w:t>
      </w:r>
      <w:r>
        <w:rPr>
          <w:i/>
          <w:iCs/>
        </w:rPr>
        <w:t xml:space="preserve">arXiv:2601.04742</w:t>
      </w:r>
      <w:r>
        <w:t xml:space="preserve">.</w:t>
      </w:r>
    </w:p>
    <w:p>
      <w:pPr>
        <w:pStyle w:val="Compact"/>
        <w:numPr>
          <w:ilvl w:val="0"/>
          <w:numId w:val="1005"/>
        </w:numPr>
      </w:pPr>
      <w:r>
        <w:t xml:space="preserve">DebateCV (2025). Debate-driven Claim Verification.</w:t>
      </w:r>
      <w:r>
        <w:t xml:space="preserve"> </w:t>
      </w:r>
      <w:r>
        <w:rPr>
          <w:i/>
          <w:iCs/>
        </w:rPr>
        <w:t xml:space="preserve">arXiv:2507.19090</w:t>
      </w:r>
      <w:r>
        <w:t xml:space="preserve">.</w:t>
      </w:r>
    </w:p>
    <w:p>
      <w:pPr>
        <w:pStyle w:val="Compact"/>
        <w:numPr>
          <w:ilvl w:val="0"/>
          <w:numId w:val="1005"/>
        </w:numPr>
      </w:pPr>
      <w:r>
        <w:t xml:space="preserve">Conformal Prediction for NLP: A Survey (2024).</w:t>
      </w:r>
      <w:r>
        <w:t xml:space="preserve"> </w:t>
      </w:r>
      <w:r>
        <w:rPr>
          <w:i/>
          <w:iCs/>
        </w:rPr>
        <w:t xml:space="preserve">TACL</w:t>
      </w:r>
      <w:r>
        <w:t xml:space="preserve">.</w:t>
      </w:r>
    </w:p>
    <w:p>
      <w:pPr>
        <w:pStyle w:val="Compact"/>
        <w:numPr>
          <w:ilvl w:val="0"/>
          <w:numId w:val="1005"/>
        </w:numPr>
      </w:pPr>
      <w:r>
        <w:t xml:space="preserve">ConU: Conformal Uncertainty in LLMs (2024).</w:t>
      </w:r>
      <w:r>
        <w:t xml:space="preserve"> </w:t>
      </w:r>
      <w:r>
        <w:rPr>
          <w:i/>
          <w:iCs/>
        </w:rPr>
        <w:t xml:space="preserve">Findings of EMNLP 2024</w:t>
      </w:r>
      <w:r>
        <w:t xml:space="preserve">.</w:t>
      </w:r>
    </w:p>
    <w:p>
      <w:pPr>
        <w:pStyle w:val="Compact"/>
        <w:numPr>
          <w:ilvl w:val="0"/>
          <w:numId w:val="1005"/>
        </w:numPr>
      </w:pPr>
      <w:r>
        <w:t xml:space="preserve">Zeng, X. et al. (2021). Automated Fact-Checking: A Survey.</w:t>
      </w:r>
      <w:r>
        <w:t xml:space="preserve"> </w:t>
      </w:r>
      <w:r>
        <w:rPr>
          <w:i/>
          <w:iCs/>
        </w:rPr>
        <w:t xml:space="preserve">Language and Linguistics Compass</w:t>
      </w:r>
      <w:r>
        <w:t xml:space="preserve">, 15(10).</w:t>
      </w:r>
    </w:p>
    <w:p>
      <w:pPr>
        <w:pStyle w:val="Compact"/>
        <w:numPr>
          <w:ilvl w:val="0"/>
          <w:numId w:val="1005"/>
        </w:numPr>
      </w:pPr>
      <w:r>
        <w:t xml:space="preserve">Barron-Cedeño, A. et al. (2024/2025). CLEF CheckThat! Lab.</w:t>
      </w:r>
      <w:r>
        <w:t xml:space="preserve"> </w:t>
      </w:r>
      <w:r>
        <w:rPr>
          <w:i/>
          <w:iCs/>
        </w:rPr>
        <w:t xml:space="preserve">CLEF 2024 / ECIR 2025</w:t>
      </w:r>
      <w:r>
        <w:t xml:space="preserve">.</w:t>
      </w:r>
    </w:p>
    <w:p>
      <w:pPr>
        <w:pStyle w:val="Compact"/>
        <w:numPr>
          <w:ilvl w:val="0"/>
          <w:numId w:val="1005"/>
        </w:numPr>
      </w:pPr>
      <w:r>
        <w:t xml:space="preserve">Thorne, J. et al. (2018). FEVER: Fact Extraction and VERification.</w:t>
      </w:r>
      <w:r>
        <w:t xml:space="preserve"> </w:t>
      </w:r>
      <w:r>
        <w:rPr>
          <w:i/>
          <w:iCs/>
        </w:rPr>
        <w:t xml:space="preserve">NAACL 2018</w:t>
      </w:r>
      <w:r>
        <w:t xml:space="preserve">.</w:t>
      </w:r>
    </w:p>
    <w:p>
      <w:pPr>
        <w:pStyle w:val="Compact"/>
        <w:numPr>
          <w:ilvl w:val="0"/>
          <w:numId w:val="1005"/>
        </w:numPr>
      </w:pPr>
      <w:r>
        <w:t xml:space="preserve">Schlichtkrull, M. et al. (2024). AVeriTeC Shared Task.</w:t>
      </w:r>
      <w:r>
        <w:t xml:space="preserve"> </w:t>
      </w:r>
      <w:r>
        <w:rPr>
          <w:i/>
          <w:iCs/>
        </w:rPr>
        <w:t xml:space="preserve">FEVER 2024 Workshop</w:t>
      </w:r>
      <w:r>
        <w:t xml:space="preserve">.</w:t>
      </w:r>
    </w:p>
    <w:p>
      <w:pPr>
        <w:pStyle w:val="Compact"/>
        <w:numPr>
          <w:ilvl w:val="0"/>
          <w:numId w:val="1005"/>
        </w:numPr>
      </w:pPr>
      <w:r>
        <w:t xml:space="preserve">Kavtaradze, L. (2024). Challenges of Automating Fact-Checking.</w:t>
      </w:r>
      <w:r>
        <w:t xml:space="preserve"> </w:t>
      </w:r>
      <w:r>
        <w:rPr>
          <w:i/>
          <w:iCs/>
        </w:rPr>
        <w:t xml:space="preserve">Digital Journalism</w:t>
      </w:r>
      <w:r>
        <w:t xml:space="preserve">.</w:t>
      </w:r>
    </w:p>
    <w:p>
      <w:pPr>
        <w:pStyle w:val="Compact"/>
        <w:numPr>
          <w:ilvl w:val="0"/>
          <w:numId w:val="1005"/>
        </w:numPr>
      </w:pPr>
      <w:r>
        <w:t xml:space="preserve">Duke Reporters’ Lab (2025). Fact-Checking Census 2025.</w:t>
      </w:r>
    </w:p>
    <w:p>
      <w:pPr>
        <w:pStyle w:val="Compact"/>
        <w:numPr>
          <w:ilvl w:val="0"/>
          <w:numId w:val="1005"/>
        </w:numPr>
      </w:pPr>
      <w:r>
        <w:t xml:space="preserve">Poynter Institute (2024). State of the Fact-Checkers Report 2024.</w:t>
      </w:r>
    </w:p>
    <w:p>
      <w:pPr>
        <w:pStyle w:val="Compact"/>
        <w:numPr>
          <w:ilvl w:val="0"/>
          <w:numId w:val="1005"/>
        </w:numPr>
      </w:pPr>
      <w:r>
        <w:t xml:space="preserve">European Commission (2024). Digital Services Act.</w:t>
      </w:r>
    </w:p>
    <w:p>
      <w:pPr>
        <w:pStyle w:val="Compact"/>
        <w:numPr>
          <w:ilvl w:val="0"/>
          <w:numId w:val="1005"/>
        </w:numPr>
      </w:pPr>
      <w:r>
        <w:t xml:space="preserve">EU AI Act (Regulation EU 2024/1689).</w:t>
      </w:r>
    </w:p>
    <w:p>
      <w:pPr>
        <w:pStyle w:val="Compact"/>
        <w:numPr>
          <w:ilvl w:val="0"/>
          <w:numId w:val="1005"/>
        </w:numPr>
      </w:pPr>
      <w:r>
        <w:t xml:space="preserve">EDMO (2025). European Digital Media Observatory.</w:t>
      </w:r>
    </w:p>
    <w:p>
      <w:pPr>
        <w:pStyle w:val="Compact"/>
        <w:numPr>
          <w:ilvl w:val="0"/>
          <w:numId w:val="1005"/>
        </w:numPr>
      </w:pPr>
      <w:r>
        <w:t xml:space="preserve">Swiss Federal Council (2024). Report on Disinformation Threats.</w:t>
      </w:r>
    </w:p>
    <w:p>
      <w:pPr>
        <w:pStyle w:val="Compact"/>
        <w:numPr>
          <w:ilvl w:val="0"/>
          <w:numId w:val="1005"/>
        </w:numPr>
      </w:pPr>
      <w:r>
        <w:t xml:space="preserve">Whisper Large V3 Turbo (2024). MIT License.</w:t>
      </w:r>
    </w:p>
    <w:p>
      <w:pPr>
        <w:pStyle w:val="Compact"/>
        <w:numPr>
          <w:ilvl w:val="0"/>
          <w:numId w:val="1005"/>
        </w:numPr>
      </w:pPr>
      <w:r>
        <w:t xml:space="preserve">pyannote-audio. Speaker Diarization. MIT License.</w:t>
      </w:r>
    </w:p>
    <w:p>
      <w:pPr>
        <w:pStyle w:val="Compact"/>
        <w:numPr>
          <w:ilvl w:val="0"/>
          <w:numId w:val="1005"/>
        </w:numPr>
      </w:pPr>
      <w:r>
        <w:t xml:space="preserve">Bloomberg Streaming Whisper (Interspeech 2025).</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2026-03-18T21:16:09Z</dcterms:created>
  <dcterms:modified xsi:type="dcterms:W3CDTF">2026-03-18T21:16:09Z</dcterms:modified>
</cp:coreProperties>
</file>

<file path=docProps/custom.xml><?xml version="1.0" encoding="utf-8"?>
<Properties xmlns="http://schemas.openxmlformats.org/officeDocument/2006/custom-properties" xmlns:vt="http://schemas.openxmlformats.org/officeDocument/2006/docPropsVTypes"/>
</file>