
<file path=[Content_Types].xml><?xml version="1.0" encoding="utf-8"?>
<ns0:Types xmlns:ns0="http://schemas.openxmlformats.org/package/2006/content-types">
  <ns0:Default ContentType="image/png" Extension="png"/>
  <ns0:Default ContentType="image/jpeg" Extension="jpeg"/>
  <ns0:Default ContentType="image/jpeg" Extension="jpg"/>
  <ns0:Default ContentType="image/bmp" Extension="bmp"/>
  <ns0:Default ContentType="image/gif" Extension="gif"/>
  <ns0:Default ContentType="image/svg+xml" Extension="svg"/>
  <ns0:Default ContentType="application/vnd.openxmlformats-package.relationships+xml" Extension="rels"/>
  <ns0:Default ContentType="application/xml" Extension="xml"/>
  <ns0:Default ContentType="application/vnd.openxmlformats-officedocument.obfuscatedFont" Extension="odttf"/>
  <ns0:Override ContentType="application/vnd.openxmlformats-officedocument.wordprocessingml.document.main+xml" PartName="/word/document.xml"/>
  <ns0:Override ContentType="application/vnd.openxmlformats-officedocument.wordprocessingml.styles+xml" PartName="/word/styles.xml"/>
  <ns0:Override ContentType="application/vnd.openxmlformats-package.core-properties+xml" PartName="/docProps/core.xml"/>
  <ns0:Override ContentType="application/vnd.openxmlformats-officedocument.custom-properties+xml" PartName="/docProps/custom.xml"/>
  <ns0:Override ContentType="application/vnd.openxmlformats-officedocument.extended-properties+xml" PartName="/docProps/app.xml"/>
  <ns0:Override ContentType="application/vnd.openxmlformats-officedocument.wordprocessingml.numbering+xml" PartName="/word/numbering.xml"/>
  <ns0:Override ContentType="application/vnd.openxmlformats-officedocument.wordprocessingml.footnotes+xml" PartName="/word/footnotes.xml"/>
  <ns0:Override ContentType="application/vnd.openxmlformats-officedocument.wordprocessingml.endnotes+xml" PartName="/word/endnotes.xml"/>
  <ns0:Override ContentType="application/vnd.openxmlformats-officedocument.wordprocessingml.settings+xml" PartName="/word/settings.xml"/>
  <ns0:Override ContentType="application/vnd.openxmlformats-officedocument.wordprocessingml.comments+xml" PartName="/word/comments.xml"/>
  <ns0:Override ContentType="application/vnd.openxmlformats-officedocument.wordprocessingml.fontTable+xml" PartName="/word/fontTable.xml"/>
  <ns0:Override PartName="/word/footer2.xml" ContentType="application/vnd.openxmlformats-officedocument.wordprocessingml.footer+xml"/>
  <ns0:Override PartName="/word/header3.xml" ContentType="application/vnd.openxmlformats-officedocument.wordprocessingml.header+xml"/>
  <ns0:Override PartName="/word/footer3.xml" ContentType="application/vnd.openxmlformats-officedocument.wordprocessingml.footer+xml"/>
  <ns0:Override PartName="/word/footer1.xml" ContentType="application/vnd.openxmlformats-officedocument.wordprocessingml.footer+xml"/>
  <ns0:Override PartName="/word/header2.xml" ContentType="application/vnd.openxmlformats-officedocument.wordprocessingml.header+xml"/>
  <ns0:Override PartName="/word/header1.xml" ContentType="application/vnd.openxmlformats-officedocument.wordprocessingml.header+xml"/>
  <ns0:Override ContentType="application/vnd.openxmlformats-officedocument.theme+xml" PartName="/word/theme/theme1.xml"/>
  <ns0:Override ContentType="application/vnd.openxmlformats-officedocument.wordprocessingml.webSettings+xml" PartName="/word/webSettings.xml"/>
</ns0: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ns1:Ignorable="w14 w15 wp14">
  <w:body>
    <w:p>
      <w:pPr>
        <w:spacing w:after="200" w:before="1400"/>
        <w:jc w:val="center"/>
      </w:pPr>
      <w:r>
        <w:rPr>
          <w:rFonts w:ascii="Arial" w:cs="Arial" w:eastAsia="Arial" w:hAnsi="Arial"/>
          <w:b/>
          <w:bCs/>
          <w:color w:val="194268"/>
          <w:sz w:val="56"/>
          <w:szCs w:val="56"/>
        </w:rPr>
        <w:t xml:space="preserve">Qlik Open Lakehouse</w:t>
      </w:r>
    </w:p>
    <w:p>
      <w:pPr>
        <w:spacing w:after="600"/>
        <w:jc w:val="center"/>
      </w:pPr>
      <w:r>
        <w:rPr>
          <w:rFonts w:ascii="Arial" w:cs="Arial" w:eastAsia="Arial" w:hAnsi="Arial"/>
          <w:color w:val="009845"/>
          <w:sz w:val="32"/>
          <w:szCs w:val="32"/>
        </w:rPr>
        <w:t xml:space="preserve">AWS + Google Cloud Deployment - Quick Instructions</w:t>
      </w:r>
    </w:p>
    <w:p>
      <w:pPr>
        <w:spacing w:after="800"/>
        <w:jc w:val="center"/>
      </w:pPr>
      <w:r>
        <w:rPr>
          <w:rFonts w:ascii="Arial" w:cs="Arial" w:eastAsia="Arial" w:hAnsi="Arial"/>
          <w:i/>
          <w:iCs/>
          <w:color w:val="6B6F76"/>
          <w:sz w:val="22"/>
          <w:szCs w:val="22"/>
        </w:rPr>
        <w:t xml:space="preserve">Wizard + Terraform reference</w:t>
      </w:r>
    </w:p>
    <w:p>
      <w:pPr>
        <w:jc w:val="center"/>
      </w:pPr>
      <w:r>
        <w:rPr>
          <w:rFonts w:ascii="Arial" w:cs="Arial" w:eastAsia="Arial" w:hAnsi="Arial"/>
          <w:color w:val="6B6F76"/>
          <w:sz w:val="18"/>
          <w:szCs w:val="18"/>
        </w:rPr>
        <w:t xml:space="preserve">v3.1   |   October 2026</w:t>
      </w:r>
    </w:p>
    <w:p>
      <w:pPr>
        <w:pageBreakBefore/>
        <w:spacing w:after="160" w:before="240"/>
      </w:pPr>
      <w:r>
        <w:rPr>
          <w:rFonts w:ascii="Arial" w:cs="Arial" w:eastAsia="Arial" w:hAnsi="Arial"/>
          <w:b/>
          <w:bCs/>
          <w:color w:val="194268"/>
          <w:sz w:val="32"/>
          <w:szCs w:val="32"/>
        </w:rPr>
        <w:t xml:space="preserve">1. Overview</w:t>
      </w:r>
    </w:p>
    <w:p>
      <w:pPr>
        <w:spacing w:after="120"/>
      </w:pPr>
      <w:r>
        <w:rPr>
          <w:rFonts w:ascii="Arial" w:cs="Arial" w:eastAsia="Arial" w:hAnsi="Arial"/>
          <w:b w:val="false"/>
          <w:bCs w:val="false"/>
          <w:i w:val="false"/>
          <w:iCs w:val="false"/>
          <w:color w:val="1A1A1A"/>
          <w:sz w:val="22"/>
          <w:szCs w:val="22"/>
        </w:rPr>
        <w:t xml:space="preserve">This wizard provisions the AWS or Google Cloud resources Qlik Talend Cloud's Open Lakehouse (OLH) needs. Pick the target cloud on the first screen. Two flavors:</w:t>
      </w:r>
    </w:p>
    <w:p>
      <w:pPr>
        <w:pStyle w:val="ListParagraph"/>
        <w:numPr>
          <w:ilvl w:val="0"/>
          <w:numId w:val="2"/>
        </w:numPr>
        <w:spacing w:after="40"/>
      </w:pPr>
      <w:r>
        <w:rPr>
          <w:rFonts w:ascii="Arial" w:cs="Arial" w:eastAsia="Arial" w:hAnsi="Arial"/>
          <w:b/>
          <w:bCs/>
          <w:i w:val="false"/>
          <w:iCs w:val="false"/>
          <w:color w:val="1A1A1A"/>
          <w:sz w:val="22"/>
          <w:szCs w:val="22"/>
        </w:rPr>
        <w:t xml:space="preserve">Windows GUI: </w:t>
      </w:r>
      <w:r>
        <w:rPr>
          <w:rFonts w:ascii="Arial" w:cs="Arial" w:eastAsia="Arial" w:hAnsi="Arial"/>
          <w:b w:val="false"/>
          <w:bCs w:val="false"/>
          <w:i w:val="false"/>
          <w:iCs w:val="false"/>
          <w:color w:val="1A1A1A"/>
          <w:sz w:val="22"/>
          <w:szCs w:val="22"/>
        </w:rPr>
        <w:t xml:space="preserve">double-click </w:t>
      </w:r>
      <w:r>
        <w:rPr>
          <w:rFonts w:ascii="Consolas" w:cs="Consolas" w:eastAsia="Consolas" w:hAnsi="Consolas"/>
          <w:b w:val="false"/>
          <w:bCs w:val="false"/>
          <w:i w:val="false"/>
          <w:iCs w:val="false"/>
          <w:color w:val="1A1A1A"/>
          <w:sz w:val="20"/>
          <w:szCs w:val="20"/>
        </w:rPr>
        <w:t xml:space="preserve">run_qlik_deploy_gui.bat</w:t>
      </w:r>
      <w:r>
        <w:rPr>
          <w:rFonts w:ascii="Arial" w:cs="Arial" w:eastAsia="Arial" w:hAnsi="Arial"/>
          <w:b w:val="false"/>
          <w:bCs w:val="false"/>
          <w:i w:val="false"/>
          <w:iCs w:val="false"/>
          <w:color w:val="1A1A1A"/>
          <w:sz w:val="22"/>
          <w:szCs w:val="22"/>
        </w:rPr>
        <w:t xml:space="preserve"> (self-elevates to admin).</w:t>
      </w:r>
    </w:p>
    <w:p>
      <w:pPr>
        <w:pStyle w:val="ListParagraph"/>
        <w:numPr>
          <w:ilvl w:val="0"/>
          <w:numId w:val="2"/>
        </w:numPr>
        <w:spacing w:after="40"/>
      </w:pPr>
      <w:r>
        <w:rPr>
          <w:rFonts w:ascii="Arial" w:cs="Arial" w:eastAsia="Arial" w:hAnsi="Arial"/>
          <w:b/>
          <w:bCs/>
          <w:i w:val="false"/>
          <w:iCs w:val="false"/>
          <w:color w:val="1A1A1A"/>
          <w:sz w:val="22"/>
          <w:szCs w:val="22"/>
        </w:rPr>
        <w:t xml:space="preserve">Linux/macOS: </w:t>
      </w:r>
      <w:r>
        <w:rPr>
          <w:rFonts w:ascii="Consolas" w:cs="Consolas" w:eastAsia="Consolas" w:hAnsi="Consolas"/>
          <w:b w:val="false"/>
          <w:bCs w:val="false"/>
          <w:i w:val="false"/>
          <w:iCs w:val="false"/>
          <w:color w:val="1A1A1A"/>
          <w:sz w:val="20"/>
          <w:szCs w:val="20"/>
        </w:rPr>
        <w:t xml:space="preserve">./qlik_deploy_olh.sh</w:t>
      </w:r>
      <w:r>
        <w:rPr>
          <w:rFonts w:ascii="Arial" w:cs="Arial" w:eastAsia="Arial" w:hAnsi="Arial"/>
          <w:b w:val="false"/>
          <w:bCs w:val="false"/>
          <w:i w:val="false"/>
          <w:iCs w:val="false"/>
          <w:color w:val="1A1A1A"/>
          <w:sz w:val="22"/>
          <w:szCs w:val="22"/>
        </w:rPr>
        <w:t xml:space="preserve"> in a terminal.</w:t>
      </w:r>
    </w:p>
    <w:p>
      <w:pPr>
        <w:spacing w:after="120"/>
      </w:pPr>
      <w:r>
        <w:rPr>
          <w:rFonts w:ascii="Arial" w:cs="Arial" w:eastAsia="Arial" w:hAnsi="Arial"/>
          <w:b w:val="false"/>
          <w:bCs w:val="false"/>
          <w:i w:val="false"/>
          <w:iCs w:val="false"/>
          <w:color w:val="1A1A1A"/>
          <w:sz w:val="22"/>
          <w:szCs w:val="22"/>
        </w:rPr>
        <w:t xml:space="preserve">Both flows: tool check (with outdated-version warnings) -&gt; cloud auth -&gt; resource discovery/creation via the cloud CLI -&gt; generate terraform.tfvars -&gt; terraform init/plan/apply for the auxiliary layer (Glue DB + SSM parameters on AWS; BigLake catalog, BigQuery mirror dataset and Secret Manager entries on Google Cloud).</w:t>
      </w:r>
    </w:p>
    <w:p>
      <w:pPr>
        <w:spacing w:after="100" w:before="220"/>
      </w:pPr>
      <w:r>
        <w:rPr>
          <w:rFonts w:ascii="Arial" w:cs="Arial" w:eastAsia="Arial" w:hAnsi="Arial"/>
          <w:b/>
          <w:bCs/>
          <w:color w:val="194268"/>
          <w:sz w:val="26"/>
          <w:szCs w:val="26"/>
        </w:rPr>
        <w:t xml:space="preserve">Cloud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Generally available. VPC, subnets, security group, KMS, two IAM roles, instance profile, four S3 buckets, Kinesis stream.</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Google Cloud</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Private Preview - opened 2 September 2026, GA planned Q4 2026. VPC network, subnetwork, Cloud NAT, firewall, Cloud KMS, two service accounts, four GCS buckets.</w:t>
            </w:r>
          </w:p>
        </w:tc>
      </w:tr>
    </w:tbl>
    <w:p>
      <w:pPr>
        <w:spacing w:after="120"/>
      </w:pPr>
      <w:r>
        <w:rPr>
          <w:rFonts w:ascii="Arial" w:cs="Arial" w:eastAsia="Arial" w:hAnsi="Arial"/>
          <w:b w:val="false"/>
          <w:bCs w:val="false"/>
          <w:i w:val="false"/>
          <w:iCs w:val="false"/>
          <w:color w:val="1A1A1A"/>
          <w:sz w:val="22"/>
          <w:szCs w:val="22"/>
        </w:rPr>
        <w:t xml:space="preserve">Google Cloud is in Private Preview: your tenant must be enrolled before a lakehouse cluster can be created. Preview scope is CDC and SaaS sources only. Streaming (Kafka/GCS) and Qlik Replicate sources arrive later in the preview, which is why the Google Cloud path provisions no stream resource where AWS creates a Kinesis stream. Zero-copy mirroring into BigQuery is a Google Cloud only feature with no AWS equivalent.</w:t>
      </w:r>
    </w:p>
    <w:p>
      <w:pPr>
        <w:spacing w:after="100" w:before="220"/>
      </w:pPr>
      <w:r>
        <w:rPr>
          <w:rFonts w:ascii="Arial" w:cs="Arial" w:eastAsia="Arial" w:hAnsi="Arial"/>
          <w:b/>
          <w:bCs/>
          <w:color w:val="194268"/>
          <w:sz w:val="26"/>
          <w:szCs w:val="26"/>
        </w:rPr>
        <w:t xml:space="preserve">Files in this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File</w:t>
            </w:r>
          </w:p>
        </w:tc>
        <w:tc>
          <w:tcPr>
            <w:tcW w:type="dxa" w:w="666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Purpose</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qlik_deploy_olh_gui.ps1</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Windows GUI wizard (PowerShell + WinForms)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qlik_deploy_olh.sh</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Linux/macOS wizard (Bash)</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run_qlik_deploy_gui.bat</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Self-elevating GUI launcher</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parse_check.ps1</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PowerShell parse-only syntax check</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terraform/aws/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Terraform root module for AWS: S3 backend, provider pins, default tags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terraform/gcp/</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Terraform root module for Google Cloud: GCS backend, provider pins, default labels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Why two modules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Terraform allows one backend per configuration, and AWS needs s3 while Google Cloud needs gcs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terraform.tfvars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Written by the wizard into terraform/&lt;cloud&gt;/. Holds your QTC ExternalId or tenant ID - do not commit</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skills/qlik-olh-aws-setup/</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Portable Claude skill: builds the AWS prerequisites, attaches Qlik's generated role policies, emits the Qlik Cloud import JSON</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skills/qlik-olh-aws-setup.skill</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The same skill packaged for one-click install</w:t>
            </w:r>
          </w:p>
        </w:tc>
      </w:tr>
    </w:tbl>
    <w:p>
      <w:pPr>
        <w:pageBreakBefore/>
        <w:spacing w:after="160" w:before="240"/>
      </w:pPr>
      <w:r>
        <w:rPr>
          <w:rFonts w:ascii="Arial" w:cs="Arial" w:eastAsia="Arial" w:hAnsi="Arial"/>
          <w:b/>
          <w:bCs/>
          <w:color w:val="194268"/>
          <w:sz w:val="32"/>
          <w:szCs w:val="32"/>
        </w:rP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Tool</w:t>
            </w:r>
          </w:p>
        </w:tc>
        <w:tc>
          <w:tcPr>
            <w:tcW w:type="dxa" w:w="666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Version</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CLI v2</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AWS path only. Latest (wizard fetches latest tag from api.github.com/repos/aws/aws-cli/tags)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Terraform</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&gt;= 1.10.0 (wizard fetches latest from HashiCorp's releases API). Needed for S3-native state locking (use_lockfile), so no DynamoDB table is required.</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provider</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&gt;= 5.80 (terraform init pulls latest matching plugin; v6.65 today)</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Google Cloud CLI</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Google Cloud path only. Latest (wizard installs from dl.google.com; staleness via gcloud components list)</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Google provider</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&gt;= 6.0 (terraform init pulls latest matching plugin; v8.3 today)</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Python 3</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Bash wizard only (auto-detects python3 / python / py)</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PowerShell 5.1+</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Windows GUI</w:t>
            </w:r>
          </w:p>
        </w:tc>
      </w:tr>
    </w:tbl>
    <w:p>
      <w:pPr>
        <w:spacing w:after="100" w:before="220"/>
      </w:pPr>
      <w:r>
        <w:rPr>
          <w:rFonts w:ascii="Arial" w:cs="Arial" w:eastAsia="Arial" w:hAnsi="Arial"/>
          <w:b/>
          <w:bCs/>
          <w:color w:val="194268"/>
          <w:sz w:val="26"/>
          <w:szCs w:val="26"/>
        </w:rPr>
        <w:t xml:space="preserve">Always-latest behavior</w:t>
      </w:r>
    </w:p>
    <w:p>
      <w:pPr>
        <w:spacing w:after="120"/>
      </w:pPr>
      <w:r>
        <w:rPr>
          <w:rFonts w:ascii="Arial" w:cs="Arial" w:eastAsia="Arial" w:hAnsi="Arial"/>
          <w:b/>
          <w:bCs/>
          <w:i w:val="false"/>
          <w:iCs w:val="false"/>
          <w:color w:val="1A1A1A"/>
          <w:sz w:val="22"/>
          <w:szCs w:val="22"/>
        </w:rPr>
        <w:t xml:space="preserve">Terraform - </w:t>
      </w:r>
      <w:r>
        <w:rPr>
          <w:rFonts w:ascii="Arial" w:cs="Arial" w:eastAsia="Arial" w:hAnsi="Arial"/>
          <w:b w:val="false"/>
          <w:bCs w:val="false"/>
          <w:i w:val="false"/>
          <w:iCs w:val="false"/>
          <w:color w:val="1A1A1A"/>
          <w:sz w:val="22"/>
          <w:szCs w:val="22"/>
        </w:rPr>
        <w:t xml:space="preserve">the wizard queries </w:t>
      </w:r>
      <w:r>
        <w:rPr>
          <w:rFonts w:ascii="Consolas" w:cs="Consolas" w:eastAsia="Consolas" w:hAnsi="Consolas"/>
          <w:b w:val="false"/>
          <w:bCs w:val="false"/>
          <w:i w:val="false"/>
          <w:iCs w:val="false"/>
          <w:color w:val="1A1A1A"/>
          <w:sz w:val="20"/>
          <w:szCs w:val="20"/>
        </w:rPr>
        <w:t xml:space="preserve">api.releases.hashicorp.com/v1/releases/terraform/latest</w:t>
      </w:r>
      <w:r>
        <w:rPr>
          <w:rFonts w:ascii="Arial" w:cs="Arial" w:eastAsia="Arial" w:hAnsi="Arial"/>
          <w:b w:val="false"/>
          <w:bCs w:val="false"/>
          <w:i w:val="false"/>
          <w:iCs w:val="false"/>
          <w:color w:val="1A1A1A"/>
          <w:sz w:val="22"/>
          <w:szCs w:val="22"/>
        </w:rPr>
        <w:t xml:space="preserve"> first, falls back to </w:t>
      </w:r>
      <w:r>
        <w:rPr>
          <w:rFonts w:ascii="Consolas" w:cs="Consolas" w:eastAsia="Consolas" w:hAnsi="Consolas"/>
          <w:b w:val="false"/>
          <w:bCs w:val="false"/>
          <w:i w:val="false"/>
          <w:iCs w:val="false"/>
          <w:color w:val="1A1A1A"/>
          <w:sz w:val="20"/>
          <w:szCs w:val="20"/>
        </w:rPr>
        <w:t xml:space="preserve">checkpoint-api.hashicorp.com</w:t>
      </w:r>
      <w:r>
        <w:rPr>
          <w:rFonts w:ascii="Arial" w:cs="Arial" w:eastAsia="Arial" w:hAnsi="Arial"/>
          <w:b w:val="false"/>
          <w:bCs w:val="false"/>
          <w:i w:val="false"/>
          <w:iCs w:val="false"/>
          <w:color w:val="1A1A1A"/>
          <w:sz w:val="22"/>
          <w:szCs w:val="22"/>
        </w:rPr>
        <w:t xml:space="preserve">, then to a baked-in floor (currently 1.15.1) only if both APIs are unreachable.</w:t>
      </w:r>
    </w:p>
    <w:p>
      <w:pPr>
        <w:spacing w:after="120"/>
      </w:pPr>
      <w:r>
        <w:rPr>
          <w:rFonts w:ascii="Arial" w:cs="Arial" w:eastAsia="Arial" w:hAnsi="Arial"/>
          <w:b/>
          <w:bCs/>
          <w:i w:val="false"/>
          <w:iCs w:val="false"/>
          <w:color w:val="1A1A1A"/>
          <w:sz w:val="22"/>
          <w:szCs w:val="22"/>
        </w:rPr>
        <w:t xml:space="preserve">AWS CLI - </w:t>
      </w:r>
      <w:r>
        <w:rPr>
          <w:rFonts w:ascii="Arial" w:cs="Arial" w:eastAsia="Arial" w:hAnsi="Arial"/>
          <w:b w:val="false"/>
          <w:bCs w:val="false"/>
          <w:i w:val="false"/>
          <w:iCs w:val="false"/>
          <w:color w:val="1A1A1A"/>
          <w:sz w:val="22"/>
          <w:szCs w:val="22"/>
        </w:rPr>
        <w:t xml:space="preserve">download URLs (</w:t>
      </w:r>
      <w:r>
        <w:rPr>
          <w:rFonts w:ascii="Consolas" w:cs="Consolas" w:eastAsia="Consolas" w:hAnsi="Consolas"/>
          <w:b w:val="false"/>
          <w:bCs w:val="false"/>
          <w:i w:val="false"/>
          <w:iCs w:val="false"/>
          <w:color w:val="1A1A1A"/>
          <w:sz w:val="20"/>
          <w:szCs w:val="20"/>
        </w:rPr>
        <w:t xml:space="preserve">AWSCLIV2.msi / .pkg / awscli-exe-linux-x86_64.zip</w:t>
      </w:r>
      <w:r>
        <w:rPr>
          <w:rFonts w:ascii="Arial" w:cs="Arial" w:eastAsia="Arial" w:hAnsi="Arial"/>
          <w:b w:val="false"/>
          <w:bCs w:val="false"/>
          <w:i w:val="false"/>
          <w:iCs w:val="false"/>
          <w:color w:val="1A1A1A"/>
          <w:sz w:val="22"/>
          <w:szCs w:val="22"/>
        </w:rPr>
        <w:t xml:space="preserve">) are always-latest from AWS. The wizard also compares the installed version against the latest GitHub tag and prompts to upgrade if you're behind.</w:t>
      </w:r>
    </w:p>
    <w:p>
      <w:pPr>
        <w:spacing w:after="120"/>
      </w:pPr>
      <w:r>
        <w:rPr>
          <w:rFonts w:ascii="Arial" w:cs="Arial" w:eastAsia="Arial" w:hAnsi="Arial"/>
          <w:b/>
          <w:bCs/>
          <w:i w:val="false"/>
          <w:iCs w:val="false"/>
          <w:color w:val="1A1A1A"/>
          <w:sz w:val="22"/>
          <w:szCs w:val="22"/>
        </w:rPr>
        <w:t xml:space="preserve">Outdated tools - </w:t>
      </w:r>
      <w:r>
        <w:rPr>
          <w:rFonts w:ascii="Arial" w:cs="Arial" w:eastAsia="Arial" w:hAnsi="Arial"/>
          <w:b w:val="false"/>
          <w:bCs w:val="false"/>
          <w:i w:val="false"/>
          <w:iCs w:val="false"/>
          <w:color w:val="1A1A1A"/>
          <w:sz w:val="22"/>
          <w:szCs w:val="22"/>
        </w:rPr>
        <w:t xml:space="preserve">the GUI button changes to </w:t>
      </w:r>
      <w:r>
        <w:rPr>
          <w:rFonts w:ascii="Consolas" w:cs="Consolas" w:eastAsia="Consolas" w:hAnsi="Consolas"/>
          <w:b w:val="false"/>
          <w:bCs w:val="false"/>
          <w:i w:val="false"/>
          <w:iCs w:val="false"/>
          <w:color w:val="1A1A1A"/>
          <w:sz w:val="20"/>
          <w:szCs w:val="20"/>
        </w:rPr>
        <w:t xml:space="preserve">Update to vX.Y.Z...</w:t>
      </w:r>
      <w:r>
        <w:rPr>
          <w:rFonts w:ascii="Arial" w:cs="Arial" w:eastAsia="Arial" w:hAnsi="Arial"/>
          <w:b w:val="false"/>
          <w:bCs w:val="false"/>
          <w:i w:val="false"/>
          <w:iCs w:val="false"/>
          <w:color w:val="1A1A1A"/>
          <w:sz w:val="22"/>
          <w:szCs w:val="22"/>
        </w:rPr>
        <w:t xml:space="preserve">; the bash wizard prompts: </w:t>
      </w:r>
      <w:r>
        <w:rPr>
          <w:rFonts w:ascii="Consolas" w:cs="Consolas" w:eastAsia="Consolas" w:hAnsi="Consolas"/>
          <w:b w:val="false"/>
          <w:bCs w:val="false"/>
          <w:i w:val="false"/>
          <w:iCs w:val="false"/>
          <w:color w:val="1A1A1A"/>
          <w:sz w:val="20"/>
          <w:szCs w:val="20"/>
        </w:rPr>
        <w:t xml:space="preserve">Upgrade Terraform to vX.Y.Z?</w:t>
      </w:r>
      <w:r>
        <w:rPr>
          <w:rFonts w:ascii="Arial" w:cs="Arial" w:eastAsia="Arial" w:hAnsi="Arial"/>
          <w:b w:val="false"/>
          <w:bCs w:val="false"/>
          <w:i w:val="false"/>
          <w:iCs w:val="false"/>
          <w:color w:val="1A1A1A"/>
          <w:sz w:val="22"/>
          <w:szCs w:val="22"/>
        </w:rPr>
        <w:t xml:space="preserve"> / </w:t>
      </w:r>
      <w:r>
        <w:rPr>
          <w:rFonts w:ascii="Consolas" w:cs="Consolas" w:eastAsia="Consolas" w:hAnsi="Consolas"/>
          <w:b w:val="false"/>
          <w:bCs w:val="false"/>
          <w:i w:val="false"/>
          <w:iCs w:val="false"/>
          <w:color w:val="1A1A1A"/>
          <w:sz w:val="20"/>
          <w:szCs w:val="20"/>
        </w:rPr>
        <w:t xml:space="preserve">Upgrade AWS CLI to vX.Y.Z?</w:t>
      </w:r>
    </w:p>
    <w:p>
      <w:pPr>
        <w:pageBreakBefore/>
        <w:spacing w:after="160" w:before="240"/>
      </w:pPr>
      <w:r>
        <w:rPr>
          <w:rFonts w:ascii="Arial" w:cs="Arial" w:eastAsia="Arial" w:hAnsi="Arial"/>
          <w:b/>
          <w:bCs/>
          <w:color w:val="194268"/>
          <w:sz w:val="32"/>
          <w:szCs w:val="32"/>
        </w:rPr>
        <w:t xml:space="preserve">3. Running the Wizard</w:t>
      </w:r>
    </w:p>
    <w:p>
      <w:pPr>
        <w:spacing w:after="100" w:before="220"/>
      </w:pPr>
      <w:r>
        <w:rPr>
          <w:rFonts w:ascii="Arial" w:cs="Arial" w:eastAsia="Arial" w:hAnsi="Arial"/>
          <w:b/>
          <w:bCs/>
          <w:color w:val="194268"/>
          <w:sz w:val="26"/>
          <w:szCs w:val="26"/>
        </w:rPr>
        <w:t xml:space="preserve">Windows</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Double-click </w:t>
      </w:r>
      <w:r>
        <w:rPr>
          <w:rFonts w:ascii="Consolas" w:cs="Consolas" w:eastAsia="Consolas" w:hAnsi="Consolas"/>
          <w:b w:val="false"/>
          <w:bCs w:val="false"/>
          <w:i w:val="false"/>
          <w:iCs w:val="false"/>
          <w:color w:val="1A1A1A"/>
          <w:sz w:val="20"/>
          <w:szCs w:val="20"/>
        </w:rPr>
        <w:t xml:space="preserve">run_qlik_deploy_gui.bat</w:t>
      </w:r>
      <w:r>
        <w:rPr>
          <w:rFonts w:ascii="Arial" w:cs="Arial" w:eastAsia="Arial" w:hAnsi="Arial"/>
          <w:b w:val="false"/>
          <w:bCs w:val="false"/>
          <w:i w:val="false"/>
          <w:iCs w:val="false"/>
          <w:color w:val="1A1A1A"/>
          <w:sz w:val="22"/>
          <w:szCs w:val="22"/>
        </w:rPr>
        <w:t xml:space="preserve"> (it self-elevates via UAC).</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Choose the target cloud, then click Check Tools. Install/Update buttons appear if anything is missing or outdated.</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Pick Deploy (Live) or Dry-Run, fill in initials / workload / env, choose SSO or static keys.</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AWS path (both wizards): enter the Qlik Cloud inputs - network integration name (must be unique in the tenant); Qlik space ID (optional; from </w:t>
      </w:r>
      <w:r>
        <w:rPr>
          <w:rFonts w:ascii="Consolas" w:cs="Consolas" w:eastAsia="Consolas" w:hAnsi="Consolas"/>
          <w:b w:val="false"/>
          <w:bCs w:val="false"/>
          <w:i w:val="false"/>
          <w:iCs w:val="false"/>
          <w:color w:val="1A1A1A"/>
          <w:sz w:val="20"/>
          <w:szCs w:val="20"/>
        </w:rPr>
        <w:t xml:space="preserve">GET https://&lt;tenant&gt;/api/v1/spaces?name=&lt;space name&gt;</w:t>
      </w:r>
      <w:r>
        <w:rPr>
          <w:rFonts w:ascii="Arial" w:cs="Arial" w:eastAsia="Arial" w:hAnsi="Arial"/>
          <w:b w:val="false"/>
          <w:bCs w:val="false"/>
          <w:i w:val="false"/>
          <w:iCs w:val="false"/>
          <w:color w:val="1A1A1A"/>
          <w:sz w:val="22"/>
          <w:szCs w:val="22"/>
        </w:rPr>
        <w:t xml:space="preserve"> in a signed-in browser); </w:t>
      </w:r>
      <w:r>
        <w:rPr>
          <w:rFonts w:ascii="Arial" w:cs="Arial" w:eastAsia="Arial" w:hAnsi="Arial"/>
          <w:b/>
          <w:bCs/>
          <w:i w:val="false"/>
          <w:iCs w:val="false"/>
          <w:color w:val="1A1A1A"/>
          <w:sz w:val="22"/>
          <w:szCs w:val="22"/>
        </w:rPr>
        <w:t xml:space="preserve">cluster capability: CDC or Streaming (always asked, no default)</w:t>
      </w:r>
      <w:r>
        <w:rPr>
          <w:rFonts w:ascii="Arial" w:cs="Arial" w:eastAsia="Arial" w:hAnsi="Arial"/>
          <w:b w:val="false"/>
          <w:bCs w:val="false"/>
          <w:i w:val="false"/>
          <w:iCs w:val="false"/>
          <w:color w:val="1A1A1A"/>
          <w:sz w:val="22"/>
          <w:szCs w:val="22"/>
        </w:rPr>
        <w:t xml:space="preserve">; cluster name (default </w:t>
      </w:r>
      <w:r>
        <w:rPr>
          <w:rFonts w:ascii="Consolas" w:cs="Consolas" w:eastAsia="Consolas" w:hAnsi="Consolas"/>
          <w:b w:val="false"/>
          <w:bCs w:val="false"/>
          <w:i w:val="false"/>
          <w:iCs w:val="false"/>
          <w:color w:val="1A1A1A"/>
          <w:sz w:val="20"/>
          <w:szCs w:val="20"/>
        </w:rPr>
        <w:t xml:space="preserve">&lt;prefix&gt;-cluster</w:t>
      </w:r>
      <w:r>
        <w:rPr>
          <w:rFonts w:ascii="Arial" w:cs="Arial" w:eastAsia="Arial" w:hAnsi="Arial"/>
          <w:b w:val="false"/>
          <w:bCs w:val="false"/>
          <w:i w:val="false"/>
          <w:iCs w:val="false"/>
          <w:color w:val="1A1A1A"/>
          <w:sz w:val="22"/>
          <w:szCs w:val="22"/>
        </w:rPr>
        <w:t xml:space="preserve"> for CDC, </w:t>
      </w:r>
      <w:r>
        <w:rPr>
          <w:rFonts w:ascii="Consolas" w:cs="Consolas" w:eastAsia="Consolas" w:hAnsi="Consolas"/>
          <w:b w:val="false"/>
          <w:bCs w:val="false"/>
          <w:i w:val="false"/>
          <w:iCs w:val="false"/>
          <w:color w:val="1A1A1A"/>
          <w:sz w:val="20"/>
          <w:szCs w:val="20"/>
        </w:rPr>
        <w:t xml:space="preserve">&lt;prefix&gt;-streaming</w:t>
      </w:r>
      <w:r>
        <w:rPr>
          <w:rFonts w:ascii="Arial" w:cs="Arial" w:eastAsia="Arial" w:hAnsi="Arial"/>
          <w:b w:val="false"/>
          <w:bCs w:val="false"/>
          <w:i w:val="false"/>
          <w:iCs w:val="false"/>
          <w:color w:val="1A1A1A"/>
          <w:sz w:val="22"/>
          <w:szCs w:val="22"/>
        </w:rPr>
        <w:t xml:space="preserve"> for Streaming).</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Walk through discovery. AWS: region, VPC, subnets, SG, KMS, IAM, S3, Kinesis. Google Cloud: region, zones, project, network, subnetwork, NAT, firewall, Cloud KMS, service accounts, GCS.</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On the review screen click Generate. Wizard writes tfvars and runs terraform init/plan, then asks before apply.</w:t>
      </w:r>
    </w:p>
    <w:p>
      <w:pPr>
        <w:spacing w:after="100" w:before="220"/>
      </w:pPr>
      <w:r>
        <w:rPr>
          <w:rFonts w:ascii="Arial" w:cs="Arial" w:eastAsia="Arial" w:hAnsi="Arial"/>
          <w:b/>
          <w:bCs/>
          <w:color w:val="194268"/>
          <w:sz w:val="26"/>
          <w:szCs w:val="26"/>
        </w:rPr>
        <w:t xml:space="preserve">Linux / macOS</w:t>
      </w:r>
    </w:p>
    <w:p>
      <w:pPr>
        <w:shd w:fill="F2F4F7" w:val="clear"/>
        <w:spacing w:after="120" w:before="80"/>
        <w:ind w:left="240" w:right="240"/>
      </w:pPr>
      <w:r>
        <w:rPr>
          <w:rFonts w:ascii="Consolas" w:cs="Consolas" w:eastAsia="Consolas" w:hAnsi="Consolas"/>
          <w:color w:val="1A1A1A"/>
          <w:sz w:val="19"/>
          <w:szCs w:val="19"/>
        </w:rPr>
        <w:t xml:space="preserve">chmod +x qlik_deploy_olh.sh
./qlik_deploy_olh.sh</w:t>
      </w:r>
    </w:p>
    <w:p>
      <w:pPr>
        <w:spacing w:after="120"/>
      </w:pPr>
      <w:r>
        <w:rPr>
          <w:rFonts w:ascii="Arial" w:cs="Arial" w:eastAsia="Arial" w:hAnsi="Arial"/>
          <w:b w:val="false"/>
          <w:bCs w:val="false"/>
          <w:i w:val="false"/>
          <w:iCs w:val="false"/>
          <w:color w:val="1A1A1A"/>
          <w:sz w:val="22"/>
          <w:szCs w:val="22"/>
        </w:rPr>
        <w:t xml:space="preserve">Same flow in a TTY; the wizard asks which cloud to target. Pass --gcp or --cloud=gcp to skip the prompt. The bash wizard auto-detects a working Python 3 (python3 / python / py), so Git Bash on Windows works even when python3 resolves to the Microsoft Store stub.</w:t>
      </w:r>
    </w:p>
    <w:p>
      <w:pPr>
        <w:pageBreakBefore/>
        <w:spacing w:after="160" w:before="240"/>
      </w:pPr>
      <w:r>
        <w:rPr>
          <w:rFonts w:ascii="Arial" w:cs="Arial" w:eastAsia="Arial" w:hAnsi="Arial"/>
          <w:b/>
          <w:bCs/>
          <w:color w:val="194268"/>
          <w:sz w:val="32"/>
          <w:szCs w:val="32"/>
        </w:rPr>
        <w:t xml:space="preserve">4. Inputs and Generated Files</w:t>
      </w:r>
    </w:p>
    <w:p>
      <w:pPr>
        <w:spacing w:after="100" w:before="220"/>
      </w:pPr>
      <w:r>
        <w:rPr>
          <w:rFonts w:ascii="Arial" w:cs="Arial" w:eastAsia="Arial" w:hAnsi="Arial"/>
          <w:b/>
          <w:bCs/>
          <w:color w:val="194268"/>
          <w:sz w:val="26"/>
          <w:szCs w:val="26"/>
        </w:rPr>
        <w:t xml:space="preserve">What the wizard collects</w:t>
      </w:r>
    </w:p>
    <w:p>
      <w:pPr>
        <w:pStyle w:val="ListParagraph"/>
        <w:numPr>
          <w:ilvl w:val="0"/>
          <w:numId w:val="2"/>
        </w:numPr>
        <w:spacing w:after="40"/>
      </w:pPr>
      <w:r>
        <w:rPr>
          <w:rFonts w:ascii="Arial" w:cs="Arial" w:eastAsia="Arial" w:hAnsi="Arial"/>
          <w:b/>
          <w:bCs/>
          <w:i w:val="false"/>
          <w:iCs w:val="false"/>
          <w:color w:val="1A1A1A"/>
          <w:sz w:val="22"/>
          <w:szCs w:val="22"/>
        </w:rPr>
        <w:t xml:space="preserve">Identity: </w:t>
      </w:r>
      <w:r>
        <w:rPr>
          <w:rFonts w:ascii="Arial" w:cs="Arial" w:eastAsia="Arial" w:hAnsi="Arial"/>
          <w:b w:val="false"/>
          <w:bCs w:val="false"/>
          <w:i w:val="false"/>
          <w:iCs w:val="false"/>
          <w:color w:val="1A1A1A"/>
          <w:sz w:val="22"/>
          <w:szCs w:val="22"/>
        </w:rPr>
        <w:t xml:space="preserve">initials (2-6 lowercase alphanumeric), workload, env (dev/uat/prod).</w:t>
      </w:r>
    </w:p>
    <w:p>
      <w:pPr>
        <w:pStyle w:val="ListParagraph"/>
        <w:numPr>
          <w:ilvl w:val="0"/>
          <w:numId w:val="2"/>
        </w:numPr>
        <w:spacing w:after="40"/>
      </w:pPr>
      <w:r>
        <w:rPr>
          <w:rFonts w:ascii="Arial" w:cs="Arial" w:eastAsia="Arial" w:hAnsi="Arial"/>
          <w:b/>
          <w:bCs/>
          <w:i w:val="false"/>
          <w:iCs w:val="false"/>
          <w:color w:val="1A1A1A"/>
          <w:sz w:val="22"/>
          <w:szCs w:val="22"/>
        </w:rPr>
        <w:t xml:space="preserve">AWS: </w:t>
      </w:r>
      <w:r>
        <w:rPr>
          <w:rFonts w:ascii="Arial" w:cs="Arial" w:eastAsia="Arial" w:hAnsi="Arial"/>
          <w:b w:val="false"/>
          <w:bCs w:val="false"/>
          <w:i w:val="false"/>
          <w:iCs w:val="false"/>
          <w:color w:val="1A1A1A"/>
          <w:sz w:val="22"/>
          <w:szCs w:val="22"/>
        </w:rPr>
        <w:t xml:space="preserve">region, account ID (auto), state bucket. Google Cloud: region, zones (at least two), project ID and number (auto), state bucket.</w:t>
      </w:r>
    </w:p>
    <w:p>
      <w:pPr>
        <w:pStyle w:val="ListParagraph"/>
        <w:numPr>
          <w:ilvl w:val="0"/>
          <w:numId w:val="2"/>
        </w:numPr>
        <w:spacing w:after="40"/>
      </w:pPr>
      <w:r>
        <w:rPr>
          <w:rFonts w:ascii="Arial" w:cs="Arial" w:eastAsia="Arial" w:hAnsi="Arial"/>
          <w:b/>
          <w:bCs/>
          <w:i w:val="false"/>
          <w:iCs w:val="false"/>
          <w:color w:val="1A1A1A"/>
          <w:sz w:val="22"/>
          <w:szCs w:val="22"/>
        </w:rPr>
        <w:t xml:space="preserve">Network: </w:t>
      </w:r>
      <w:r>
        <w:rPr>
          <w:rFonts w:ascii="Arial" w:cs="Arial" w:eastAsia="Arial" w:hAnsi="Arial"/>
          <w:b w:val="false"/>
          <w:bCs w:val="false"/>
          <w:i w:val="false"/>
          <w:iCs w:val="false"/>
          <w:color w:val="1A1A1A"/>
          <w:sz w:val="22"/>
          <w:szCs w:val="22"/>
        </w:rPr>
        <w:t xml:space="preserve">AWS: VPC ID + CIDR, at least two subnets across two AZs, security group. Google Cloud: VPC network, subnetwork + CIDR, firewall rule, Cloud Router and NAT.</w:t>
      </w:r>
    </w:p>
    <w:p>
      <w:pPr>
        <w:pStyle w:val="ListParagraph"/>
        <w:numPr>
          <w:ilvl w:val="0"/>
          <w:numId w:val="2"/>
        </w:numPr>
        <w:spacing w:after="40"/>
      </w:pPr>
      <w:r>
        <w:rPr>
          <w:rFonts w:ascii="Arial" w:cs="Arial" w:eastAsia="Arial" w:hAnsi="Arial"/>
          <w:b/>
          <w:bCs/>
          <w:i w:val="false"/>
          <w:iCs w:val="false"/>
          <w:color w:val="1A1A1A"/>
          <w:sz w:val="22"/>
          <w:szCs w:val="22"/>
        </w:rPr>
        <w:t xml:space="preserve">Security: </w:t>
      </w:r>
      <w:r>
        <w:rPr>
          <w:rFonts w:ascii="Arial" w:cs="Arial" w:eastAsia="Arial" w:hAnsi="Arial"/>
          <w:b w:val="false"/>
          <w:bCs w:val="false"/>
          <w:i w:val="false"/>
          <w:iCs w:val="false"/>
          <w:color w:val="1A1A1A"/>
          <w:sz w:val="22"/>
          <w:szCs w:val="22"/>
        </w:rPr>
        <w:t xml:space="preserve">AWS: KMS key, management role, EC2 node role, instance profile, plus your QTC ExternalId and the Qlik proxy role ARN. Google Cloud: Cloud KMS key, management and node service accounts, plus your QTC tenant ID and authentication method.</w:t>
      </w:r>
    </w:p>
    <w:p>
      <w:pPr>
        <w:pStyle w:val="ListParagraph"/>
        <w:numPr>
          <w:ilvl w:val="0"/>
          <w:numId w:val="2"/>
        </w:numPr>
        <w:spacing w:after="40"/>
      </w:pPr>
      <w:r>
        <w:rPr>
          <w:rFonts w:ascii="Arial" w:cs="Arial" w:eastAsia="Arial" w:hAnsi="Arial"/>
          <w:b/>
          <w:bCs/>
          <w:i w:val="false"/>
          <w:iCs w:val="false"/>
          <w:color w:val="1A1A1A"/>
          <w:sz w:val="22"/>
          <w:szCs w:val="22"/>
        </w:rPr>
        <w:t xml:space="preserve">Storage/streaming: </w:t>
      </w:r>
      <w:r>
        <w:rPr>
          <w:rFonts w:ascii="Arial" w:cs="Arial" w:eastAsia="Arial" w:hAnsi="Arial"/>
          <w:b w:val="false"/>
          <w:bCs w:val="false"/>
          <w:i w:val="false"/>
          <w:iCs w:val="false"/>
          <w:color w:val="1A1A1A"/>
          <w:sz w:val="22"/>
          <w:szCs w:val="22"/>
        </w:rPr>
        <w:t xml:space="preserve">AWS: S3 Iceberg / Landing / Config buckets and a Kinesis stream (1 shard). Google Cloud: GCS table storage / landing / config buckets - no stream resource in this release.</w:t>
      </w:r>
    </w:p>
    <w:p>
      <w:pPr>
        <w:pStyle w:val="ListParagraph"/>
        <w:numPr>
          <w:ilvl w:val="0"/>
          <w:numId w:val="2"/>
        </w:numPr>
        <w:spacing w:after="40"/>
      </w:pPr>
      <w:r>
        <w:rPr>
          <w:rFonts w:ascii="Arial" w:cs="Arial" w:eastAsia="Arial" w:hAnsi="Arial"/>
          <w:b/>
          <w:bCs/>
          <w:i w:val="false"/>
          <w:iCs w:val="false"/>
          <w:color w:val="1A1A1A"/>
          <w:sz w:val="22"/>
          <w:szCs w:val="22"/>
        </w:rPr>
        <w:t xml:space="preserve">Tags (AWS) or labels (Google Cloud): </w:t>
      </w:r>
      <w:r>
        <w:rPr>
          <w:rFonts w:ascii="Arial" w:cs="Arial" w:eastAsia="Arial" w:hAnsi="Arial"/>
          <w:b w:val="false"/>
          <w:bCs w:val="false"/>
          <w:i w:val="false"/>
          <w:iCs w:val="false"/>
          <w:color w:val="1A1A1A"/>
          <w:sz w:val="22"/>
          <w:szCs w:val="22"/>
        </w:rPr>
        <w:t xml:space="preserve">Owner, Environment, Workload, Application, CreateDate, ManagedBy.</w:t>
      </w:r>
    </w:p>
    <w:p>
      <w:pPr>
        <w:pStyle w:val="ListParagraph"/>
        <w:numPr>
          <w:ilvl w:val="0"/>
          <w:numId w:val="2"/>
        </w:numPr>
        <w:spacing w:after="40"/>
      </w:pPr>
      <w:r>
        <w:rPr>
          <w:rFonts w:ascii="Arial" w:cs="Arial" w:eastAsia="Arial" w:hAnsi="Arial"/>
          <w:b/>
          <w:bCs/>
          <w:i w:val="false"/>
          <w:iCs w:val="false"/>
          <w:color w:val="1A1A1A"/>
          <w:sz w:val="22"/>
          <w:szCs w:val="22"/>
        </w:rPr>
        <w:t xml:space="preserve">Qlik Cloud (AWS path): </w:t>
      </w:r>
      <w:r>
        <w:rPr>
          <w:rFonts w:ascii="Arial" w:cs="Arial" w:eastAsia="Arial" w:hAnsi="Arial"/>
          <w:b w:val="false"/>
          <w:bCs w:val="false"/>
          <w:i w:val="false"/>
          <w:iCs w:val="false"/>
          <w:color w:val="1A1A1A"/>
          <w:sz w:val="22"/>
          <w:szCs w:val="22"/>
        </w:rPr>
        <w:t xml:space="preserve">network integration name (unique in the tenant), Qlik space ID (optional), cluster capability (CDC or Streaming; always asked, no default) and cluster name (default </w:t>
      </w:r>
      <w:r>
        <w:rPr>
          <w:rFonts w:ascii="Consolas" w:cs="Consolas" w:eastAsia="Consolas" w:hAnsi="Consolas"/>
          <w:b w:val="false"/>
          <w:bCs w:val="false"/>
          <w:i w:val="false"/>
          <w:iCs w:val="false"/>
          <w:color w:val="1A1A1A"/>
          <w:sz w:val="20"/>
          <w:szCs w:val="20"/>
        </w:rPr>
        <w:t xml:space="preserve">&lt;prefix&gt;-cluster</w:t>
      </w:r>
      <w:r>
        <w:rPr>
          <w:rFonts w:ascii="Arial" w:cs="Arial" w:eastAsia="Arial" w:hAnsi="Arial"/>
          <w:b w:val="false"/>
          <w:bCs w:val="false"/>
          <w:i w:val="false"/>
          <w:iCs w:val="false"/>
          <w:color w:val="1A1A1A"/>
          <w:sz w:val="22"/>
          <w:szCs w:val="22"/>
        </w:rPr>
        <w:t xml:space="preserve"> for CDC, </w:t>
      </w:r>
      <w:r>
        <w:rPr>
          <w:rFonts w:ascii="Consolas" w:cs="Consolas" w:eastAsia="Consolas" w:hAnsi="Consolas"/>
          <w:b w:val="false"/>
          <w:bCs w:val="false"/>
          <w:i w:val="false"/>
          <w:iCs w:val="false"/>
          <w:color w:val="1A1A1A"/>
          <w:sz w:val="20"/>
          <w:szCs w:val="20"/>
        </w:rPr>
        <w:t xml:space="preserve">&lt;prefix&gt;-streaming</w:t>
      </w:r>
      <w:r>
        <w:rPr>
          <w:rFonts w:ascii="Arial" w:cs="Arial" w:eastAsia="Arial" w:hAnsi="Arial"/>
          <w:b w:val="false"/>
          <w:bCs w:val="false"/>
          <w:i w:val="false"/>
          <w:iCs w:val="false"/>
          <w:color w:val="1A1A1A"/>
          <w:sz w:val="22"/>
          <w:szCs w:val="22"/>
        </w:rPr>
        <w:t xml:space="preserve"> for Streaming).</w:t>
      </w:r>
    </w:p>
    <w:p>
      <w:pPr>
        <w:spacing w:after="100" w:before="220"/>
      </w:pPr>
      <w:r>
        <w:rPr>
          <w:rFonts w:ascii="Arial" w:cs="Arial" w:eastAsia="Arial" w:hAnsi="Arial"/>
          <w:b/>
          <w:bCs/>
          <w:color w:val="194268"/>
          <w:sz w:val="26"/>
          <w:szCs w:val="26"/>
        </w:rPr>
        <w:t xml:space="preserve">What gets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File</w:t>
            </w:r>
          </w:p>
        </w:tc>
        <w:tc>
          <w:tcPr>
            <w:tcW w:type="dxa" w:w="666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Contents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terraform.tfvars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All values above as HCL, written to terraform/&lt;cloud&gt;/terraform.tfvars (do not commit)</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qlik-network-integration.txt</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The Qlik form's values in the form's own section order (Details; 1. Grant Qlik access; 2. Connect Qlik to your network; 3. Create a lakehouse cluster), then what else was created</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deploy-report.html</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The same, as a self-contained page</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&lt;integration name&gt;_AWS_import.json</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Load it via Administration &gt; Lakehouse clusters &gt; Network integrations &gt; Create network integration &gt; Import configuration. Same keys and order as Qlik's own Export form.</w:t>
            </w:r>
          </w:p>
        </w:tc>
      </w:tr>
    </w:tbl>
    <w:p>
      <w:pPr>
        <w:pageBreakBefore/>
        <w:spacing w:after="160" w:before="240"/>
      </w:pPr>
      <w:r>
        <w:rPr>
          <w:rFonts w:ascii="Arial" w:cs="Arial" w:eastAsia="Arial" w:hAnsi="Arial"/>
          <w:b/>
          <w:bCs/>
          <w:color w:val="194268"/>
          <w:sz w:val="32"/>
          <w:szCs w:val="32"/>
        </w:rPr>
        <w:t xml:space="preserve">5. Creating the Network Integration in Qlik Cloud</w:t>
      </w:r>
    </w:p>
    <w:p>
      <w:pPr>
        <w:spacing w:after="120"/>
      </w:pPr>
      <w:r>
        <w:rPr>
          <w:rFonts w:ascii="Arial" w:cs="Arial" w:eastAsia="Arial" w:hAnsi="Arial"/>
          <w:b/>
          <w:bCs/>
          <w:i w:val="false"/>
          <w:iCs w:val="false"/>
          <w:color w:val="1A1A1A"/>
          <w:sz w:val="22"/>
          <w:szCs w:val="22"/>
        </w:rPr>
        <w:t xml:space="preserve">Path: </w:t>
      </w:r>
      <w:r>
        <w:rPr>
          <w:rFonts w:ascii="Arial" w:cs="Arial" w:eastAsia="Arial" w:hAnsi="Arial"/>
          <w:b w:val="false"/>
          <w:bCs w:val="false"/>
          <w:i w:val="false"/>
          <w:iCs w:val="false"/>
          <w:color w:val="1A1A1A"/>
          <w:sz w:val="22"/>
          <w:szCs w:val="22"/>
        </w:rPr>
        <w:t xml:space="preserve">Administration &gt; Lakehouse clusters &gt; Network integrations &gt; Create network integration ▾ &gt; Import configuration, then load the JSON (</w:t>
      </w:r>
      <w:r>
        <w:rPr>
          <w:rFonts w:ascii="Consolas" w:cs="Consolas" w:eastAsia="Consolas" w:hAnsi="Consolas"/>
          <w:b w:val="false"/>
          <w:bCs w:val="false"/>
          <w:i w:val="false"/>
          <w:iCs w:val="false"/>
          <w:color w:val="1A1A1A"/>
          <w:sz w:val="20"/>
          <w:szCs w:val="20"/>
        </w:rPr>
        <w:t xml:space="preserve">&lt;integration name&gt;_AWS_import.json</w:t>
      </w:r>
      <w:r>
        <w:rPr>
          <w:rFonts w:ascii="Arial" w:cs="Arial" w:eastAsia="Arial" w:hAnsi="Arial"/>
          <w:b w:val="false"/>
          <w:bCs w:val="false"/>
          <w:i w:val="false"/>
          <w:iCs w:val="false"/>
          <w:color w:val="1A1A1A"/>
          <w:sz w:val="22"/>
          <w:szCs w:val="22"/>
        </w:rPr>
        <w:t xml:space="preserve">). The form has three sections: Grant Qlik access to your cloud; Connect Qlik to your network; Create a lakehouse cluster.</w:t>
      </w:r>
    </w:p>
    <w:p>
      <w:pPr>
        <w:spacing w:after="100" w:before="220"/>
      </w:pPr>
      <w:r>
        <w:rPr>
          <w:rFonts w:ascii="Arial" w:cs="Arial" w:eastAsia="Arial" w:hAnsi="Arial"/>
          <w:b/>
          <w:bCs/>
          <w:color w:val="194268"/>
          <w:sz w:val="26"/>
          <w:szCs w:val="26"/>
        </w:rPr>
        <w:t xml:space="preserve">What the form asks for</w:t>
      </w:r>
    </w:p>
    <w:p>
      <w:pPr>
        <w:spacing w:after="120"/>
      </w:pPr>
      <w:r>
        <w:rPr>
          <w:rFonts w:ascii="Arial" w:cs="Arial" w:eastAsia="Arial" w:hAnsi="Arial"/>
          <w:b w:val="false"/>
          <w:bCs w:val="false"/>
          <w:i w:val="false"/>
          <w:iCs w:val="false"/>
          <w:color w:val="1A1A1A"/>
          <w:sz w:val="22"/>
          <w:szCs w:val="22"/>
        </w:rPr>
        <w:t xml:space="preserve">AWS account, Symmetric KMS key ARN, S3 bucket for internal Qlik files (the config bucket), Management role ARN, EC2 instances profile (the instance-profile ARN, not the role ARN), Region, VPC ID, Availability Zone + Subnet rows (the AZ is a letter), Security groups, then cluster name, space, capability, tags and rollout phase. There is no Kinesis, ExternalId, Glue or SSM field.</w:t>
      </w:r>
    </w:p>
    <w:p>
      <w:pPr>
        <w:spacing w:after="100" w:before="220"/>
      </w:pPr>
      <w:r>
        <w:rPr>
          <w:rFonts w:ascii="Arial" w:cs="Arial" w:eastAsia="Arial" w:hAnsi="Arial"/>
          <w:b/>
          <w:bCs/>
          <w:color w:val="194268"/>
          <w:sz w:val="26"/>
          <w:szCs w:val="26"/>
        </w:rPr>
        <w:t xml:space="preserve">Before Confirm</w:t>
      </w:r>
    </w:p>
    <w:p>
      <w:pPr>
        <w:pStyle w:val="ListParagraph"/>
        <w:numPr>
          <w:ilvl w:val="0"/>
          <w:numId w:val="2"/>
        </w:numPr>
        <w:spacing w:after="40"/>
      </w:pPr>
      <w:r>
        <w:rPr>
          <w:rFonts w:ascii="Arial" w:cs="Arial" w:eastAsia="Arial" w:hAnsi="Arial"/>
          <w:b/>
          <w:bCs/>
          <w:i w:val="false"/>
          <w:iCs w:val="false"/>
          <w:color w:val="1A1A1A"/>
          <w:sz w:val="22"/>
          <w:szCs w:val="22"/>
        </w:rPr>
        <w:t xml:space="preserve">Role policies: </w:t>
      </w:r>
      <w:r>
        <w:rPr>
          <w:rFonts w:ascii="Arial" w:cs="Arial" w:eastAsia="Arial" w:hAnsi="Arial"/>
          <w:b w:val="false"/>
          <w:bCs w:val="false"/>
          <w:i w:val="false"/>
          <w:iCs w:val="false"/>
          <w:color w:val="1A1A1A"/>
          <w:sz w:val="22"/>
          <w:szCs w:val="22"/>
        </w:rPr>
        <w:t xml:space="preserve">each role field has a "Configuration guide" link. The guide generates an inline policy for the Management role and another for the EC2 instance profile role, from the values entered. </w:t>
      </w:r>
      <w:r>
        <w:rPr>
          <w:rFonts w:ascii="Arial" w:cs="Arial" w:eastAsia="Arial" w:hAnsi="Arial"/>
          <w:b/>
          <w:bCs/>
          <w:i w:val="false"/>
          <w:iCs w:val="false"/>
          <w:color w:val="1A1A1A"/>
          <w:sz w:val="22"/>
          <w:szCs w:val="22"/>
        </w:rPr>
        <w:t xml:space="preserve">The wizards do not attach these; attach both before Confirm</w:t>
      </w:r>
      <w:r>
        <w:rPr>
          <w:rFonts w:ascii="Arial" w:cs="Arial" w:eastAsia="Arial" w:hAnsi="Arial"/>
          <w:b w:val="false"/>
          <w:bCs w:val="false"/>
          <w:i w:val="false"/>
          <w:iCs w:val="false"/>
          <w:color w:val="1A1A1A"/>
          <w:sz w:val="22"/>
          <w:szCs w:val="22"/>
        </w:rPr>
        <w:t xml:space="preserve"> (the skill attaches them automatically). The Management role's trust policy must equal the guide's "Trusted entity" verbatim.</w:t>
      </w:r>
    </w:p>
    <w:p>
      <w:pPr>
        <w:pStyle w:val="ListParagraph"/>
        <w:numPr>
          <w:ilvl w:val="0"/>
          <w:numId w:val="2"/>
        </w:numPr>
        <w:spacing w:after="40"/>
      </w:pPr>
      <w:r>
        <w:rPr>
          <w:rFonts w:ascii="Arial" w:cs="Arial" w:eastAsia="Arial" w:hAnsi="Arial"/>
          <w:b/>
          <w:bCs/>
          <w:i w:val="false"/>
          <w:iCs w:val="false"/>
          <w:color w:val="1A1A1A"/>
          <w:sz w:val="22"/>
          <w:szCs w:val="22"/>
        </w:rPr>
        <w:t xml:space="preserve">Service-linked roles: </w:t>
      </w:r>
      <w:r>
        <w:rPr>
          <w:rFonts w:ascii="Arial" w:cs="Arial" w:eastAsia="Arial" w:hAnsi="Arial"/>
          <w:b w:val="false"/>
          <w:bCs w:val="false"/>
          <w:i w:val="false"/>
          <w:iCs w:val="false"/>
          <w:color w:val="1A1A1A"/>
          <w:sz w:val="22"/>
          <w:szCs w:val="22"/>
        </w:rPr>
        <w:t xml:space="preserve">on a fresh account, create AWSServiceRoleForAutoScaling and AWSServiceRoleForEC2Spot before Confirm. Otherwise the first deploy fails (see Troubleshooting). The skill does this; the wizards do not.</w:t>
      </w:r>
    </w:p>
    <w:p>
      <w:pPr>
        <w:shd w:fill="F2F4F7" w:val="clear"/>
        <w:spacing w:after="0" w:before="80"/>
        <w:ind w:left="240" w:right="240"/>
      </w:pPr>
      <w:r>
        <w:rPr>
          <w:rFonts w:ascii="Consolas" w:cs="Consolas" w:eastAsia="Consolas" w:hAnsi="Consolas"/>
          <w:color w:val="1A1A1A"/>
          <w:sz w:val="19"/>
          <w:szCs w:val="19"/>
        </w:rPr>
        <w:t xml:space="preserve">aws iam create-service-linked-role --aws-service-name autoscaling.amazonaws.com</w:t>
      </w:r>
    </w:p>
    <w:p>
      <w:pPr>
        <w:shd w:fill="F2F4F7" w:val="clear"/>
        <w:spacing w:after="120" w:before="0"/>
        <w:ind w:left="240" w:right="240"/>
      </w:pPr>
      <w:r>
        <w:rPr>
          <w:rFonts w:ascii="Consolas" w:cs="Consolas" w:eastAsia="Consolas" w:hAnsi="Consolas"/>
          <w:color w:val="1A1A1A"/>
          <w:sz w:val="19"/>
          <w:szCs w:val="19"/>
        </w:rPr>
        <w:t xml:space="preserve">aws iam create-service-linked-role --aws-service-name spot.amazonaws.com</w:t>
      </w:r>
    </w:p>
    <w:p>
      <w:pPr>
        <w:pStyle w:val="ListParagraph"/>
        <w:numPr>
          <w:ilvl w:val="0"/>
          <w:numId w:val="2"/>
        </w:numPr>
        <w:spacing w:after="40"/>
      </w:pPr>
      <w:r>
        <w:rPr>
          <w:rFonts w:ascii="Arial" w:cs="Arial" w:eastAsia="Arial" w:hAnsi="Arial"/>
          <w:b/>
          <w:bCs/>
          <w:i w:val="false"/>
          <w:iCs w:val="false"/>
          <w:color w:val="1A1A1A"/>
          <w:sz w:val="22"/>
          <w:szCs w:val="22"/>
        </w:rPr>
        <w:t xml:space="preserve">Space and name: </w:t>
      </w:r>
      <w:r>
        <w:rPr>
          <w:rFonts w:ascii="Arial" w:cs="Arial" w:eastAsia="Arial" w:hAnsi="Arial"/>
          <w:b w:val="false"/>
          <w:bCs w:val="false"/>
          <w:i w:val="false"/>
          <w:iCs w:val="false"/>
          <w:color w:val="1A1A1A"/>
          <w:sz w:val="22"/>
          <w:szCs w:val="22"/>
        </w:rPr>
        <w:t xml:space="preserve">check both Space fields. A blank space ID makes the form silently use Default_Data_Space for both the integration and the cluster. The integration name must be unique.</w:t>
      </w:r>
    </w:p>
    <w:p>
      <w:pPr>
        <w:spacing w:after="100" w:before="220"/>
      </w:pPr>
      <w:r>
        <w:rPr>
          <w:rFonts w:ascii="Arial" w:cs="Arial" w:eastAsia="Arial" w:hAnsi="Arial"/>
          <w:b/>
          <w:bCs/>
          <w:color w:val="194268"/>
          <w:sz w:val="26"/>
          <w:szCs w:val="26"/>
        </w:rPr>
        <w:t xml:space="preserve">After Confirm</w:t>
      </w:r>
    </w:p>
    <w:p>
      <w:pPr>
        <w:spacing w:after="120"/>
      </w:pPr>
      <w:r>
        <w:rPr>
          <w:rFonts w:ascii="Arial" w:cs="Arial" w:eastAsia="Arial" w:hAnsi="Arial"/>
          <w:b w:val="false"/>
          <w:bCs w:val="false"/>
          <w:i w:val="false"/>
          <w:iCs w:val="false"/>
          <w:color w:val="1A1A1A"/>
          <w:sz w:val="22"/>
          <w:szCs w:val="22"/>
        </w:rPr>
        <w:t xml:space="preserve">The integration goes Deploying -&gt; Connected and the cluster Connecting -&gt; Running, in about 2-4 minutes. AWS then shows two qlik_&lt;uuid&gt; Auto Scaling groups: a GatewayCluster (r8i-flex.xlarge, on-demand) and a LakehouseCluster (r8a.2xlarge, Spot).</w:t>
      </w:r>
    </w:p>
    <w:p>
      <w:pPr>
        <w:spacing w:after="100" w:before="220"/>
      </w:pPr>
      <w:r>
        <w:rPr>
          <w:rFonts w:ascii="Arial" w:cs="Arial" w:eastAsia="Arial" w:hAnsi="Arial"/>
          <w:b/>
          <w:bCs/>
          <w:color w:val="194268"/>
          <w:sz w:val="26"/>
          <w:szCs w:val="26"/>
        </w:rPr>
        <w:t xml:space="preserve">CDC vs Streaming</w:t>
      </w:r>
    </w:p>
    <w:p>
      <w:pPr>
        <w:pStyle w:val="ListParagraph"/>
        <w:numPr>
          <w:ilvl w:val="0"/>
          <w:numId w:val="2"/>
        </w:numPr>
        <w:spacing w:after="40"/>
      </w:pPr>
      <w:r>
        <w:rPr>
          <w:rFonts w:ascii="Arial" w:cs="Arial" w:eastAsia="Arial" w:hAnsi="Arial"/>
          <w:b/>
          <w:bCs/>
          <w:i w:val="false"/>
          <w:iCs w:val="false"/>
          <w:color w:val="1A1A1A"/>
          <w:sz w:val="22"/>
          <w:szCs w:val="22"/>
        </w:rPr>
        <w:t xml:space="preserve">CDC: </w:t>
      </w:r>
      <w:r>
        <w:rPr>
          <w:rFonts w:ascii="Arial" w:cs="Arial" w:eastAsia="Arial" w:hAnsi="Arial"/>
          <w:b w:val="false"/>
          <w:bCs w:val="false"/>
          <w:i w:val="false"/>
          <w:iCs w:val="false"/>
          <w:color w:val="1A1A1A"/>
          <w:sz w:val="22"/>
          <w:szCs w:val="22"/>
        </w:rPr>
        <w:t xml:space="preserve">database/SaaS change capture workloads, billed by data volume ingested; cluster tasks are free. Import JSON value: </w:t>
      </w:r>
      <w:r>
        <w:rPr>
          <w:rFonts w:ascii="Consolas" w:cs="Consolas" w:eastAsia="Consolas" w:hAnsi="Consolas"/>
          <w:b w:val="false"/>
          <w:bCs w:val="false"/>
          <w:i w:val="false"/>
          <w:iCs w:val="false"/>
          <w:color w:val="1A1A1A"/>
          <w:sz w:val="20"/>
          <w:szCs w:val="20"/>
        </w:rPr>
        <w:t xml:space="preserve">"database"</w:t>
      </w:r>
      <w:r>
        <w:rPr>
          <w:rFonts w:ascii="Arial" w:cs="Arial" w:eastAsia="Arial" w:hAnsi="Arial"/>
          <w:b w:val="false"/>
          <w:bCs w:val="false"/>
          <w:i w:val="false"/>
          <w:iCs w:val="false"/>
          <w:color w:val="1A1A1A"/>
          <w:sz w:val="22"/>
          <w:szCs w:val="22"/>
        </w:rPr>
        <w:t xml:space="preserve">.</w:t>
      </w:r>
    </w:p>
    <w:p>
      <w:pPr>
        <w:pStyle w:val="ListParagraph"/>
        <w:numPr>
          <w:ilvl w:val="0"/>
          <w:numId w:val="2"/>
        </w:numPr>
        <w:spacing w:after="40"/>
      </w:pPr>
      <w:r>
        <w:rPr>
          <w:rFonts w:ascii="Arial" w:cs="Arial" w:eastAsia="Arial" w:hAnsi="Arial"/>
          <w:b/>
          <w:bCs/>
          <w:i w:val="false"/>
          <w:iCs w:val="false"/>
          <w:color w:val="1A1A1A"/>
          <w:sz w:val="22"/>
          <w:szCs w:val="22"/>
        </w:rPr>
        <w:t xml:space="preserve">Streaming: </w:t>
      </w:r>
      <w:r>
        <w:rPr>
          <w:rFonts w:ascii="Arial" w:cs="Arial" w:eastAsia="Arial" w:hAnsi="Arial"/>
          <w:b w:val="false"/>
          <w:bCs w:val="false"/>
          <w:i w:val="false"/>
          <w:iCs w:val="false"/>
          <w:color w:val="1A1A1A"/>
          <w:sz w:val="22"/>
          <w:szCs w:val="22"/>
        </w:rPr>
        <w:t xml:space="preserve">streaming ingestion/transformation and Qlik Replicate sources, billed by compute usage. Import JSON value: </w:t>
      </w:r>
      <w:r>
        <w:rPr>
          <w:rFonts w:ascii="Consolas" w:cs="Consolas" w:eastAsia="Consolas" w:hAnsi="Consolas"/>
          <w:b w:val="false"/>
          <w:bCs w:val="false"/>
          <w:i w:val="false"/>
          <w:iCs w:val="false"/>
          <w:color w:val="1A1A1A"/>
          <w:sz w:val="20"/>
          <w:szCs w:val="20"/>
        </w:rPr>
        <w:t xml:space="preserve">"streaming"</w:t>
      </w:r>
      <w:r>
        <w:rPr>
          <w:rFonts w:ascii="Arial" w:cs="Arial" w:eastAsia="Arial" w:hAnsi="Arial"/>
          <w:b w:val="false"/>
          <w:bCs w:val="false"/>
          <w:i w:val="false"/>
          <w:iCs w:val="false"/>
          <w:color w:val="1A1A1A"/>
          <w:sz w:val="22"/>
          <w:szCs w:val="22"/>
        </w:rPr>
        <w:t xml:space="preserve">.</w:t>
      </w:r>
    </w:p>
    <w:p>
      <w:pPr>
        <w:spacing w:after="100" w:before="220"/>
      </w:pPr>
      <w:r>
        <w:rPr>
          <w:rFonts w:ascii="Arial" w:cs="Arial" w:eastAsia="Arial" w:hAnsi="Arial"/>
          <w:b/>
          <w:bCs/>
          <w:color w:val="194268"/>
          <w:sz w:val="26"/>
          <w:szCs w:val="26"/>
        </w:rPr>
        <w:t xml:space="preserve">Adding a cluster to an existing integration</w:t>
      </w:r>
    </w:p>
    <w:p>
      <w:pPr>
        <w:spacing w:after="120"/>
      </w:pPr>
      <w:r>
        <w:rPr>
          <w:rFonts w:ascii="Arial" w:cs="Arial" w:eastAsia="Arial" w:hAnsi="Arial"/>
          <w:b w:val="false"/>
          <w:bCs w:val="false"/>
          <w:i w:val="false"/>
          <w:iCs w:val="false"/>
          <w:color w:val="1A1A1A"/>
          <w:sz w:val="22"/>
          <w:szCs w:val="22"/>
        </w:rPr>
        <w:t xml:space="preserve">To add a cluster (e.g. Streaming) to an existing integration: Lakehouse clusters tab &gt; Create new. This dialog exposes sizing. The Type and Size lists fill only after a network integration is picked (Type r or x; Size 2xlarge up to 96xlarge/metal). Smallest working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Setting</w:t>
            </w:r>
          </w:p>
        </w:tc>
        <w:tc>
          <w:tcPr>
            <w:tcW w:type="dxa" w:w="666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Value</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Type</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r</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Size</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2xlarge</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On-Demand Instances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0</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Spot Instances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Minimum 1 / Maximum 1</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Scaling strategy</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Low cost</w:t>
            </w:r>
          </w:p>
        </w:tc>
      </w:tr>
    </w:tbl>
    <w:p>
      <w:pPr>
        <w:spacing w:after="120"/>
      </w:pPr>
      <w:r>
        <w:rPr>
          <w:rFonts w:ascii="Arial" w:cs="Arial" w:eastAsia="Arial" w:hAnsi="Arial"/>
          <w:b w:val="false"/>
          <w:bCs w:val="false"/>
          <w:i w:val="false"/>
          <w:iCs w:val="false"/>
          <w:color w:val="1A1A1A"/>
          <w:sz w:val="22"/>
          <w:szCs w:val="22"/>
        </w:rPr>
        <w:t xml:space="preserve">Name and tag it by appending the capability (e.g. rgs_olh_mcg_streaming, with the Name and Workload tags set to the same value). Verified: Qlik launched it as one r8i-flex.2xlarge Spot instance and it reached Running in about a minute.</w:t>
      </w:r>
    </w:p>
    <w:p>
      <w:pPr>
        <w:pageBreakBefore/>
        <w:spacing w:after="160" w:before="240"/>
      </w:pPr>
      <w:r>
        <w:rPr>
          <w:rFonts w:ascii="Arial" w:cs="Arial" w:eastAsia="Arial" w:hAnsi="Arial"/>
          <w:b/>
          <w:bCs/>
          <w:color w:val="194268"/>
          <w:sz w:val="32"/>
          <w:szCs w:val="32"/>
        </w:rPr>
        <w:t xml:space="preserve">6. Terraform Layer</w:t>
      </w:r>
    </w:p>
    <w:p>
      <w:pPr>
        <w:spacing w:after="120"/>
      </w:pPr>
      <w:r>
        <w:rPr>
          <w:rFonts w:ascii="Arial" w:cs="Arial" w:eastAsia="Arial" w:hAnsi="Arial"/>
          <w:b w:val="false"/>
          <w:bCs w:val="false"/>
          <w:i w:val="false"/>
          <w:iCs w:val="false"/>
          <w:color w:val="1A1A1A"/>
          <w:sz w:val="22"/>
          <w:szCs w:val="22"/>
        </w:rPr>
        <w:t xml:space="preserve">The .tf files are static and live in two root modules, terraform/aws/ and terraform/gcp/. The wizard runs the heavy CLI provisioning; Terraform owns state, drift detection, the prerequisite assertions, and the auxiliary layer. This section walks the AWS module; the Google Cloud module mirrors it file for file - see section 8.</w:t>
      </w:r>
    </w:p>
    <w:p>
      <w:pPr>
        <w:spacing w:after="100" w:before="220"/>
      </w:pPr>
      <w:r>
        <w:rPr>
          <w:rFonts w:ascii="Arial" w:cs="Arial" w:eastAsia="Arial" w:hAnsi="Arial"/>
          <w:b/>
          <w:bCs/>
          <w:color w:val="194268"/>
          <w:sz w:val="26"/>
          <w:szCs w:val="26"/>
        </w:rPr>
        <w:t xml:space="preserve">versions.tf</w:t>
      </w:r>
    </w:p>
    <w:p>
      <w:pPr>
        <w:shd w:fill="F2F4F7" w:val="clear"/>
        <w:spacing w:after="120" w:before="80"/>
        <w:ind w:left="240" w:right="240"/>
      </w:pPr>
      <w:r>
        <w:rPr>
          <w:rFonts w:ascii="Consolas" w:cs="Consolas" w:eastAsia="Consolas" w:hAnsi="Consolas"/>
          <w:color w:val="1A1A1A"/>
          <w:sz w:val="19"/>
          <w:szCs w:val="19"/>
        </w:rPr>
        <w:t xml:space="preserve">terraform {</w:t>
        <w:br/>
        <w:t xml:space="preserve">  required_version = "&gt;= 1.10.0"</w:t>
        <w:br/>
        <w:t xml:space="preserve">  required_providers {</w:t>
        <w:br/>
        <w:t xml:space="preserve">    aws = { source = "hashicorp/aws", version = "&gt;= 5.80" }</w:t>
        <w:br/>
        <w:t xml:space="preserve">  }</w:t>
        <w:br/>
        <w:t xml:space="preserve">  backend "s3" {</w:t>
        <w:br/>
        <w:t xml:space="preserve">    bucket       = "REPLACE-VIA-BACKEND-CONFIG"</w:t>
        <w:br/>
        <w:t xml:space="preserve">    key          = "qlik-lakehouse/terraform.tfstate"</w:t>
        <w:br/>
        <w:t xml:space="preserve">    region       = "us-east-1"</w:t>
        <w:br/>
        <w:t xml:space="preserve">    use_lockfile = true</w:t>
        <w:br/>
        <w:t xml:space="preserve">  }</w:t>
        <w:br/>
        <w:t xml:space="preserve">}</w:t>
      </w:r>
    </w:p>
    <w:p>
      <w:pPr>
        <w:spacing w:after="120"/>
      </w:pPr>
      <w:r>
        <w:rPr>
          <w:rFonts w:ascii="Arial" w:cs="Arial" w:eastAsia="Arial" w:hAnsi="Arial"/>
          <w:b w:val="false"/>
          <w:bCs w:val="false"/>
          <w:i w:val="false"/>
          <w:iCs w:val="false"/>
          <w:color w:val="1A1A1A"/>
          <w:sz w:val="22"/>
          <w:szCs w:val="22"/>
        </w:rPr>
        <w:t xml:space="preserve">Placeholder backend values let </w:t>
      </w:r>
      <w:r>
        <w:rPr>
          <w:rFonts w:ascii="Consolas" w:cs="Consolas" w:eastAsia="Consolas" w:hAnsi="Consolas"/>
          <w:b w:val="false"/>
          <w:bCs w:val="false"/>
          <w:i w:val="false"/>
          <w:iCs w:val="false"/>
          <w:color w:val="1A1A1A"/>
          <w:sz w:val="20"/>
          <w:szCs w:val="20"/>
        </w:rPr>
        <w:t xml:space="preserve">terraform validate</w:t>
      </w:r>
      <w:r>
        <w:rPr>
          <w:rFonts w:ascii="Arial" w:cs="Arial" w:eastAsia="Arial" w:hAnsi="Arial"/>
          <w:b w:val="false"/>
          <w:bCs w:val="false"/>
          <w:i w:val="false"/>
          <w:iCs w:val="false"/>
          <w:color w:val="1A1A1A"/>
          <w:sz w:val="22"/>
          <w:szCs w:val="22"/>
        </w:rPr>
        <w:t xml:space="preserve"> succeed offline; the wizard overrides them via </w:t>
      </w:r>
      <w:r>
        <w:rPr>
          <w:rFonts w:ascii="Consolas" w:cs="Consolas" w:eastAsia="Consolas" w:hAnsi="Consolas"/>
          <w:b w:val="false"/>
          <w:bCs w:val="false"/>
          <w:i w:val="false"/>
          <w:iCs w:val="false"/>
          <w:color w:val="1A1A1A"/>
          <w:sz w:val="20"/>
          <w:szCs w:val="20"/>
        </w:rPr>
        <w:t xml:space="preserve">-backend-config</w:t>
      </w:r>
      <w:r>
        <w:rPr>
          <w:rFonts w:ascii="Arial" w:cs="Arial" w:eastAsia="Arial" w:hAnsi="Arial"/>
          <w:b w:val="false"/>
          <w:bCs w:val="false"/>
          <w:i w:val="false"/>
          <w:iCs w:val="false"/>
          <w:color w:val="1A1A1A"/>
          <w:sz w:val="22"/>
          <w:szCs w:val="22"/>
        </w:rPr>
        <w:t xml:space="preserve"> at init time.</w:t>
      </w:r>
    </w:p>
    <w:p>
      <w:pPr>
        <w:spacing w:after="100" w:before="220"/>
      </w:pPr>
      <w:r>
        <w:rPr>
          <w:rFonts w:ascii="Arial" w:cs="Arial" w:eastAsia="Arial" w:hAnsi="Arial"/>
          <w:b/>
          <w:bCs/>
          <w:color w:val="194268"/>
          <w:sz w:val="26"/>
          <w:szCs w:val="26"/>
        </w:rPr>
        <w:t xml:space="preserve">providers.tf</w:t>
      </w:r>
    </w:p>
    <w:p>
      <w:pPr>
        <w:spacing w:after="120"/>
      </w:pPr>
      <w:r>
        <w:rPr>
          <w:rFonts w:ascii="Arial" w:cs="Arial" w:eastAsia="Arial" w:hAnsi="Arial"/>
          <w:b w:val="false"/>
          <w:bCs w:val="false"/>
          <w:i w:val="false"/>
          <w:iCs w:val="false"/>
          <w:color w:val="1A1A1A"/>
          <w:sz w:val="22"/>
          <w:szCs w:val="22"/>
        </w:rPr>
        <w:t xml:space="preserve">AWS provider with </w:t>
      </w:r>
      <w:r>
        <w:rPr>
          <w:rFonts w:ascii="Consolas" w:cs="Consolas" w:eastAsia="Consolas" w:hAnsi="Consolas"/>
          <w:b w:val="false"/>
          <w:bCs w:val="false"/>
          <w:i w:val="false"/>
          <w:iCs w:val="false"/>
          <w:color w:val="1A1A1A"/>
          <w:sz w:val="20"/>
          <w:szCs w:val="20"/>
        </w:rPr>
        <w:t xml:space="preserve">default_tags</w:t>
      </w:r>
      <w:r>
        <w:rPr>
          <w:rFonts w:ascii="Arial" w:cs="Arial" w:eastAsia="Arial" w:hAnsi="Arial"/>
          <w:b w:val="false"/>
          <w:bCs w:val="false"/>
          <w:i w:val="false"/>
          <w:iCs w:val="false"/>
          <w:color w:val="1A1A1A"/>
          <w:sz w:val="22"/>
          <w:szCs w:val="22"/>
        </w:rPr>
        <w:t xml:space="preserve"> so every Terraform-managed resource inherits Owner / Environment / Workload / Application / CreateDate / ManagedBy.</w:t>
      </w:r>
    </w:p>
    <w:p>
      <w:pPr>
        <w:spacing w:after="100" w:before="220"/>
      </w:pPr>
      <w:r>
        <w:rPr>
          <w:rFonts w:ascii="Arial" w:cs="Arial" w:eastAsia="Arial" w:hAnsi="Arial"/>
          <w:b/>
          <w:bCs/>
          <w:color w:val="194268"/>
          <w:sz w:val="26"/>
          <w:szCs w:val="26"/>
        </w:rPr>
        <w:t xml:space="preserve">variables.tf</w:t>
      </w:r>
    </w:p>
    <w:p>
      <w:pPr>
        <w:spacing w:after="120"/>
      </w:pPr>
      <w:r>
        <w:rPr>
          <w:rFonts w:ascii="Arial" w:cs="Arial" w:eastAsia="Arial" w:hAnsi="Arial"/>
          <w:b w:val="false"/>
          <w:bCs w:val="false"/>
          <w:i w:val="false"/>
          <w:iCs w:val="false"/>
          <w:color w:val="1A1A1A"/>
          <w:sz w:val="22"/>
          <w:szCs w:val="22"/>
        </w:rPr>
        <w:t xml:space="preserve">Declares every input and validates it: initials (2-6 lowercase alphanumeric), env, account/project identifiers, and the format of every ARN, ID and bucket name.</w:t>
      </w:r>
    </w:p>
    <w:p>
      <w:pPr>
        <w:spacing w:after="100" w:before="220"/>
      </w:pPr>
      <w:r>
        <w:rPr>
          <w:rFonts w:ascii="Arial" w:cs="Arial" w:eastAsia="Arial" w:hAnsi="Arial"/>
          <w:b/>
          <w:bCs/>
          <w:color w:val="194268"/>
          <w:sz w:val="26"/>
          <w:szCs w:val="26"/>
        </w:rPr>
        <w:t xml:space="preserve">main.tf</w:t>
      </w:r>
    </w:p>
    <w:p>
      <w:pPr>
        <w:pStyle w:val="ListParagraph"/>
        <w:numPr>
          <w:ilvl w:val="0"/>
          <w:numId w:val="2"/>
        </w:numPr>
        <w:spacing w:after="40"/>
      </w:pPr>
      <w:r>
        <w:rPr>
          <w:rFonts w:ascii="Arial" w:cs="Arial" w:eastAsia="Arial" w:hAnsi="Arial"/>
          <w:b/>
          <w:bCs/>
          <w:i w:val="false"/>
          <w:iCs w:val="false"/>
          <w:color w:val="1A1A1A"/>
          <w:sz w:val="22"/>
          <w:szCs w:val="22"/>
        </w:rPr>
        <w:t xml:space="preserve">Assertions: </w:t>
      </w:r>
      <w:r>
        <w:rPr>
          <w:rFonts w:ascii="Arial" w:cs="Arial" w:eastAsia="Arial" w:hAnsi="Arial"/>
          <w:b w:val="false"/>
          <w:bCs w:val="false"/>
          <w:i w:val="false"/>
          <w:iCs w:val="false"/>
          <w:color w:val="1A1A1A"/>
          <w:sz w:val="22"/>
          <w:szCs w:val="22"/>
        </w:rPr>
        <w:t xml:space="preserve">plan fails unless (1) credentials match aws_account_id (on Google Cloud, gcp_project_id and gcp_project_number); (2) the management role's trust policy names the Qlik principal and requires your sts:ExternalId under an Allow statement's sts:ExternalId condition; (3) at least two subnets across two AZs, each auto-assigning public IPs and routed to an Internet Gateway; (4) vpc_cidr matches the live VPC.</w:t>
      </w:r>
    </w:p>
    <w:p>
      <w:pPr>
        <w:pStyle w:val="ListParagraph"/>
        <w:numPr>
          <w:ilvl w:val="0"/>
          <w:numId w:val="2"/>
        </w:numPr>
        <w:spacing w:after="40"/>
      </w:pPr>
      <w:r>
        <w:rPr>
          <w:rFonts w:ascii="Arial" w:cs="Arial" w:eastAsia="Arial" w:hAnsi="Arial"/>
          <w:b/>
          <w:bCs/>
          <w:i w:val="false"/>
          <w:iCs w:val="false"/>
          <w:color w:val="1A1A1A"/>
          <w:sz w:val="22"/>
          <w:szCs w:val="22"/>
        </w:rPr>
        <w:t xml:space="preserve">Data sources: </w:t>
      </w:r>
      <w:r>
        <w:rPr>
          <w:rFonts w:ascii="Arial" w:cs="Arial" w:eastAsia="Arial" w:hAnsi="Arial"/>
          <w:b w:val="false"/>
          <w:bCs w:val="false"/>
          <w:i w:val="false"/>
          <w:iCs w:val="false"/>
          <w:color w:val="1A1A1A"/>
          <w:sz w:val="22"/>
          <w:szCs w:val="22"/>
        </w:rPr>
        <w:t xml:space="preserve">VPC, SG, KMS, IAM role, instance profile, S3 Iceberg bucket, Kinesis stream. Read-only - never recreated.</w:t>
      </w:r>
    </w:p>
    <w:p>
      <w:pPr>
        <w:pStyle w:val="ListParagraph"/>
        <w:numPr>
          <w:ilvl w:val="0"/>
          <w:numId w:val="2"/>
        </w:numPr>
        <w:spacing w:after="40"/>
      </w:pPr>
      <w:r>
        <w:rPr>
          <w:rFonts w:ascii="Arial" w:cs="Arial" w:eastAsia="Arial" w:hAnsi="Arial"/>
          <w:b/>
          <w:bCs/>
          <w:i w:val="false"/>
          <w:iCs w:val="false"/>
          <w:color w:val="1A1A1A"/>
          <w:sz w:val="22"/>
          <w:szCs w:val="22"/>
        </w:rPr>
        <w:t xml:space="preserve">Managed resources: </w:t>
      </w:r>
      <w:r>
        <w:rPr>
          <w:rFonts w:ascii="Consolas" w:cs="Consolas" w:eastAsia="Consolas" w:hAnsi="Consolas"/>
          <w:b w:val="false"/>
          <w:bCs w:val="false"/>
          <w:i w:val="false"/>
          <w:iCs w:val="false"/>
          <w:color w:val="1A1A1A"/>
          <w:sz w:val="20"/>
          <w:szCs w:val="20"/>
        </w:rPr>
        <w:t xml:space="preserve">aws_glue_catalog_database.olh</w:t>
      </w:r>
      <w:r>
        <w:rPr>
          <w:rFonts w:ascii="Arial" w:cs="Arial" w:eastAsia="Arial" w:hAnsi="Arial"/>
          <w:b w:val="false"/>
          <w:bCs w:val="false"/>
          <w:i w:val="false"/>
          <w:iCs w:val="false"/>
          <w:color w:val="1A1A1A"/>
          <w:sz w:val="22"/>
          <w:szCs w:val="22"/>
        </w:rPr>
        <w:t xml:space="preserve"> plus the S3 gateway VPC endpoint, the node role data-plane policy and 15 </w:t>
      </w:r>
      <w:r>
        <w:rPr>
          <w:rFonts w:ascii="Consolas" w:cs="Consolas" w:eastAsia="Consolas" w:hAnsi="Consolas"/>
          <w:b w:val="false"/>
          <w:bCs w:val="false"/>
          <w:i w:val="false"/>
          <w:iCs w:val="false"/>
          <w:color w:val="1A1A1A"/>
          <w:sz w:val="20"/>
          <w:szCs w:val="20"/>
        </w:rPr>
        <w:t xml:space="preserve">aws_ssm_parameter.*</w:t>
      </w:r>
      <w:r>
        <w:rPr>
          <w:rFonts w:ascii="Arial" w:cs="Arial" w:eastAsia="Arial" w:hAnsi="Arial"/>
          <w:b w:val="false"/>
          <w:bCs w:val="false"/>
          <w:i w:val="false"/>
          <w:iCs w:val="false"/>
          <w:color w:val="1A1A1A"/>
          <w:sz w:val="22"/>
          <w:szCs w:val="22"/>
        </w:rPr>
        <w:t xml:space="preserve"> entries under </w:t>
      </w:r>
      <w:r>
        <w:rPr>
          <w:rFonts w:ascii="Consolas" w:cs="Consolas" w:eastAsia="Consolas" w:hAnsi="Consolas"/>
          <w:b w:val="false"/>
          <w:bCs w:val="false"/>
          <w:i w:val="false"/>
          <w:iCs w:val="false"/>
          <w:color w:val="1A1A1A"/>
          <w:sz w:val="20"/>
          <w:szCs w:val="20"/>
        </w:rPr>
        <w:t xml:space="preserve">/&lt;initials&gt;/&lt;workload&gt;/&lt;env&gt;/</w:t>
      </w:r>
      <w:r>
        <w:rPr>
          <w:rFonts w:ascii="Arial" w:cs="Arial" w:eastAsia="Arial" w:hAnsi="Arial"/>
          <w:b w:val="false"/>
          <w:bCs w:val="false"/>
          <w:i w:val="false"/>
          <w:iCs w:val="false"/>
          <w:color w:val="1A1A1A"/>
          <w:sz w:val="22"/>
          <w:szCs w:val="22"/>
        </w:rPr>
        <w:t xml:space="preserve">.</w:t>
      </w:r>
    </w:p>
    <w:p>
      <w:pPr>
        <w:spacing w:after="100" w:before="220"/>
      </w:pPr>
      <w:r>
        <w:rPr>
          <w:rFonts w:ascii="Arial" w:cs="Arial" w:eastAsia="Arial" w:hAnsi="Arial"/>
          <w:b/>
          <w:bCs/>
          <w:color w:val="194268"/>
          <w:sz w:val="26"/>
          <w:szCs w:val="26"/>
        </w:rPr>
        <w:t xml:space="preserve">outputs.tf</w:t>
      </w:r>
    </w:p>
    <w:p>
      <w:pPr>
        <w:spacing w:after="120"/>
      </w:pPr>
      <w:r>
        <w:rPr>
          <w:rFonts w:ascii="Arial" w:cs="Arial" w:eastAsia="Arial" w:hAnsi="Arial"/>
          <w:b w:val="false"/>
          <w:bCs w:val="false"/>
          <w:i w:val="false"/>
          <w:iCs w:val="false"/>
          <w:color w:val="1A1A1A"/>
          <w:sz w:val="22"/>
          <w:szCs w:val="22"/>
        </w:rPr>
        <w:t xml:space="preserve">Each value individually plus a </w:t>
      </w:r>
      <w:r>
        <w:rPr>
          <w:rFonts w:ascii="Consolas" w:cs="Consolas" w:eastAsia="Consolas" w:hAnsi="Consolas"/>
          <w:b w:val="false"/>
          <w:bCs w:val="false"/>
          <w:i w:val="false"/>
          <w:iCs w:val="false"/>
          <w:color w:val="1A1A1A"/>
          <w:sz w:val="20"/>
          <w:szCs w:val="20"/>
        </w:rPr>
        <w:t xml:space="preserve">qtc_summary</w:t>
      </w:r>
      <w:r>
        <w:rPr>
          <w:rFonts w:ascii="Arial" w:cs="Arial" w:eastAsia="Arial" w:hAnsi="Arial"/>
          <w:b w:val="false"/>
          <w:bCs w:val="false"/>
          <w:i w:val="false"/>
          <w:iCs w:val="false"/>
          <w:color w:val="1A1A1A"/>
          <w:sz w:val="22"/>
          <w:szCs w:val="22"/>
        </w:rPr>
        <w:t xml:space="preserve"> object - copy/paste straight into Qlik Talend Cloud:</w:t>
      </w:r>
    </w:p>
    <w:p>
      <w:pPr>
        <w:shd w:fill="F2F4F7" w:val="clear"/>
        <w:spacing w:after="120" w:before="80"/>
        <w:ind w:left="240" w:right="240"/>
      </w:pPr>
      <w:r>
        <w:rPr>
          <w:rFonts w:ascii="Consolas" w:cs="Consolas" w:eastAsia="Consolas" w:hAnsi="Consolas"/>
          <w:color w:val="1A1A1A"/>
          <w:sz w:val="19"/>
          <w:szCs w:val="19"/>
        </w:rPr>
        <w:t xml:space="preserve">terraform output qtc_summary</w:t>
      </w:r>
    </w:p>
    <w:p>
      <w:pPr>
        <w:pageBreakBefore/>
        <w:spacing w:after="160" w:before="240"/>
      </w:pPr>
      <w:r>
        <w:rPr>
          <w:rFonts w:ascii="Arial" w:cs="Arial" w:eastAsia="Arial" w:hAnsi="Arial"/>
          <w:b/>
          <w:bCs/>
          <w:color w:val="194268"/>
          <w:sz w:val="32"/>
          <w:szCs w:val="32"/>
        </w:rPr>
        <w:t xml:space="preserve">7. Terraform Commands</w:t>
      </w:r>
    </w:p>
    <w:p>
      <w:pPr>
        <w:spacing w:after="100" w:before="220"/>
      </w:pPr>
      <w:r>
        <w:rPr>
          <w:rFonts w:ascii="Arial" w:cs="Arial" w:eastAsia="Arial" w:hAnsi="Arial"/>
          <w:b/>
          <w:bCs/>
          <w:color w:val="194268"/>
          <w:sz w:val="26"/>
          <w:szCs w:val="26"/>
        </w:rPr>
        <w:t xml:space="preserve">Init (S3 backend)</w:t>
      </w:r>
    </w:p>
    <w:p>
      <w:pPr>
        <w:shd w:fill="F2F4F7" w:val="clear"/>
        <w:spacing w:after="120" w:before="80"/>
        <w:ind w:left="240" w:right="240"/>
      </w:pPr>
      <w:r>
        <w:rPr>
          <w:rFonts w:ascii="Consolas" w:cs="Consolas" w:eastAsia="Consolas" w:hAnsi="Consolas"/>
          <w:color w:val="1A1A1A"/>
          <w:sz w:val="19"/>
          <w:szCs w:val="19"/>
        </w:rPr>
        <w:t xml:space="preserve">terraform -chdir=terraform/aws init -reconfigure \
  -backend-config="bucket=&lt;TFSTATE_BUCKET&gt;" \
  -backend-config="key=qlik-lakehouse/terraform.tfstate" \
  -backend-config="region=&lt;AWS_REGION&gt;"</w:t>
      </w:r>
    </w:p>
    <w:p>
      <w:pPr>
        <w:spacing w:after="100" w:before="220"/>
      </w:pPr>
      <w:r>
        <w:rPr>
          <w:rFonts w:ascii="Arial" w:cs="Arial" w:eastAsia="Arial" w:hAnsi="Arial"/>
          <w:b/>
          <w:bCs/>
          <w:color w:val="194268"/>
          <w:sz w:val="26"/>
          <w:szCs w:val="26"/>
        </w:rPr>
        <w:t xml:space="preserve">Plan</w:t>
      </w:r>
    </w:p>
    <w:p>
      <w:pPr>
        <w:shd w:fill="F2F4F7" w:val="clear"/>
        <w:spacing w:after="120" w:before="80"/>
        <w:ind w:left="240" w:right="240"/>
      </w:pPr>
      <w:r>
        <w:rPr>
          <w:rFonts w:ascii="Consolas" w:cs="Consolas" w:eastAsia="Consolas" w:hAnsi="Consolas"/>
          <w:color w:val="1A1A1A"/>
          <w:sz w:val="19"/>
          <w:szCs w:val="19"/>
        </w:rPr>
        <w:t xml:space="preserve">terraform -chdir=terraform/aws plan -var-file=terraform.tfvars -out=tfplan</w:t>
      </w:r>
    </w:p>
    <w:p>
      <w:pPr>
        <w:spacing w:after="120"/>
      </w:pPr>
      <w:r>
        <w:rPr>
          <w:rFonts w:ascii="Arial" w:cs="Arial" w:eastAsia="Arial" w:hAnsi="Arial"/>
          <w:b w:val="false"/>
          <w:bCs w:val="false"/>
          <w:i w:val="false"/>
          <w:iCs w:val="false"/>
          <w:color w:val="1A1A1A"/>
          <w:sz w:val="22"/>
          <w:szCs w:val="22"/>
        </w:rPr>
        <w:t xml:space="preserve">Healthy AWS plan creates: 1 Glue database, 1 S3 gateway endpoint, 1 node IAM policy, 15 SSM parameters and 2 null_resource assertion markers. Zero changes for any data-sourced resource. On Google Cloud: BigLake catalog and database, a BigQuery mirror dataset, the node service account grants, the Workload Identity pool and provider, and 15 Secret Manager entries.</w:t>
      </w:r>
    </w:p>
    <w:p>
      <w:pPr>
        <w:spacing w:after="100" w:before="220"/>
      </w:pPr>
      <w:r>
        <w:rPr>
          <w:rFonts w:ascii="Arial" w:cs="Arial" w:eastAsia="Arial" w:hAnsi="Arial"/>
          <w:b/>
          <w:bCs/>
          <w:color w:val="194268"/>
          <w:sz w:val="26"/>
          <w:szCs w:val="26"/>
        </w:rPr>
        <w:t xml:space="preserve">Apply / Destroy</w:t>
      </w:r>
    </w:p>
    <w:p>
      <w:pPr>
        <w:shd w:fill="F2F4F7" w:val="clear"/>
        <w:spacing w:after="120" w:before="80"/>
        <w:ind w:left="240" w:right="240"/>
      </w:pPr>
      <w:r>
        <w:rPr>
          <w:rFonts w:ascii="Consolas" w:cs="Consolas" w:eastAsia="Consolas" w:hAnsi="Consolas"/>
          <w:color w:val="1A1A1A"/>
          <w:sz w:val="19"/>
          <w:szCs w:val="19"/>
        </w:rPr>
        <w:t xml:space="preserve">terraform -chdir=terraform/aws apply tfplan
terraform -chdir=terraform/aws destroy -var-file=terraform.tfvars</w:t>
      </w:r>
    </w:p>
    <w:p>
      <w:pPr>
        <w:spacing w:after="120"/>
      </w:pPr>
      <w:r>
        <w:rPr>
          <w:rFonts w:ascii="Arial" w:cs="Arial" w:eastAsia="Arial" w:hAnsi="Arial"/>
          <w:b w:val="false"/>
          <w:bCs w:val="false"/>
          <w:i w:val="false"/>
          <w:iCs w:val="false"/>
          <w:color w:val="1A1A1A"/>
          <w:sz w:val="22"/>
          <w:szCs w:val="22"/>
        </w:rPr>
        <w:t xml:space="preserve">Destroy removes only the Terraform-managed layer. Use the wizard's Teardown mode (AWS only) or the cloud console to remove the CLI-created resources. Swap terraform/aws for terraform/gcp to target Google Cloud.</w:t>
      </w:r>
    </w:p>
    <w:p>
      <w:pPr>
        <w:spacing w:after="100" w:before="220"/>
      </w:pPr>
      <w:r>
        <w:rPr>
          <w:rFonts w:ascii="Arial" w:cs="Arial" w:eastAsia="Arial" w:hAnsi="Arial"/>
          <w:b/>
          <w:bCs/>
          <w:color w:val="194268"/>
          <w:sz w:val="26"/>
          <w:szCs w:val="26"/>
        </w:rPr>
        <w:t xml:space="preserve">Verify locally without applying</w:t>
      </w:r>
    </w:p>
    <w:p>
      <w:pPr>
        <w:shd w:fill="F2F4F7" w:val="clear"/>
        <w:spacing w:after="120" w:before="80"/>
        <w:ind w:left="240" w:right="240"/>
      </w:pPr>
      <w:r>
        <w:rPr>
          <w:rFonts w:ascii="Consolas" w:cs="Consolas" w:eastAsia="Consolas" w:hAnsi="Consolas"/>
          <w:color w:val="1A1A1A"/>
          <w:sz w:val="19"/>
          <w:szCs w:val="19"/>
        </w:rPr>
        <w:t xml:space="preserve">terraform -chdir=terraform/aws fmt -check
terraform -chdir=terraform/aws init -backend=false
terraform -chdir=terraform/aws validate</w:t>
      </w:r>
    </w:p>
    <w:p>
      <w:pPr>
        <w:spacing w:after="120"/>
      </w:pPr>
      <w:r>
        <w:rPr>
          <w:rFonts w:ascii="Arial" w:cs="Arial" w:eastAsia="Arial" w:hAnsi="Arial"/>
          <w:b w:val="false"/>
          <w:bCs w:val="false"/>
          <w:i w:val="false"/>
          <w:iCs w:val="false"/>
          <w:color w:val="1A1A1A"/>
          <w:sz w:val="22"/>
          <w:szCs w:val="22"/>
        </w:rPr>
        <w:t xml:space="preserve">Confirmed against Terraform </w:t>
      </w:r>
      <w:r>
        <w:rPr>
          <w:rFonts w:ascii="Consolas" w:cs="Consolas" w:eastAsia="Consolas" w:hAnsi="Consolas"/>
          <w:b w:val="false"/>
          <w:bCs w:val="false"/>
          <w:i w:val="false"/>
          <w:iCs w:val="false"/>
          <w:color w:val="1A1A1A"/>
          <w:sz w:val="20"/>
          <w:szCs w:val="20"/>
        </w:rPr>
        <w:t xml:space="preserve">v1.15.0</w:t>
      </w:r>
      <w:r>
        <w:rPr>
          <w:rFonts w:ascii="Arial" w:cs="Arial" w:eastAsia="Arial" w:hAnsi="Arial"/>
          <w:b w:val="false"/>
          <w:bCs w:val="false"/>
          <w:i w:val="false"/>
          <w:iCs w:val="false"/>
          <w:color w:val="1A1A1A"/>
          <w:sz w:val="22"/>
          <w:szCs w:val="22"/>
        </w:rPr>
        <w:t xml:space="preserve"> with AWS provider </w:t>
      </w:r>
      <w:r>
        <w:rPr>
          <w:rFonts w:ascii="Consolas" w:cs="Consolas" w:eastAsia="Consolas" w:hAnsi="Consolas"/>
          <w:b w:val="false"/>
          <w:bCs w:val="false"/>
          <w:i w:val="false"/>
          <w:iCs w:val="false"/>
          <w:color w:val="1A1A1A"/>
          <w:sz w:val="20"/>
          <w:szCs w:val="20"/>
        </w:rPr>
        <w:t xml:space="preserve">v6.65.0 and Google provider v8.3.0</w:t>
      </w:r>
      <w:r>
        <w:rPr>
          <w:rFonts w:ascii="Arial" w:cs="Arial" w:eastAsia="Arial" w:hAnsi="Arial"/>
          <w:b w:val="false"/>
          <w:bCs w:val="false"/>
          <w:i w:val="false"/>
          <w:iCs w:val="false"/>
          <w:color w:val="1A1A1A"/>
          <w:sz w:val="22"/>
          <w:szCs w:val="22"/>
        </w:rPr>
        <w:t xml:space="preserve">: both configurations are valid.</w:t>
      </w:r>
    </w:p>
    <w:p>
      <w:pPr>
        <w:pageBreakBefore/>
        <w:spacing w:after="160" w:before="240"/>
      </w:pPr>
      <w:r>
        <w:rPr>
          <w:rFonts w:ascii="Arial" w:cs="Arial" w:eastAsia="Arial" w:hAnsi="Arial"/>
          <w:b/>
          <w:bCs/>
          <w:color w:val="194268"/>
          <w:sz w:val="32"/>
          <w:szCs w:val="32"/>
        </w:rPr>
        <w:t xml:space="preserve">8. Google Cloud Specifics</w:t>
      </w:r>
    </w:p>
    <w:p>
      <w:pPr>
        <w:spacing w:after="120"/>
      </w:pPr>
      <w:r>
        <w:rPr>
          <w:rFonts w:ascii="Arial" w:cs="Arial" w:eastAsia="Arial" w:hAnsi="Arial"/>
          <w:b w:val="false"/>
          <w:bCs w:val="false"/>
          <w:i w:val="false"/>
          <w:iCs w:val="false"/>
          <w:color w:val="1A1A1A"/>
          <w:sz w:val="22"/>
          <w:szCs w:val="22"/>
        </w:rPr>
        <w:t xml:space="preserve">Open Lakehouse on Google Cloud entered Private Preview on 2 September 2026, with GA planned for Q4 2026. The wizard mirrors the AWS flow service for service; the differences that matter are below.</w:t>
      </w:r>
    </w:p>
    <w:p>
      <w:pPr>
        <w:spacing w:after="100" w:before="220"/>
      </w:pPr>
      <w:r>
        <w:rPr>
          <w:rFonts w:ascii="Arial" w:cs="Arial" w:eastAsia="Arial" w:hAnsi="Arial"/>
          <w:b/>
          <w:bCs/>
          <w:color w:val="194268"/>
          <w:sz w:val="26"/>
          <w:szCs w:val="26"/>
        </w:rPr>
        <w:t xml:space="preserve">Service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EC2 agent + cluster</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Compute Engine VM + managed instance group of Spot VMs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VPC + 2 public subnets</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VPC network + regional subnetwork, MIG spread across two zones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Security group</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Firewall rule (ingress from the subnetwork CIDR). Egress needs no rule: GCP has an implied default-allow-egress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S3 gateway endpoint</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Private Google Access on the subnetwork</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Internet Gateway</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Cloud Router + Cloud NAT</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KMS CMK</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Cloud KMS symmetric CMEK</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S3 buckets</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GCS buckets: table storage, landing, config</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Kinesis stream</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Nothing at launch - the preview covers CDC and SaaS sources only</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IAM management role + ExternalId</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Management service account + Workload Identity Federation</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EC2 instance profile</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Node service account attached to the VMs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Glue Data Catalog</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Google Lakehouse Runtime Catalog (BigLake)</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SSM Parameter Store</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Secret Manager</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No equivalent</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BigQuery dataset for zero-copy mirroring</w:t>
            </w:r>
          </w:p>
        </w:tc>
      </w:tr>
    </w:tbl>
    <w:p>
      <w:pPr>
        <w:spacing w:after="100" w:before="220"/>
      </w:pPr>
      <w:r>
        <w:rPr>
          <w:rFonts w:ascii="Arial" w:cs="Arial" w:eastAsia="Arial" w:hAnsi="Arial"/>
          <w:b/>
          <w:bCs/>
          <w:color w:val="194268"/>
          <w:sz w:val="26"/>
          <w:szCs w:val="26"/>
        </w:rPr>
        <w:t xml:space="preserve">Two credential stores</w:t>
      </w:r>
    </w:p>
    <w:p>
      <w:pPr>
        <w:spacing w:after="120"/>
      </w:pPr>
      <w:r>
        <w:rPr>
          <w:rFonts w:ascii="Arial" w:cs="Arial" w:eastAsia="Arial" w:hAnsi="Arial"/>
          <w:b w:val="false"/>
          <w:bCs w:val="false"/>
          <w:i w:val="false"/>
          <w:iCs w:val="false"/>
          <w:color w:val="1A1A1A"/>
          <w:sz w:val="22"/>
          <w:szCs w:val="22"/>
        </w:rPr>
        <w:t xml:space="preserve">gcloud auth login and Application Default Credentials are separate stores. The Terraform Google provider reads ADC, so both wizards check for it and offer to run the login. Skipping that step produces an authentication failure at terraform plan, not at wizard time.</w:t>
      </w:r>
    </w:p>
    <w:p>
      <w:pPr>
        <w:shd w:fill="F2F4F7" w:val="clear"/>
        <w:spacing w:after="120" w:before="80"/>
        <w:ind w:left="240" w:right="240"/>
      </w:pPr>
      <w:r>
        <w:rPr>
          <w:rFonts w:ascii="Consolas" w:cs="Consolas" w:eastAsia="Consolas" w:hAnsi="Consolas"/>
          <w:color w:val="1A1A1A"/>
          <w:sz w:val="19"/>
          <w:szCs w:val="19"/>
        </w:rPr>
        <w:t xml:space="preserve">gcloud auth application-default login</w:t>
      </w:r>
    </w:p>
    <w:p>
      <w:pPr>
        <w:spacing w:after="100" w:before="220"/>
      </w:pPr>
      <w:r>
        <w:rPr>
          <w:rFonts w:ascii="Arial" w:cs="Arial" w:eastAsia="Arial" w:hAnsi="Arial"/>
          <w:b/>
          <w:bCs/>
          <w:color w:val="194268"/>
          <w:sz w:val="26"/>
          <w:szCs w:val="26"/>
        </w:rPr>
        <w:t xml:space="preserve">Known gap: how QTC authenticates into your project</w:t>
      </w:r>
    </w:p>
    <w:p>
      <w:pPr>
        <w:spacing w:after="120"/>
      </w:pPr>
      <w:r>
        <w:rPr>
          <w:rFonts w:ascii="Arial" w:cs="Arial" w:eastAsia="Arial" w:hAnsi="Arial"/>
          <w:b w:val="false"/>
          <w:bCs w:val="false"/>
          <w:i w:val="false"/>
          <w:iCs w:val="false"/>
          <w:color w:val="1A1A1A"/>
          <w:sz w:val="22"/>
          <w:szCs w:val="22"/>
        </w:rPr>
        <w:t xml:space="preserve">Qlik has not published the authentication model for the Private Preview. The Google Cloud module assumes Workload Identity Federation - the GCP counterpart of the assume-role with ExternalId pattern OLH uses on AWS - with your tenant ID as the allowed audience. This is a reasoned assumption, not a documented requirement, and it is isolated so it is cheap to change.</w:t>
      </w:r>
    </w:p>
    <w:p>
      <w:pPr>
        <w:pStyle w:val="ListParagraph"/>
        <w:numPr>
          <w:ilvl w:val="0"/>
          <w:numId w:val="2"/>
        </w:numPr>
        <w:spacing w:after="40"/>
      </w:pPr>
      <w:r>
        <w:rPr>
          <w:rFonts w:ascii="Arial" w:cs="Arial" w:eastAsia="Arial" w:hAnsi="Arial"/>
          <w:b/>
          <w:bCs/>
          <w:i w:val="false"/>
          <w:iCs w:val="false"/>
          <w:color w:val="1A1A1A"/>
          <w:sz w:val="22"/>
          <w:szCs w:val="22"/>
        </w:rPr>
        <w:t xml:space="preserve">To skip federation: </w:t>
      </w:r>
      <w:r>
        <w:rPr>
          <w:rFonts w:ascii="Arial" w:cs="Arial" w:eastAsia="Arial" w:hAnsi="Arial"/>
          <w:b w:val="false"/>
          <w:bCs w:val="false"/>
          <w:i w:val="false"/>
          <w:iCs w:val="false"/>
          <w:color w:val="1A1A1A"/>
          <w:sz w:val="22"/>
          <w:szCs w:val="22"/>
        </w:rPr>
        <w:t xml:space="preserve">set qtc_auth_method = "preauthorized_sa" in terraform.tfvars.</w:t>
      </w:r>
    </w:p>
    <w:p>
      <w:pPr>
        <w:pStyle w:val="ListParagraph"/>
        <w:numPr>
          <w:ilvl w:val="0"/>
          <w:numId w:val="2"/>
        </w:numPr>
        <w:spacing w:after="40"/>
      </w:pPr>
      <w:r>
        <w:rPr>
          <w:rFonts w:ascii="Arial" w:cs="Arial" w:eastAsia="Arial" w:hAnsi="Arial"/>
          <w:b/>
          <w:bCs/>
          <w:i w:val="false"/>
          <w:iCs w:val="false"/>
          <w:color w:val="1A1A1A"/>
          <w:sz w:val="22"/>
          <w:szCs w:val="22"/>
        </w:rPr>
        <w:t xml:space="preserve">To change the model: </w:t>
      </w:r>
      <w:r>
        <w:rPr>
          <w:rFonts w:ascii="Arial" w:cs="Arial" w:eastAsia="Arial" w:hAnsi="Arial"/>
          <w:b w:val="false"/>
          <w:bCs w:val="false"/>
          <w:i w:val="false"/>
          <w:iCs w:val="false"/>
          <w:color w:val="1A1A1A"/>
          <w:sz w:val="22"/>
          <w:szCs w:val="22"/>
        </w:rPr>
        <w:t xml:space="preserve">edit only the Qlik Talend Cloud tenant binding section of terraform/gcp/main.tf.</w:t>
      </w:r>
    </w:p>
    <w:p>
      <w:pPr>
        <w:pStyle w:val="ListParagraph"/>
        <w:numPr>
          <w:ilvl w:val="0"/>
          <w:numId w:val="2"/>
        </w:numPr>
        <w:spacing w:after="40"/>
      </w:pPr>
      <w:r>
        <w:rPr>
          <w:rFonts w:ascii="Arial" w:cs="Arial" w:eastAsia="Arial" w:hAnsi="Arial"/>
          <w:b/>
          <w:bCs/>
          <w:i w:val="false"/>
          <w:iCs w:val="false"/>
          <w:color w:val="1A1A1A"/>
          <w:sz w:val="22"/>
          <w:szCs w:val="22"/>
        </w:rPr>
        <w:t xml:space="preserve">Before a customer deployment: </w:t>
      </w:r>
      <w:r>
        <w:rPr>
          <w:rFonts w:ascii="Arial" w:cs="Arial" w:eastAsia="Arial" w:hAnsi="Arial"/>
          <w:b w:val="false"/>
          <w:bCs w:val="false"/>
          <w:i w:val="false"/>
          <w:iCs w:val="false"/>
          <w:color w:val="1A1A1A"/>
          <w:sz w:val="22"/>
          <w:szCs w:val="22"/>
        </w:rPr>
        <w:t xml:space="preserve">confirm with Product Management (PM: Antoine Richard).</w:t>
      </w:r>
    </w:p>
    <w:p>
      <w:pPr>
        <w:spacing w:after="100" w:before="220"/>
      </w:pPr>
      <w:r>
        <w:rPr>
          <w:rFonts w:ascii="Arial" w:cs="Arial" w:eastAsia="Arial" w:hAnsi="Arial"/>
          <w:b/>
          <w:bCs/>
          <w:color w:val="194268"/>
          <w:sz w:val="26"/>
          <w:szCs w:val="26"/>
        </w:rPr>
        <w:t xml:space="preserve">Preview scope</w:t>
      </w:r>
    </w:p>
    <w:p>
      <w:pPr>
        <w:pStyle w:val="ListParagraph"/>
        <w:numPr>
          <w:ilvl w:val="0"/>
          <w:numId w:val="2"/>
        </w:numPr>
        <w:spacing w:after="40"/>
      </w:pPr>
      <w:r>
        <w:rPr>
          <w:rFonts w:ascii="Arial" w:cs="Arial" w:eastAsia="Arial" w:hAnsi="Arial"/>
          <w:b/>
          <w:bCs/>
          <w:i w:val="false"/>
          <w:iCs w:val="false"/>
          <w:color w:val="1A1A1A"/>
          <w:sz w:val="22"/>
          <w:szCs w:val="22"/>
        </w:rPr>
        <w:t xml:space="preserve">At launch: </w:t>
      </w:r>
      <w:r>
        <w:rPr>
          <w:rFonts w:ascii="Arial" w:cs="Arial" w:eastAsia="Arial" w:hAnsi="Arial"/>
          <w:b w:val="false"/>
          <w:bCs w:val="false"/>
          <w:i w:val="false"/>
          <w:iCs w:val="false"/>
          <w:color w:val="1A1A1A"/>
          <w:sz w:val="22"/>
          <w:szCs w:val="22"/>
        </w:rPr>
        <w:t xml:space="preserve">CDC and SaaS source ingestion into Iceberg, the Adaptive Optimizer, and mirroring to BigQuery.</w:t>
      </w:r>
    </w:p>
    <w:p>
      <w:pPr>
        <w:pStyle w:val="ListParagraph"/>
        <w:numPr>
          <w:ilvl w:val="0"/>
          <w:numId w:val="2"/>
        </w:numPr>
        <w:spacing w:after="40"/>
      </w:pPr>
      <w:r>
        <w:rPr>
          <w:rFonts w:ascii="Arial" w:cs="Arial" w:eastAsia="Arial" w:hAnsi="Arial"/>
          <w:b/>
          <w:bCs/>
          <w:i w:val="false"/>
          <w:iCs w:val="false"/>
          <w:color w:val="1A1A1A"/>
          <w:sz w:val="22"/>
          <w:szCs w:val="22"/>
        </w:rPr>
        <w:t xml:space="preserve">Later in the preview: </w:t>
      </w:r>
      <w:r>
        <w:rPr>
          <w:rFonts w:ascii="Arial" w:cs="Arial" w:eastAsia="Arial" w:hAnsi="Arial"/>
          <w:b w:val="false"/>
          <w:bCs w:val="false"/>
          <w:i w:val="false"/>
          <w:iCs w:val="false"/>
          <w:color w:val="1A1A1A"/>
          <w:sz w:val="22"/>
          <w:szCs w:val="22"/>
        </w:rPr>
        <w:t xml:space="preserve">streaming sources (Kafka and GCS) and Qlik Replicate as a source.</w:t>
      </w:r>
    </w:p>
    <w:p>
      <w:pPr>
        <w:pStyle w:val="ListParagraph"/>
        <w:numPr>
          <w:ilvl w:val="0"/>
          <w:numId w:val="2"/>
        </w:numPr>
        <w:spacing w:after="40"/>
      </w:pPr>
      <w:r>
        <w:rPr>
          <w:rFonts w:ascii="Arial" w:cs="Arial" w:eastAsia="Arial" w:hAnsi="Arial"/>
          <w:b/>
          <w:bCs/>
          <w:i w:val="false"/>
          <w:iCs w:val="false"/>
          <w:color w:val="1A1A1A"/>
          <w:sz w:val="22"/>
          <w:szCs w:val="22"/>
        </w:rPr>
        <w:t xml:space="preserve">Not provisioned: </w:t>
      </w:r>
      <w:r>
        <w:rPr>
          <w:rFonts w:ascii="Arial" w:cs="Arial" w:eastAsia="Arial" w:hAnsi="Arial"/>
          <w:b w:val="false"/>
          <w:bCs w:val="false"/>
          <w:i w:val="false"/>
          <w:iCs w:val="false"/>
          <w:color w:val="1A1A1A"/>
          <w:sz w:val="22"/>
          <w:szCs w:val="22"/>
        </w:rPr>
        <w:t xml:space="preserve">any stream resource - the AWS Kinesis step has no counterpart in this release.</w:t>
      </w:r>
    </w:p>
    <w:p>
      <w:pPr>
        <w:spacing w:after="100" w:before="220"/>
      </w:pPr>
      <w:r>
        <w:rPr>
          <w:rFonts w:ascii="Arial" w:cs="Arial" w:eastAsia="Arial" w:hAnsi="Arial"/>
          <w:b/>
          <w:bCs/>
          <w:color w:val="194268"/>
          <w:sz w:val="26"/>
          <w:szCs w:val="26"/>
        </w:rPr>
        <w:t xml:space="preserve">Google Cloud commands</w:t>
      </w:r>
    </w:p>
    <w:p>
      <w:pPr>
        <w:shd w:fill="F2F4F7" w:val="clear"/>
        <w:spacing w:after="0" w:before="80"/>
        <w:ind w:left="240" w:right="240"/>
      </w:pPr>
      <w:r>
        <w:rPr>
          <w:rFonts w:ascii="Consolas" w:cs="Consolas" w:eastAsia="Consolas" w:hAnsi="Consolas"/>
          <w:color w:val="1A1A1A"/>
          <w:sz w:val="19"/>
          <w:szCs w:val="19"/>
        </w:rPr>
        <w:t xml:space="preserve">terraform -chdir=terraform/gcp init -reconfigure \</w:t>
      </w:r>
    </w:p>
    <w:p>
      <w:pPr>
        <w:shd w:fill="F2F4F7" w:val="clear"/>
        <w:spacing w:after="0" w:before="0"/>
        <w:ind w:left="240" w:right="240"/>
      </w:pPr>
      <w:r>
        <w:rPr>
          <w:rFonts w:ascii="Consolas" w:cs="Consolas" w:eastAsia="Consolas" w:hAnsi="Consolas"/>
          <w:color w:val="1A1A1A"/>
          <w:sz w:val="19"/>
          <w:szCs w:val="19"/>
        </w:rPr>
        <w:t xml:space="preserve">  -backend-config="bucket=&lt;TFSTATE_BUCKET&gt;" \</w:t>
      </w:r>
    </w:p>
    <w:p>
      <w:pPr>
        <w:shd w:fill="F2F4F7" w:val="clear"/>
        <w:spacing w:after="0" w:before="0"/>
        <w:ind w:left="240" w:right="240"/>
      </w:pPr>
      <w:r>
        <w:rPr>
          <w:rFonts w:ascii="Consolas" w:cs="Consolas" w:eastAsia="Consolas" w:hAnsi="Consolas"/>
          <w:color w:val="1A1A1A"/>
          <w:sz w:val="19"/>
          <w:szCs w:val="19"/>
        </w:rPr>
        <w:t xml:space="preserve">  -backend-config="prefix=qlik-lakehouse"</w:t>
      </w:r>
    </w:p>
    <w:p>
      <w:pPr>
        <w:shd w:fill="F2F4F7" w:val="clear"/>
        <w:spacing w:after="0" w:before="0"/>
        <w:ind w:left="240" w:right="240"/>
      </w:pPr>
      <w:r>
        <w:rPr>
          <w:rFonts w:ascii="Consolas" w:cs="Consolas" w:eastAsia="Consolas" w:hAnsi="Consolas"/>
          <w:color w:val="1A1A1A"/>
          <w:sz w:val="19"/>
          <w:szCs w:val="19"/>
        </w:rPr>
        <w:t xml:space="preserve"/>
      </w:r>
    </w:p>
    <w:p>
      <w:pPr>
        <w:shd w:fill="F2F4F7" w:val="clear"/>
        <w:spacing w:after="0" w:before="0"/>
        <w:ind w:left="240" w:right="240"/>
      </w:pPr>
      <w:r>
        <w:rPr>
          <w:rFonts w:ascii="Consolas" w:cs="Consolas" w:eastAsia="Consolas" w:hAnsi="Consolas"/>
          <w:color w:val="1A1A1A"/>
          <w:sz w:val="19"/>
          <w:szCs w:val="19"/>
        </w:rPr>
        <w:t xml:space="preserve">terraform -chdir=terraform/gcp plan -var-file=terraform.tfvars -out=tfplan</w:t>
      </w:r>
    </w:p>
    <w:p>
      <w:pPr>
        <w:shd w:fill="F2F4F7" w:val="clear"/>
        <w:spacing w:after="0" w:before="0"/>
        <w:ind w:left="240" w:right="240"/>
      </w:pPr>
      <w:r>
        <w:rPr>
          <w:rFonts w:ascii="Consolas" w:cs="Consolas" w:eastAsia="Consolas" w:hAnsi="Consolas"/>
          <w:color w:val="1A1A1A"/>
          <w:sz w:val="19"/>
          <w:szCs w:val="19"/>
        </w:rPr>
        <w:t xml:space="preserve">terraform -chdir=terraform/gcp apply tfplan</w:t>
      </w:r>
    </w:p>
    <w:p>
      <w:pPr>
        <w:shd w:fill="F2F4F7" w:val="clear"/>
        <w:spacing w:after="120" w:before="0"/>
        <w:ind w:left="240" w:right="240"/>
      </w:pPr>
      <w:r>
        <w:rPr>
          <w:rFonts w:ascii="Consolas" w:cs="Consolas" w:eastAsia="Consolas" w:hAnsi="Consolas"/>
          <w:color w:val="1A1A1A"/>
          <w:sz w:val="19"/>
          <w:szCs w:val="19"/>
        </w:rPr>
        <w:t xml:space="preserve">terraform -chdir=terraform/gcp output qtc_summary</w:t>
      </w:r>
    </w:p>
    <w:p>
      <w:pPr>
        <w:pageBreakBefore/>
        <w:spacing w:after="160" w:before="240"/>
      </w:pPr>
      <w:r>
        <w:rPr>
          <w:rFonts w:ascii="Arial" w:cs="Arial" w:eastAsia="Arial" w:hAnsi="Arial"/>
          <w:b/>
          <w:bCs/>
          <w:color w:val="194268"/>
          <w:sz w:val="32"/>
          <w:szCs w:val="32"/>
        </w:rPr>
        <w:t xml:space="preserve">9.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Symptom</w:t>
            </w:r>
          </w:p>
        </w:tc>
        <w:tc>
          <w:tcPr>
            <w:tcW w:type="dxa" w:w="666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Fix</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PowerShell blocks the GUI</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Use run_qlik_deploy_gui.bat (it self-elevates and passes -ExecutionPolicy Bypass)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 terraform 'not found' after install</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Open a fresh shell - PATH changes don't reach already-open windows. The wizard also probes known install paths after each install.</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CLI MSI fails silently on Windows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MSI install needs admin. Use the .bat launcher; it triggers UAC. The wizard now refuses without admin instead of failing silently.</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Latest-version lookup fails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Outbound HTTPS blocked. Wizard falls back to baked-in floor (TF 1.15.1); rerun from open network for newest</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python3 on Windows Git Bash prints Microsoft Store stub</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Bash wizard auto-detects python / py if python3 is the stub. Output should read 'Python 3.x.y  (python)'.</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STS auth fails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SSO: aws sso login --profile &lt;p&gt;. Static keys: confirm they're active</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init complains about backend</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State bucket must exist in the chosen region with s3:Get/Put/List rights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plan: 'account_sanity' precondition</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AWS creds don't match aws_account_id. Fix env vars or re-run wizard</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plan: 'data source not found'</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An AWS-CLI resource is missing - usually a DRY-RUN; do a Live run first</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apt/yum installs old AWS CLI v1</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Bash wizard now warns when v1 is about to be installed and requires explicit confirmation. Pick 'download' for v2.</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Tags missing on a resource</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Some IAM resource types don't accept tags. default_tags only apply to TF-managed objects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Failed to deploy cluster in AWS. The Service-Linked Role for this Auto Scaling group is not yet ready for use</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Fresh account: Qlik created AWSServiceRoleForAutoScaling and used it in the same moment. Confirm the role exists (and create AWSServiceRoleForEC2Spot if missing), then ⋯ &gt; Redeploy on the integration row. Status goes Failed -&gt; Connecting -&gt; Connected.</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Imported integration lands in Default_Data_Space</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The import JSON had a blank spaceId. Set both Space fields before Confirm, or fill the space ID in the wizard.</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Confirm stays disabled after import</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Usually a duplicate name ('Network integration name is already in use'), an AZ row without a subnet, or a VPC ID not starting with vpc-.</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Cluster deploy fails with access denied</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Attach the two inline policies from the form's Configuration guide links to the management role and the EC2 instance profile's role.</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gcloud not found after install</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The installer edits PATH for new processes. Re-open your shell, or let the GUI refresh PATH and re-run the tool check.</w:t>
            </w:r>
          </w:p>
        </w:tc>
      </w:tr>
      <w:tr>
        <w:trPr>
          <w:cantSplit/>
        </w:trP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plan: "Private Google Access is off"</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An OLH prerequisite, and the counterpart of the S3 gateway endpoint. Both wizards offer to enable it; or run gcloud compute networks subnets update &lt;name&gt; --region &lt;r&gt; --enable-private-ip-google-access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plan: could not find default credentials</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Application Default Credentials are separate from the gcloud login. Run gcloud auth application-default login.</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Bucket creation fails on CMEK</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The Cloud Storage service agent needs use of the key. The wizard grants it; if it could not, grant roles/cloudkms.cryptoKeyEncrypterDecrypter to the agent by hand.</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Workload Identity pool name rejected</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Google caps the pool ID at 32 characters. Shorten the initials or workload.</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Lakehouse cluster cannot be created</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Google Cloud is in Private Preview. Confirm your tenant is enrolled.</w:t>
            </w:r>
          </w:p>
        </w:tc>
      </w:tr>
    </w:tbl>
    <w:p>
      <w:pPr>
        <w:spacing w:after="100" w:before="220"/>
      </w:pPr>
      <w:r>
        <w:rPr>
          <w:rFonts w:ascii="Arial" w:cs="Arial" w:eastAsia="Arial" w:hAnsi="Arial"/>
          <w:b/>
          <w:bCs/>
          <w:color w:val="194268"/>
          <w:sz w:val="26"/>
          <w:szCs w:val="26"/>
        </w:rPr>
        <w:t xml:space="preserve">References</w:t>
      </w:r>
    </w:p>
    <w:p>
      <w:pPr>
        <w:pStyle w:val="ListParagraph"/>
        <w:numPr>
          <w:ilvl w:val="0"/>
          <w:numId w:val="2"/>
        </w:numPr>
        <w:spacing w:after="40"/>
      </w:pPr>
      <w:hyperlink w:history="1" r:id="rIdpnhj3rpjfmlkz7_znumjs">
        <w:r>
          <w:rPr>
            <w:rFonts w:ascii="Arial" w:cs="Arial" w:eastAsia="Arial" w:hAnsi="Arial"/>
            <w:color w:val="009845"/>
            <w:sz w:val="22"/>
            <w:szCs w:val="22"/>
            <w:u w:val="single"/>
          </w:rPr>
          <w:t xml:space="preserve">HashiCorp Terraform downloads</w:t>
        </w:r>
      </w:hyperlink>
    </w:p>
    <w:p>
      <w:pPr>
        <w:pStyle w:val="ListParagraph"/>
        <w:numPr>
          <w:ilvl w:val="0"/>
          <w:numId w:val="2"/>
        </w:numPr>
        <w:spacing w:after="40"/>
      </w:pPr>
      <w:hyperlink w:history="1" r:id="rIdn-ykkrb9pex5xcnkzfr67">
        <w:r>
          <w:rPr>
            <w:rFonts w:ascii="Arial" w:cs="Arial" w:eastAsia="Arial" w:hAnsi="Arial"/>
            <w:color w:val="009845"/>
            <w:sz w:val="22"/>
            <w:szCs w:val="22"/>
            <w:u w:val="single"/>
          </w:rPr>
          <w:t xml:space="preserve">AWS CLI v2 install guide</w:t>
        </w:r>
      </w:hyperlink>
    </w:p>
    <w:p>
      <w:pPr>
        <w:pStyle w:val="ListParagraph"/>
        <w:numPr>
          <w:ilvl w:val="0"/>
          <w:numId w:val="2"/>
        </w:numPr>
        <w:spacing w:after="40"/>
      </w:pPr>
      <w:hyperlink w:history="1" r:id="rIdy3j0b_q0jc4p4cvsqpjfm">
        <w:r>
          <w:rPr>
            <w:rFonts w:ascii="Arial" w:cs="Arial" w:eastAsia="Arial" w:hAnsi="Arial"/>
            <w:color w:val="009845"/>
            <w:sz w:val="22"/>
            <w:szCs w:val="22"/>
            <w:u w:val="single"/>
          </w:rPr>
          <w:t xml:space="preserve">AWS provider docs</w:t>
        </w:r>
      </w:hyperlink>
    </w:p>
    <w:p>
      <w:pPr>
        <w:pStyle w:val="ListParagraph"/>
        <w:numPr>
          <w:ilvl w:val="0"/>
          <w:numId w:val="2"/>
        </w:numPr>
        <w:spacing w:after="40"/>
      </w:pPr>
      <w:hyperlink w:history="1" r:id="rIdvkgotvi0xjjsk-ziybm4g">
        <w:r>
          <w:rPr>
            <w:rFonts w:ascii="Arial" w:cs="Arial" w:eastAsia="Arial" w:hAnsi="Arial"/>
            <w:color w:val="009845"/>
            <w:sz w:val="22"/>
            <w:szCs w:val="22"/>
            <w:u w:val="single"/>
          </w:rPr>
          <w:t xml:space="preserve">Project repository</w:t>
        </w:r>
      </w:hyperlink>
    </w:p>
    <w:sectPr w:rsidR="00945456" w:rsidRPr="007E4CE3" w:rsidSect="00294857">
      <w:headerReference w:type="even" r:id="rId15"/>
      <w:headerReference w:type="default" r:id="rId16"/>
      <w:footerReference w:type="even" r:id="rId17"/>
      <w:footerReference w:type="default" r:id="rId18"/>
      <w:headerReference w:type="first" r:id="rId19"/>
      <w:footerReference w:type="first" r:id="rId20"/>
      <w:pgSz w:w="12240" w:h="15840"/>
      <w:pgMar w:top="2124" w:right="1080" w:bottom="1440" w:left="1080" w:header="521" w:footer="720" w:gutter="0"/>
      <w:cols w:space="720"/>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Inter">
    <w:panose1 w:val="02000503000000020004"/>
    <w:charset w:val="00"/>
    <w:family w:val="auto"/>
    <w:pitch w:val="variable"/>
    <w:sig w:usb0="E00002FF" w:usb1="1200A1FF" w:usb2="00000001" w:usb3="00000000" w:csb0="0000019F" w:csb1="00000000"/>
  </w:font>
  <w:font w:name="Source Sans Pro">
    <w:panose1 w:val="020B0503030403020204"/>
    <w:charset w:val="00"/>
    <w:family w:val="swiss"/>
    <w:notTrueType/>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Source Sans Pro Light">
    <w:panose1 w:val="020B0403030403020204"/>
    <w:charset w:val="00"/>
    <w:family w:val="swiss"/>
    <w:notTrueType/>
    <w:pitch w:val="variable"/>
    <w:sig w:usb0="600002F7" w:usb1="02000001" w:usb2="00000000" w:usb3="00000000" w:csb0="0000019F" w:csb1="00000000"/>
  </w:font>
  <w:font w:name="Times New Roman (Body CS)">
    <w:altName w:val="Times New Roman"/>
    <w:panose1 w:val="020B0604020202020204"/>
    <w:charset w:val="00"/>
    <w:family w:val="roman"/>
    <w:pitch w:val="variable"/>
    <w:sig w:usb0="E0002AFF" w:usb1="C0007841" w:usb2="00000009" w:usb3="00000000" w:csb0="000001FF" w:csb1="00000000"/>
  </w:font>
  <w:font w:name="Calibri (Body)">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71557865"/>
      <w:docPartObj>
        <w:docPartGallery w:val="Page Numbers (Bottom of Page)"/>
        <w:docPartUnique/>
      </w:docPartObj>
    </w:sdtPr>
    <w:sdtContent>
      <w:p w14:paraId="14D044BB" w14:textId="77777777" w:rsidR="00003DD4" w:rsidRDefault="00003DD4" w:rsidP="001F12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4E97EA5" w14:textId="77777777" w:rsidR="00003DD4" w:rsidRDefault="00003DD4" w:rsidP="00003DD4">
    <w:pPr>
      <w:pStyle w:val="Footer"/>
      <w:ind w:right="360"/>
    </w:pPr>
  </w:p>
  <w:p w14:paraId="28077E7E" w14:textId="77777777" w:rsidR="00000000" w:rsidRDefault="0000000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sz w:val="16"/>
        <w:szCs w:val="16"/>
      </w:rPr>
      <w:id w:val="-789352462"/>
      <w:docPartObj>
        <w:docPartGallery w:val="Page Numbers (Bottom of Page)"/>
        <w:docPartUnique/>
      </w:docPartObj>
    </w:sdtPr>
    <w:sdtContent>
      <w:p w14:paraId="587C1C2B" w14:textId="77777777" w:rsidR="00003DD4" w:rsidRPr="00437EFB" w:rsidRDefault="00003DD4" w:rsidP="001F12DF">
        <w:pPr>
          <w:pStyle w:val="Footer"/>
          <w:framePr w:wrap="none" w:vAnchor="text" w:hAnchor="margin" w:xAlign="right" w:y="1"/>
          <w:rPr>
            <w:rStyle w:val="PageNumber"/>
            <w:sz w:val="16"/>
            <w:szCs w:val="16"/>
          </w:rPr>
        </w:pPr>
        <w:r w:rsidRPr="00437EFB">
          <w:rPr>
            <w:rStyle w:val="PageNumber"/>
            <w:sz w:val="16"/>
            <w:szCs w:val="16"/>
          </w:rPr>
          <w:fldChar w:fldCharType="begin"/>
        </w:r>
        <w:r w:rsidRPr="00437EFB">
          <w:rPr>
            <w:rStyle w:val="PageNumber"/>
            <w:sz w:val="16"/>
            <w:szCs w:val="16"/>
          </w:rPr>
          <w:instrText xml:space="preserve"> PAGE </w:instrText>
        </w:r>
        <w:r w:rsidRPr="00437EFB">
          <w:rPr>
            <w:rStyle w:val="PageNumber"/>
            <w:sz w:val="16"/>
            <w:szCs w:val="16"/>
          </w:rPr>
          <w:fldChar w:fldCharType="separate"/>
        </w:r>
        <w:r w:rsidRPr="00437EFB">
          <w:rPr>
            <w:rStyle w:val="PageNumber"/>
            <w:noProof/>
            <w:sz w:val="16"/>
            <w:szCs w:val="16"/>
          </w:rPr>
          <w:t>2</w:t>
        </w:r>
        <w:r w:rsidRPr="00437EFB">
          <w:rPr>
            <w:rStyle w:val="PageNumber"/>
            <w:sz w:val="16"/>
            <w:szCs w:val="16"/>
          </w:rPr>
          <w:fldChar w:fldCharType="end"/>
        </w:r>
      </w:p>
    </w:sdtContent>
  </w:sdt>
  <w:p w14:paraId="2C51754A" w14:textId="77777777" w:rsidR="00003DD4" w:rsidRPr="00437EFB" w:rsidRDefault="00437EFB" w:rsidP="00003DD4">
    <w:pPr>
      <w:pStyle w:val="Footer"/>
      <w:ind w:right="360"/>
      <w:rPr>
        <w:color w:val="545659" w:themeColor="text2"/>
        <w:sz w:val="18"/>
        <w:szCs w:val="18"/>
      </w:rPr>
    </w:pPr>
    <w:r w:rsidRPr="00437EFB">
      <w:rPr>
        <w:rFonts w:cs="Times New Roman (Body CS)"/>
        <w:color w:val="545659" w:themeColor="text2"/>
        <w:position w:val="6"/>
        <w:sz w:val="18"/>
        <w:szCs w:val="16"/>
      </w:rPr>
      <w:t xml:space="preserve">Footer name should be name of </w:t>
    </w:r>
    <w:proofErr w:type="gramStart"/>
    <w:r w:rsidR="008B5BBA">
      <w:rPr>
        <w:rFonts w:cs="Times New Roman (Body CS)"/>
        <w:color w:val="545659" w:themeColor="text2"/>
        <w:position w:val="6"/>
        <w:sz w:val="18"/>
        <w:szCs w:val="16"/>
      </w:rPr>
      <w:t>document</w:t>
    </w:r>
    <w:proofErr w:type="gramEnd"/>
  </w:p>
  <w:p w14:paraId="02CE484B" w14:textId="77777777" w:rsidR="00000000" w:rsidRDefault="000000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84C62" w14:textId="77777777" w:rsidR="001D12C4" w:rsidRDefault="001D12C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078D2" w14:textId="77777777" w:rsidR="001D12C4" w:rsidRDefault="001D12C4">
    <w:pPr>
      <w:pStyle w:val="Header"/>
    </w:pPr>
  </w:p>
  <w:p w14:paraId="648FDA79" w14:textId="77777777" w:rsidR="00000000" w:rsidRDefault="0000000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29CDB" w14:textId="77777777" w:rsidR="0063694C" w:rsidRDefault="0063694C">
    <w:pPr>
      <w:pStyle w:val="Header"/>
    </w:pPr>
    <w:r>
      <w:rPr>
        <w:rFonts w:cs="Times New Roman (Body CS)"/>
        <w:b/>
        <w:bCs/>
        <w:noProof/>
        <w:spacing w:val="20"/>
      </w:rPr>
      <w:drawing>
        <wp:anchor distT="0" distB="0" distL="114300" distR="114300" simplePos="0" relativeHeight="251661312" behindDoc="1" locked="0" layoutInCell="1" allowOverlap="1" wp14:anchorId="217F8F82" wp14:editId="35B1370F">
          <wp:simplePos x="0" y="0"/>
          <wp:positionH relativeFrom="column">
            <wp:posOffset>-714375</wp:posOffset>
          </wp:positionH>
          <wp:positionV relativeFrom="paragraph">
            <wp:posOffset>-471170</wp:posOffset>
          </wp:positionV>
          <wp:extent cx="6784340" cy="914400"/>
          <wp:effectExtent l="0" t="0" r="0" b="0"/>
          <wp:wrapNone/>
          <wp:docPr id="389640382" name="Picture 389640382" descr="A black background with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54575" name="Picture 1" descr="A black background with green lines&#10;&#10;Description automatically generated"/>
                  <pic:cNvPicPr/>
                </pic:nvPicPr>
                <pic:blipFill rotWithShape="1">
                  <a:blip r:embed="rId1" cstate="print">
                    <a:extLst>
                      <a:ext uri="{28A0092B-C50C-407E-A947-70E740481C1C}">
                        <a14:useLocalDpi xmlns:a14="http://schemas.microsoft.com/office/drawing/2010/main" val="0"/>
                      </a:ext>
                    </a:extLst>
                  </a:blip>
                  <a:srcRect r="31992" b="83705"/>
                  <a:stretch/>
                </pic:blipFill>
                <pic:spPr bwMode="auto">
                  <a:xfrm>
                    <a:off x="0" y="0"/>
                    <a:ext cx="6784340" cy="91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3C59D8" w14:textId="77777777" w:rsidR="00000000" w:rsidRDefault="0000000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D77B2" w14:textId="77777777" w:rsidR="00E057C6" w:rsidRDefault="00E057C6" w:rsidP="00E057C6">
    <w:pPr>
      <w:pStyle w:val="Header"/>
      <w:jc w:val="right"/>
    </w:pPr>
    <w:r w:rsidRPr="00945456">
      <w:rPr>
        <w:rFonts w:cs="Times New Roman (Body CS)"/>
        <w:noProof/>
        <w:sz w:val="44"/>
        <w:szCs w:val="44"/>
      </w:rPr>
      <w:drawing>
        <wp:anchor distT="0" distB="0" distL="114300" distR="114300" simplePos="0" relativeHeight="251663360" behindDoc="0" locked="0" layoutInCell="1" allowOverlap="1" wp14:anchorId="6A9A0334" wp14:editId="181B33B6">
          <wp:simplePos x="0" y="0"/>
          <wp:positionH relativeFrom="column">
            <wp:posOffset>-105629</wp:posOffset>
          </wp:positionH>
          <wp:positionV relativeFrom="paragraph">
            <wp:posOffset>-15525</wp:posOffset>
          </wp:positionV>
          <wp:extent cx="1397000" cy="930275"/>
          <wp:effectExtent l="0" t="0" r="0" b="0"/>
          <wp:wrapNone/>
          <wp:docPr id="1512875176" name="Graphic 1512875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4174" name="Graphic 1886294174"/>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l="8286" r="8286"/>
                  <a:stretch>
                    <a:fillRect/>
                  </a:stretch>
                </pic:blipFill>
                <pic:spPr bwMode="auto">
                  <a:xfrm>
                    <a:off x="0" y="0"/>
                    <a:ext cx="1397000" cy="930275"/>
                  </a:xfrm>
                  <a:prstGeom prst="rect">
                    <a:avLst/>
                  </a:prstGeom>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B5AB06" w14:textId="77777777" w:rsidR="00E057C6" w:rsidRDefault="00E057C6" w:rsidP="00E057C6">
    <w:pPr>
      <w:pStyle w:val="Header"/>
      <w:jc w:val="right"/>
    </w:pPr>
  </w:p>
  <w:p w14:paraId="0F6EEA56" w14:textId="77777777" w:rsidR="00E057C6" w:rsidRPr="00E057C6" w:rsidRDefault="00E057C6" w:rsidP="00E057C6">
    <w:pPr>
      <w:pStyle w:val="Header"/>
      <w:jc w:val="right"/>
      <w:rPr>
        <w:sz w:val="28"/>
        <w:szCs w:val="28"/>
      </w:rPr>
    </w:pPr>
    <w:r w:rsidRPr="00E057C6">
      <w:rPr>
        <w:sz w:val="28"/>
        <w:szCs w:val="28"/>
      </w:rPr>
      <w:t xml:space="preserve">Optional </w:t>
    </w:r>
    <w:r>
      <w:rPr>
        <w:sz w:val="28"/>
        <w:szCs w:val="28"/>
      </w:rPr>
      <w:t>descriptor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lvl w:ilvl="1" w15:tentative="1">
      <w:start w:val="1"/>
      <w:numFmt w:val="bullet"/>
      <w:lvlText w:val="◦"/>
      <w:lvlJc w:val="left"/>
      <w:pPr>
        <w:ind w:left="12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2C4"/>
    <w:rsid w:val="00003DD4"/>
    <w:rsid w:val="000519F6"/>
    <w:rsid w:val="00091377"/>
    <w:rsid w:val="00092C42"/>
    <w:rsid w:val="000C317D"/>
    <w:rsid w:val="000E6996"/>
    <w:rsid w:val="00107FAA"/>
    <w:rsid w:val="001C20B2"/>
    <w:rsid w:val="001D12C4"/>
    <w:rsid w:val="00200883"/>
    <w:rsid w:val="00284739"/>
    <w:rsid w:val="00294857"/>
    <w:rsid w:val="00301A88"/>
    <w:rsid w:val="003415C0"/>
    <w:rsid w:val="003A17EB"/>
    <w:rsid w:val="003C58A8"/>
    <w:rsid w:val="003F4996"/>
    <w:rsid w:val="00412866"/>
    <w:rsid w:val="004135D2"/>
    <w:rsid w:val="00423383"/>
    <w:rsid w:val="00431FC1"/>
    <w:rsid w:val="00437EFB"/>
    <w:rsid w:val="0047387D"/>
    <w:rsid w:val="00480B9D"/>
    <w:rsid w:val="00497C52"/>
    <w:rsid w:val="0050468C"/>
    <w:rsid w:val="00543660"/>
    <w:rsid w:val="0063694C"/>
    <w:rsid w:val="006E284F"/>
    <w:rsid w:val="00703498"/>
    <w:rsid w:val="007D2579"/>
    <w:rsid w:val="007E4CE3"/>
    <w:rsid w:val="007F3632"/>
    <w:rsid w:val="00883459"/>
    <w:rsid w:val="008B5BBA"/>
    <w:rsid w:val="008B6327"/>
    <w:rsid w:val="008F6995"/>
    <w:rsid w:val="00945456"/>
    <w:rsid w:val="00961FCD"/>
    <w:rsid w:val="009635EA"/>
    <w:rsid w:val="009D4396"/>
    <w:rsid w:val="00A20E76"/>
    <w:rsid w:val="00A72D33"/>
    <w:rsid w:val="00A75462"/>
    <w:rsid w:val="00B16E16"/>
    <w:rsid w:val="00B41EC6"/>
    <w:rsid w:val="00B45896"/>
    <w:rsid w:val="00B576F1"/>
    <w:rsid w:val="00C2514F"/>
    <w:rsid w:val="00CB0675"/>
    <w:rsid w:val="00CF335B"/>
    <w:rsid w:val="00D15B13"/>
    <w:rsid w:val="00D905A4"/>
    <w:rsid w:val="00DF103C"/>
    <w:rsid w:val="00E057C6"/>
    <w:rsid w:val="00E52BED"/>
    <w:rsid w:val="00E702B7"/>
    <w:rsid w:val="00E823C2"/>
    <w:rsid w:val="00ED1A8A"/>
    <w:rsid w:val="00EE3526"/>
    <w:rsid w:val="00EE3CCC"/>
    <w:rsid w:val="00F2097A"/>
    <w:rsid w:val="00F6293A"/>
    <w:rsid w:val="00FD5160"/>
    <w:rsid w:val="00FD71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002D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pnhj3rpjfmlkz7_znumjs" Type="http://schemas.openxmlformats.org/officeDocument/2006/relationships/hyperlink" Target="https://developer.hashicorp.com/terraform/downloads" TargetMode="External" /><Relationship Id="rIdn-ykkrb9pex5xcnkzfr67" Type="http://schemas.openxmlformats.org/officeDocument/2006/relationships/hyperlink" Target="https://docs.aws.amazon.com/cli/latest/userguide/getting-started-install.html" TargetMode="External" /><Relationship Id="rIdy3j0b_q0jc4p4cvsqpjfm" Type="http://schemas.openxmlformats.org/officeDocument/2006/relationships/hyperlink" Target="https://registry.terraform.io/providers/hashicorp/aws/latest/docs" TargetMode="External" /><Relationship Id="rIdvkgotvi0xjjsk-ziybm4g" Type="http://schemas.openxmlformats.org/officeDocument/2006/relationships/hyperlink" Target="https://github.com/robertschoenfeldqlik/OLH_Terra_Utility" TargetMode="External" /><Relationship Id="rId13" Type="http://schemas.openxmlformats.org/officeDocument/2006/relationships/fontTable" Target="fontTable.xml" /><Relationship Id="rId8" Type="http://schemas.openxmlformats.org/officeDocument/2006/relationships/image" Target="media/image1.png" /><Relationship Id="rId18" Type="http://schemas.openxmlformats.org/officeDocument/2006/relationships/footer" Target="footer2.xml" /><Relationship Id="rId12" Type="http://schemas.openxmlformats.org/officeDocument/2006/relationships/image" Target="media/image4.png" /><Relationship Id="rId17" Type="http://schemas.openxmlformats.org/officeDocument/2006/relationships/footer" Target="footer1.xml" /><Relationship Id="rId16" Type="http://schemas.openxmlformats.org/officeDocument/2006/relationships/header" Target="header2.xml" /><Relationship Id="rId20" Type="http://schemas.openxmlformats.org/officeDocument/2006/relationships/footer" Target="footer3.xml" /><Relationship Id="rId11" Type="http://schemas.openxmlformats.org/officeDocument/2006/relationships/image" Target="media/image3.svg" /><Relationship Id="rId15" Type="http://schemas.openxmlformats.org/officeDocument/2006/relationships/header" Target="header1.xml" /><Relationship Id="rId10" Type="http://schemas.openxmlformats.org/officeDocument/2006/relationships/image" Target="media/image2.png" /><Relationship Id="rId19" Type="http://schemas.openxmlformats.org/officeDocument/2006/relationships/header" Target="header3.xml" /><Relationship Id="rId14" Type="http://schemas.openxmlformats.org/officeDocument/2006/relationships/image" Target="media/image5.png" /><Relationship Id="rId21" Type="http://schemas.openxmlformats.org/officeDocument/2006/relationships/theme" Target="theme/theme1.xml" /><Relationship Id="rId22" Type="http://schemas.openxmlformats.org/officeDocument/2006/relationships/webSettings" Target="webSetting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Qlik Colors 2024">
      <a:dk1>
        <a:srgbClr val="454659"/>
      </a:dk1>
      <a:lt1>
        <a:srgbClr val="FFFFFF"/>
      </a:lt1>
      <a:dk2>
        <a:srgbClr val="545659"/>
      </a:dk2>
      <a:lt2>
        <a:srgbClr val="F6F7F8"/>
      </a:lt2>
      <a:accent1>
        <a:srgbClr val="009845"/>
      </a:accent1>
      <a:accent2>
        <a:srgbClr val="10CFC9"/>
      </a:accent2>
      <a:accent3>
        <a:srgbClr val="19416C"/>
      </a:accent3>
      <a:accent4>
        <a:srgbClr val="006580"/>
      </a:accent4>
      <a:accent5>
        <a:srgbClr val="4CB393"/>
      </a:accent5>
      <a:accent6>
        <a:srgbClr val="93579C"/>
      </a:accent6>
      <a:hlink>
        <a:srgbClr val="009845"/>
      </a:hlink>
      <a:folHlink>
        <a:srgbClr val="0065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Qlik Open Lakehouse - AWS Deployment Instructions</dc:title>
  <dc:creator>Qlik OLH Deployment</dc:creator>
  <cp:lastModifiedBy>Un-named</cp:lastModifiedBy>
  <cp:revision>1</cp:revision>
  <dcterms:created xsi:type="dcterms:W3CDTF">2026-05-11T19:03:18.010Z</dcterms:created>
  <dcterms:modified xsi:type="dcterms:W3CDTF">2026-05-11T19:03:18.011Z</dcterms:modified>
</cp:coreProperties>
</file>

<file path=docProps/custom.xml><?xml version="1.0" encoding="utf-8"?>
<Properties xmlns="http://schemas.openxmlformats.org/officeDocument/2006/custom-properties" xmlns:vt="http://schemas.openxmlformats.org/officeDocument/2006/docPropsVTypes"/>
</file>