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Bdr>
          <w:bottom w:val="single" w:color="0D7C8F" w:sz="2" w:space="4"/>
        </w:pBdr>
        <w:spacing w:after="160" w:before="360"/>
      </w:pPr>
      <w:r>
        <w:rPr>
          <w:rFonts w:ascii="Calibri" w:cs="Calibri" w:eastAsia="Calibri" w:hAnsi="Calibri"/>
          <w:b/>
          <w:bCs/>
          <w:color w:val="1B2A4A"/>
          <w:sz w:val="30"/>
          <w:szCs w:val="30"/>
        </w:rPr>
        <w:t xml:space="preserve">INC-2025-04872: Rotterdam DC — Silent WMS-SAP Pipeline Failure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30%"/>
            <w:shd w:color="1B2A4A" w:val="solid"/>
            <w:tcMar>
              <w:top w:type="dxa" w:w="40"/>
              <w:left w:type="dxa" w:w="100"/>
              <w:bottom w:type="dxa" w:w="40"/>
              <w:right w:type="dxa" w:w="100"/>
            </w:tcMar>
          </w:tcPr>
          <w:p>
            <w:pPr>
              <w:spacing w:after="0"/>
            </w:pPr>
            <w:r>
              <w:rPr>
                <w:rFonts w:ascii="Calibri" w:cs="Calibri" w:eastAsia="Calibri" w:hAnsi="Calibri"/>
                <w:b/>
                <w:bCs/>
                <w:color w:val="FFFFFF"/>
                <w:sz w:val="20"/>
                <w:szCs w:val="20"/>
              </w:rPr>
              <w:t xml:space="preserve">Incident ID</w:t>
            </w:r>
          </w:p>
        </w:tc>
        <w:tc>
          <w:tcPr>
            <w:tcW w:type="pct" w:w="70%"/>
            <w:shd w:color="F2F4F7" w:val="solid"/>
            <w:tcMar>
              <w:top w:type="dxa" w:w="40"/>
              <w:left w:type="dxa" w:w="100"/>
              <w:bottom w:type="dxa" w:w="40"/>
              <w:right w:type="dxa" w:w="100"/>
            </w:tcMar>
          </w:tcPr>
          <w:p>
            <w:pPr>
              <w:spacing w:after="0"/>
            </w:pPr>
            <w:r>
              <w:rPr>
                <w:rFonts w:ascii="Calibri" w:cs="Calibri" w:eastAsia="Calibri" w:hAnsi="Calibri"/>
                <w:color w:val="1F2937"/>
                <w:sz w:val="20"/>
                <w:szCs w:val="20"/>
              </w:rPr>
              <w:t xml:space="preserve">INC-2025-04872</w:t>
            </w:r>
          </w:p>
        </w:tc>
      </w:tr>
      <w:tr>
        <w:tc>
          <w:tcPr>
            <w:tcW w:type="pct" w:w="30%"/>
            <w:shd w:color="1B2A4A" w:val="solid"/>
            <w:tcMar>
              <w:top w:type="dxa" w:w="40"/>
              <w:left w:type="dxa" w:w="100"/>
              <w:bottom w:type="dxa" w:w="40"/>
              <w:right w:type="dxa" w:w="100"/>
            </w:tcMar>
          </w:tcPr>
          <w:p>
            <w:pPr>
              <w:spacing w:after="0"/>
            </w:pPr>
            <w:r>
              <w:rPr>
                <w:rFonts w:ascii="Calibri" w:cs="Calibri" w:eastAsia="Calibri" w:hAnsi="Calibri"/>
                <w:b/>
                <w:bCs/>
                <w:color w:val="FFFFFF"/>
                <w:sz w:val="20"/>
                <w:szCs w:val="20"/>
              </w:rPr>
              <w:t xml:space="preserve">Severity</w:t>
            </w:r>
          </w:p>
        </w:tc>
        <w:tc>
          <w:tcPr>
            <w:tcW w:type="pct" w:w="70%"/>
            <w:shd w:color="F2F4F7" w:val="solid"/>
            <w:tcMar>
              <w:top w:type="dxa" w:w="40"/>
              <w:left w:type="dxa" w:w="100"/>
              <w:bottom w:type="dxa" w:w="40"/>
              <w:right w:type="dxa" w:w="100"/>
            </w:tcMar>
          </w:tcPr>
          <w:p>
            <w:pPr>
              <w:spacing w:after="0"/>
            </w:pPr>
            <w:r>
              <w:rPr>
                <w:rFonts w:ascii="Calibri" w:cs="Calibri" w:eastAsia="Calibri" w:hAnsi="Calibri"/>
                <w:color w:val="1F2937"/>
                <w:sz w:val="20"/>
                <w:szCs w:val="20"/>
              </w:rPr>
              <w:t xml:space="preserve">P1 — Critical</w:t>
            </w:r>
          </w:p>
        </w:tc>
      </w:tr>
      <w:tr>
        <w:tc>
          <w:tcPr>
            <w:tcW w:type="pct" w:w="30%"/>
            <w:shd w:color="1B2A4A" w:val="solid"/>
            <w:tcMar>
              <w:top w:type="dxa" w:w="40"/>
              <w:left w:type="dxa" w:w="100"/>
              <w:bottom w:type="dxa" w:w="40"/>
              <w:right w:type="dxa" w:w="100"/>
            </w:tcMar>
          </w:tcPr>
          <w:p>
            <w:pPr>
              <w:spacing w:after="0"/>
            </w:pPr>
            <w:r>
              <w:rPr>
                <w:rFonts w:ascii="Calibri" w:cs="Calibri" w:eastAsia="Calibri" w:hAnsi="Calibri"/>
                <w:b/>
                <w:bCs/>
                <w:color w:val="FFFFFF"/>
                <w:sz w:val="20"/>
                <w:szCs w:val="20"/>
              </w:rPr>
              <w:t xml:space="preserve">Date Detected</w:t>
            </w:r>
          </w:p>
        </w:tc>
        <w:tc>
          <w:tcPr>
            <w:tcW w:type="pct" w:w="70%"/>
            <w:shd w:color="F2F4F7" w:val="solid"/>
            <w:tcMar>
              <w:top w:type="dxa" w:w="40"/>
              <w:left w:type="dxa" w:w="100"/>
              <w:bottom w:type="dxa" w:w="40"/>
              <w:right w:type="dxa" w:w="100"/>
            </w:tcMar>
          </w:tcPr>
          <w:p>
            <w:pPr>
              <w:spacing w:after="0"/>
            </w:pPr>
            <w:r>
              <w:rPr>
                <w:rFonts w:ascii="Calibri" w:cs="Calibri" w:eastAsia="Calibri" w:hAnsi="Calibri"/>
                <w:color w:val="1F2937"/>
                <w:sz w:val="20"/>
                <w:szCs w:val="20"/>
              </w:rPr>
              <w:t xml:space="preserve">03 September 2025</w:t>
            </w:r>
          </w:p>
        </w:tc>
      </w:tr>
      <w:tr>
        <w:tc>
          <w:tcPr>
            <w:tcW w:type="pct" w:w="30%"/>
            <w:shd w:color="1B2A4A" w:val="solid"/>
            <w:tcMar>
              <w:top w:type="dxa" w:w="40"/>
              <w:left w:type="dxa" w:w="100"/>
              <w:bottom w:type="dxa" w:w="40"/>
              <w:right w:type="dxa" w:w="100"/>
            </w:tcMar>
          </w:tcPr>
          <w:p>
            <w:pPr>
              <w:spacing w:after="0"/>
            </w:pPr>
            <w:r>
              <w:rPr>
                <w:rFonts w:ascii="Calibri" w:cs="Calibri" w:eastAsia="Calibri" w:hAnsi="Calibri"/>
                <w:b/>
                <w:bCs/>
                <w:color w:val="FFFFFF"/>
                <w:sz w:val="20"/>
                <w:szCs w:val="20"/>
              </w:rPr>
              <w:t xml:space="preserve">Date Resolved</w:t>
            </w:r>
          </w:p>
        </w:tc>
        <w:tc>
          <w:tcPr>
            <w:tcW w:type="pct" w:w="70%"/>
            <w:shd w:color="F2F4F7" w:val="solid"/>
            <w:tcMar>
              <w:top w:type="dxa" w:w="40"/>
              <w:left w:type="dxa" w:w="100"/>
              <w:bottom w:type="dxa" w:w="40"/>
              <w:right w:type="dxa" w:w="100"/>
            </w:tcMar>
          </w:tcPr>
          <w:p>
            <w:pPr>
              <w:spacing w:after="0"/>
            </w:pPr>
            <w:r>
              <w:rPr>
                <w:rFonts w:ascii="Calibri" w:cs="Calibri" w:eastAsia="Calibri" w:hAnsi="Calibri"/>
                <w:color w:val="1F2937"/>
                <w:sz w:val="20"/>
                <w:szCs w:val="20"/>
              </w:rPr>
              <w:t xml:space="preserve">04 September 2025</w:t>
            </w:r>
          </w:p>
        </w:tc>
      </w:tr>
      <w:tr>
        <w:tc>
          <w:tcPr>
            <w:tcW w:type="pct" w:w="30%"/>
            <w:shd w:color="1B2A4A" w:val="solid"/>
            <w:tcMar>
              <w:top w:type="dxa" w:w="40"/>
              <w:left w:type="dxa" w:w="100"/>
              <w:bottom w:type="dxa" w:w="40"/>
              <w:right w:type="dxa" w:w="100"/>
            </w:tcMar>
          </w:tcPr>
          <w:p>
            <w:pPr>
              <w:spacing w:after="0"/>
            </w:pPr>
            <w:r>
              <w:rPr>
                <w:rFonts w:ascii="Calibri" w:cs="Calibri" w:eastAsia="Calibri" w:hAnsi="Calibri"/>
                <w:b/>
                <w:bCs/>
                <w:color w:val="FFFFFF"/>
                <w:sz w:val="20"/>
                <w:szCs w:val="20"/>
              </w:rPr>
              <w:t xml:space="preserve">Duration of Silent Failure</w:t>
            </w:r>
          </w:p>
        </w:tc>
        <w:tc>
          <w:tcPr>
            <w:tcW w:type="pct" w:w="70%"/>
            <w:shd w:color="F2F4F7" w:val="solid"/>
            <w:tcMar>
              <w:top w:type="dxa" w:w="40"/>
              <w:left w:type="dxa" w:w="100"/>
              <w:bottom w:type="dxa" w:w="40"/>
              <w:right w:type="dxa" w:w="100"/>
            </w:tcMar>
          </w:tcPr>
          <w:p>
            <w:pPr>
              <w:spacing w:after="0"/>
            </w:pPr>
            <w:r>
              <w:rPr>
                <w:rFonts w:ascii="Calibri" w:cs="Calibri" w:eastAsia="Calibri" w:hAnsi="Calibri"/>
                <w:color w:val="1F2937"/>
                <w:sz w:val="20"/>
                <w:szCs w:val="20"/>
              </w:rPr>
              <w:t xml:space="preserve">72+ hours (estimated start: 31 August 2025)</w:t>
            </w:r>
          </w:p>
        </w:tc>
      </w:tr>
      <w:tr>
        <w:tc>
          <w:tcPr>
            <w:tcW w:type="pct" w:w="30%"/>
            <w:shd w:color="1B2A4A" w:val="solid"/>
            <w:tcMar>
              <w:top w:type="dxa" w:w="40"/>
              <w:left w:type="dxa" w:w="100"/>
              <w:bottom w:type="dxa" w:w="40"/>
              <w:right w:type="dxa" w:w="100"/>
            </w:tcMar>
          </w:tcPr>
          <w:p>
            <w:pPr>
              <w:spacing w:after="0"/>
            </w:pPr>
            <w:r>
              <w:rPr>
                <w:rFonts w:ascii="Calibri" w:cs="Calibri" w:eastAsia="Calibri" w:hAnsi="Calibri"/>
                <w:b/>
                <w:bCs/>
                <w:color w:val="FFFFFF"/>
                <w:sz w:val="20"/>
                <w:szCs w:val="20"/>
              </w:rPr>
              <w:t xml:space="preserve">Detection Method</w:t>
            </w:r>
          </w:p>
        </w:tc>
        <w:tc>
          <w:tcPr>
            <w:tcW w:type="pct" w:w="70%"/>
            <w:shd w:color="F2F4F7" w:val="solid"/>
            <w:tcMar>
              <w:top w:type="dxa" w:w="40"/>
              <w:left w:type="dxa" w:w="100"/>
              <w:bottom w:type="dxa" w:w="40"/>
              <w:right w:type="dxa" w:w="100"/>
            </w:tcMar>
          </w:tcPr>
          <w:p>
            <w:pPr>
              <w:spacing w:after="0"/>
            </w:pPr>
            <w:r>
              <w:rPr>
                <w:rFonts w:ascii="Calibri" w:cs="Calibri" w:eastAsia="Calibri" w:hAnsi="Calibri"/>
                <w:color w:val="1F2937"/>
                <w:sz w:val="20"/>
                <w:szCs w:val="20"/>
              </w:rPr>
              <w:t xml:space="preserve">Manual — warehouse supervisor noticed discrepancy during daily check</w:t>
            </w:r>
          </w:p>
        </w:tc>
      </w:tr>
      <w:tr>
        <w:tc>
          <w:tcPr>
            <w:tcW w:type="pct" w:w="30%"/>
            <w:shd w:color="1B2A4A" w:val="solid"/>
            <w:tcMar>
              <w:top w:type="dxa" w:w="40"/>
              <w:left w:type="dxa" w:w="100"/>
              <w:bottom w:type="dxa" w:w="40"/>
              <w:right w:type="dxa" w:w="100"/>
            </w:tcMar>
          </w:tcPr>
          <w:p>
            <w:pPr>
              <w:spacing w:after="0"/>
            </w:pPr>
            <w:r>
              <w:rPr>
                <w:rFonts w:ascii="Calibri" w:cs="Calibri" w:eastAsia="Calibri" w:hAnsi="Calibri"/>
                <w:b/>
                <w:bCs/>
                <w:color w:val="FFFFFF"/>
                <w:sz w:val="20"/>
                <w:szCs w:val="20"/>
              </w:rPr>
              <w:t xml:space="preserve">Affected DC</w:t>
            </w:r>
          </w:p>
        </w:tc>
        <w:tc>
          <w:tcPr>
            <w:tcW w:type="pct" w:w="70%"/>
            <w:shd w:color="F2F4F7" w:val="solid"/>
            <w:tcMar>
              <w:top w:type="dxa" w:w="40"/>
              <w:left w:type="dxa" w:w="100"/>
              <w:bottom w:type="dxa" w:w="40"/>
              <w:right w:type="dxa" w:w="100"/>
            </w:tcMar>
          </w:tcPr>
          <w:p>
            <w:pPr>
              <w:spacing w:after="0"/>
            </w:pPr>
            <w:r>
              <w:rPr>
                <w:rFonts w:ascii="Calibri" w:cs="Calibri" w:eastAsia="Calibri" w:hAnsi="Calibri"/>
                <w:color w:val="1F2937"/>
                <w:sz w:val="20"/>
                <w:szCs w:val="20"/>
              </w:rPr>
              <w:t xml:space="preserve">Rotterdam DC, Europaweg 120, 3199 LD Rotterdam, NL</w:t>
            </w:r>
          </w:p>
        </w:tc>
      </w:tr>
      <w:tr>
        <w:tc>
          <w:tcPr>
            <w:tcW w:type="pct" w:w="30%"/>
            <w:shd w:color="1B2A4A" w:val="solid"/>
            <w:tcMar>
              <w:top w:type="dxa" w:w="40"/>
              <w:left w:type="dxa" w:w="100"/>
              <w:bottom w:type="dxa" w:w="40"/>
              <w:right w:type="dxa" w:w="100"/>
            </w:tcMar>
          </w:tcPr>
          <w:p>
            <w:pPr>
              <w:spacing w:after="0"/>
            </w:pPr>
            <w:r>
              <w:rPr>
                <w:rFonts w:ascii="Calibri" w:cs="Calibri" w:eastAsia="Calibri" w:hAnsi="Calibri"/>
                <w:b/>
                <w:bCs/>
                <w:color w:val="FFFFFF"/>
                <w:sz w:val="20"/>
                <w:szCs w:val="20"/>
              </w:rPr>
              <w:t xml:space="preserve">Systems Affected</w:t>
            </w:r>
          </w:p>
        </w:tc>
        <w:tc>
          <w:tcPr>
            <w:tcW w:type="pct" w:w="70%"/>
            <w:shd w:color="F2F4F7" w:val="solid"/>
            <w:tcMar>
              <w:top w:type="dxa" w:w="40"/>
              <w:left w:type="dxa" w:w="100"/>
              <w:bottom w:type="dxa" w:w="40"/>
              <w:right w:type="dxa" w:w="100"/>
            </w:tcMar>
          </w:tcPr>
          <w:p>
            <w:pPr>
              <w:spacing w:after="0"/>
            </w:pPr>
            <w:r>
              <w:rPr>
                <w:rFonts w:ascii="Calibri" w:cs="Calibri" w:eastAsia="Calibri" w:hAnsi="Calibri"/>
                <w:color w:val="1F2937"/>
                <w:sz w:val="20"/>
                <w:szCs w:val="20"/>
              </w:rPr>
              <w:t xml:space="preserve">Oracle WMS → Qlik Replicate CDC → SAP S/4HANA</w:t>
            </w:r>
          </w:p>
        </w:tc>
      </w:tr>
      <w:tr>
        <w:tc>
          <w:tcPr>
            <w:tcW w:type="pct" w:w="30%"/>
            <w:shd w:color="1B2A4A" w:val="solid"/>
            <w:tcMar>
              <w:top w:type="dxa" w:w="40"/>
              <w:left w:type="dxa" w:w="100"/>
              <w:bottom w:type="dxa" w:w="40"/>
              <w:right w:type="dxa" w:w="100"/>
            </w:tcMar>
          </w:tcPr>
          <w:p>
            <w:pPr>
              <w:spacing w:after="0"/>
            </w:pPr>
            <w:r>
              <w:rPr>
                <w:rFonts w:ascii="Calibri" w:cs="Calibri" w:eastAsia="Calibri" w:hAnsi="Calibri"/>
                <w:b/>
                <w:bCs/>
                <w:color w:val="FFFFFF"/>
                <w:sz w:val="20"/>
                <w:szCs w:val="20"/>
              </w:rPr>
              <w:t xml:space="preserve">Reported By</w:t>
            </w:r>
          </w:p>
        </w:tc>
        <w:tc>
          <w:tcPr>
            <w:tcW w:type="pct" w:w="70%"/>
            <w:shd w:color="F2F4F7" w:val="solid"/>
            <w:tcMar>
              <w:top w:type="dxa" w:w="40"/>
              <w:left w:type="dxa" w:w="100"/>
              <w:bottom w:type="dxa" w:w="40"/>
              <w:right w:type="dxa" w:w="100"/>
            </w:tcMar>
          </w:tcPr>
          <w:p>
            <w:pPr>
              <w:spacing w:after="0"/>
            </w:pPr>
            <w:r>
              <w:rPr>
                <w:rFonts w:ascii="Calibri" w:cs="Calibri" w:eastAsia="Calibri" w:hAnsi="Calibri"/>
                <w:color w:val="1F2937"/>
                <w:sz w:val="20"/>
                <w:szCs w:val="20"/>
              </w:rPr>
              <w:t xml:space="preserve">Pieter de Vries, Warehouse Supervisor</w:t>
            </w:r>
          </w:p>
        </w:tc>
      </w:tr>
      <w:tr>
        <w:tc>
          <w:tcPr>
            <w:tcW w:type="pct" w:w="30%"/>
            <w:shd w:color="1B2A4A" w:val="solid"/>
            <w:tcMar>
              <w:top w:type="dxa" w:w="40"/>
              <w:left w:type="dxa" w:w="100"/>
              <w:bottom w:type="dxa" w:w="40"/>
              <w:right w:type="dxa" w:w="100"/>
            </w:tcMar>
          </w:tcPr>
          <w:p>
            <w:pPr>
              <w:spacing w:after="0"/>
            </w:pPr>
            <w:r>
              <w:rPr>
                <w:rFonts w:ascii="Calibri" w:cs="Calibri" w:eastAsia="Calibri" w:hAnsi="Calibri"/>
                <w:b/>
                <w:bCs/>
                <w:color w:val="FFFFFF"/>
                <w:sz w:val="20"/>
                <w:szCs w:val="20"/>
              </w:rPr>
              <w:t xml:space="preserve">Resolved By</w:t>
            </w:r>
          </w:p>
        </w:tc>
        <w:tc>
          <w:tcPr>
            <w:tcW w:type="pct" w:w="70%"/>
            <w:shd w:color="F2F4F7" w:val="solid"/>
            <w:tcMar>
              <w:top w:type="dxa" w:w="40"/>
              <w:left w:type="dxa" w:w="100"/>
              <w:bottom w:type="dxa" w:w="40"/>
              <w:right w:type="dxa" w:w="100"/>
            </w:tcMar>
          </w:tcPr>
          <w:p>
            <w:pPr>
              <w:spacing w:after="0"/>
            </w:pPr>
            <w:r>
              <w:rPr>
                <w:rFonts w:ascii="Calibri" w:cs="Calibri" w:eastAsia="Calibri" w:hAnsi="Calibri"/>
                <w:color w:val="1F2937"/>
                <w:sz w:val="20"/>
                <w:szCs w:val="20"/>
              </w:rPr>
              <w:t xml:space="preserve">IT Operations — Integration Team</w:t>
            </w:r>
          </w:p>
        </w:tc>
      </w:tr>
    </w:tbl>
    <w:p>
      <w:pPr>
        <w:pBdr>
          <w:bottom w:val="single" w:color="0D7C8F" w:sz="2" w:space="4"/>
        </w:pBdr>
        <w:spacing w:after="160" w:before="360"/>
      </w:pPr>
      <w:r>
        <w:rPr>
          <w:rFonts w:ascii="Calibri" w:cs="Calibri" w:eastAsia="Calibri" w:hAnsi="Calibri"/>
          <w:b/>
          <w:bCs/>
          <w:color w:val="1B2A4A"/>
          <w:sz w:val="30"/>
          <w:szCs w:val="30"/>
        </w:rPr>
        <w:t xml:space="preserve">1. Executive Summary</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1%"/>
            <w:tcBorders>
              <w:top w:val="none"/>
              <w:left w:val="none"/>
              <w:bottom w:val="none"/>
              <w:right w:val="none"/>
            </w:tcBorders>
            <w:shd w:color="1B2A4A" w:val="solid"/>
          </w:tcPr>
          <w:p>
            <w:pPr>
              <w:spacing w:after="0"/>
            </w:pPr>
            <w:r>
              <w:rPr>
                <w:sz w:val="10"/>
                <w:szCs w:val="10"/>
              </w:rPr>
              <w:t xml:space="preserve"> </w:t>
            </w:r>
          </w:p>
        </w:tc>
        <w:tc>
          <w:tcPr>
            <w:tcW w:type="pct" w:w="99%"/>
            <w:shd w:color="F2F4F7" w:val="solid"/>
            <w:tcMar>
              <w:top w:type="dxa" w:w="80"/>
              <w:left w:type="dxa" w:w="120"/>
              <w:bottom w:type="dxa" w:w="80"/>
              <w:right w:type="dxa" w:w="120"/>
            </w:tcMar>
          </w:tcPr>
          <w:p>
            <w:pPr>
              <w:spacing w:after="0"/>
            </w:pPr>
            <w:r>
              <w:rPr>
                <w:rFonts w:ascii="Calibri" w:cs="Calibri" w:eastAsia="Calibri" w:hAnsi="Calibri"/>
                <w:color w:val="1F2937"/>
                <w:sz w:val="20"/>
                <w:szCs w:val="20"/>
              </w:rPr>
              <w:t xml:space="preserve">The CDC (Change Data Capture) pipeline between Oracle WMS and SAP at Rotterdam DC silently failed on approximately 31 August 2025. The failure went undetected for 72+ hours because there was no automated pipeline health monitoring. During this period, SAP inventory positions diverged from actual warehouse stock, creating 847 units of phantom inventory across 143 SKUs. The incident was detected only because warehouse supervisor Pieter de Vries noticed a discrepancy during a manual daily sync check.</w:t>
            </w:r>
          </w:p>
        </w:tc>
      </w:tr>
    </w:tbl>
    <w:p>
      <w:pPr>
        <w:pBdr>
          <w:bottom w:val="single" w:color="0D7C8F" w:sz="2" w:space="4"/>
        </w:pBdr>
        <w:spacing w:after="160" w:before="360"/>
      </w:pPr>
      <w:r>
        <w:rPr>
          <w:rFonts w:ascii="Calibri" w:cs="Calibri" w:eastAsia="Calibri" w:hAnsi="Calibri"/>
          <w:b/>
          <w:bCs/>
          <w:color w:val="1B2A4A"/>
          <w:sz w:val="30"/>
          <w:szCs w:val="30"/>
        </w:rPr>
        <w:t xml:space="preserve">2. Timeline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tblHeader/>
        </w:trPr>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Date/Time</w:t>
            </w:r>
          </w:p>
        </w:tc>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Event</w:t>
            </w:r>
          </w:p>
        </w:tc>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Source</w:t>
            </w:r>
          </w:p>
        </w:tc>
      </w:tr>
      <w:tr>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~31 Aug, 02:15 UTC</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CDC pipeline fails silently (estimated from log analysis)</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Qlik Replicate logs</w:t>
            </w:r>
          </w:p>
        </w:tc>
      </w:tr>
      <w:tr>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31 Aug — 03 Sep</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Pipeline down. No alerts generated. SAP inventory frozen at 31 Aug levels.</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w:t>
            </w:r>
          </w:p>
        </w:tc>
      </w:tr>
      <w:tr>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03 Sep, 08:12 CET</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Pieter de Vries starts daily manual sync check per TRN-2025-001 Section 5</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Manual process</w:t>
            </w:r>
          </w:p>
        </w:tc>
      </w:tr>
      <w:tr>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03 Sep, 08:28 CET</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Pieter identifies SKU MCG-6610 shows 300 units in SAP but only 214 in WMS</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WMS + SAP comparison</w:t>
            </w:r>
          </w:p>
        </w:tc>
      </w:tr>
      <w:tr>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03 Sep, 08:35 CET</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Pieter escalates to IT Operations Help Desk (Ticket INC-2025-04872)</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ServiceNow</w:t>
            </w:r>
          </w:p>
        </w:tc>
      </w:tr>
      <w:tr>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03 Sep, 09:15 CET</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IT confirms CDC pipeline is DOWN — last successful sync: 31 Aug 02:12 UTC</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Qlik Replicate admin</w:t>
            </w:r>
          </w:p>
        </w:tc>
      </w:tr>
      <w:tr>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03 Sep, 11:00 CET</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Root cause identified: network certificate expiry on Replicate server</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IT Security</w:t>
            </w:r>
          </w:p>
        </w:tc>
      </w:tr>
      <w:tr>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03 Sep, 14:30 CET</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Certificate renewed, pipeline restarted</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IT Ops</w:t>
            </w:r>
          </w:p>
        </w:tc>
      </w:tr>
      <w:tr>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03 Sep, 15:45 CET</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Backlog of 72 hours of changes begins processing</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Qlik Replicate</w:t>
            </w:r>
          </w:p>
        </w:tc>
      </w:tr>
      <w:tr>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04 Sep, 06:00 CET</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Full sync complete. SAP and WMS reconciled.</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Automated</w:t>
            </w:r>
          </w:p>
        </w:tc>
      </w:tr>
    </w:tbl>
    <w:p>
      <w:pPr>
        <w:pBdr>
          <w:bottom w:val="single" w:color="0D7C8F" w:sz="2" w:space="4"/>
        </w:pBdr>
        <w:spacing w:after="160" w:before="360"/>
      </w:pPr>
      <w:r>
        <w:rPr>
          <w:rFonts w:ascii="Calibri" w:cs="Calibri" w:eastAsia="Calibri" w:hAnsi="Calibri"/>
          <w:b/>
          <w:bCs/>
          <w:color w:val="1B2A4A"/>
          <w:sz w:val="30"/>
          <w:szCs w:val="30"/>
        </w:rPr>
        <w:t xml:space="preserve">3. Impact Assessment</w:t>
      </w:r>
    </w:p>
    <w:p>
      <w:pPr>
        <w:spacing w:after="120" w:before="280"/>
      </w:pPr>
      <w:r>
        <w:rPr>
          <w:rFonts w:ascii="Calibri" w:cs="Calibri" w:eastAsia="Calibri" w:hAnsi="Calibri"/>
          <w:b/>
          <w:bCs/>
          <w:color w:val="0D7C8F"/>
          <w:sz w:val="26"/>
          <w:szCs w:val="26"/>
        </w:rPr>
        <w:t xml:space="preserve">3.1 Phantom Inventory Created</w:t>
      </w:r>
    </w:p>
    <w:p>
      <w:pPr>
        <w:spacing w:after="120"/>
        <w:jc w:val="left"/>
      </w:pPr>
      <w:r>
        <w:rPr>
          <w:rFonts w:ascii="Calibri" w:cs="Calibri" w:eastAsia="Calibri" w:hAnsi="Calibri"/>
          <w:b w:val="false"/>
          <w:bCs w:val="false"/>
          <w:i w:val="false"/>
          <w:iCs w:val="false"/>
          <w:color w:val="1F2937"/>
          <w:sz w:val="21"/>
          <w:szCs w:val="21"/>
        </w:rPr>
        <w:t xml:space="preserve">During the 72-hour outage, SAP continued to show inventory levels from 31 August while actual stock in WMS changed due to picks, receipts, and adjustments: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rPr>
          <w:tblHeader/>
        </w:trPr>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Metric</w:t>
            </w:r>
          </w:p>
        </w:tc>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Value</w:t>
            </w:r>
          </w:p>
        </w:tc>
      </w:tr>
      <w:tr>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Total SKUs affected</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143</w:t>
            </w:r>
          </w:p>
        </w:tc>
      </w:tr>
      <w:tr>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Total phantom units (SAP &gt; WMS)</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847 units</w:t>
            </w:r>
          </w:p>
        </w:tc>
      </w:tr>
      <w:tr>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Total ghost units (WMS &gt; SAP)</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312 units</w:t>
            </w:r>
          </w:p>
        </w:tc>
      </w:tr>
      <w:tr>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Orders allocated against phantom stock</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94 orders</w:t>
            </w:r>
          </w:p>
        </w:tc>
      </w:tr>
      <w:tr>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Orders that shipped late due to allocation failure</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31 orders</w:t>
            </w:r>
          </w:p>
        </w:tc>
      </w:tr>
      <w:tr>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Customer complaints generated</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18</w:t>
            </w:r>
          </w:p>
        </w:tc>
      </w:tr>
    </w:tbl>
    <w:p>
      <w:pPr>
        <w:spacing w:after="120" w:before="280"/>
      </w:pPr>
      <w:r>
        <w:rPr>
          <w:rFonts w:ascii="Calibri" w:cs="Calibri" w:eastAsia="Calibri" w:hAnsi="Calibri"/>
          <w:b/>
          <w:bCs/>
          <w:color w:val="0D7C8F"/>
          <w:sz w:val="26"/>
          <w:szCs w:val="26"/>
        </w:rPr>
        <w:t xml:space="preserve">3.2 Financial Impact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rPr>
          <w:tblHeader/>
        </w:trPr>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Category</w:t>
            </w:r>
          </w:p>
        </w:tc>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Amount</w:t>
            </w:r>
          </w:p>
        </w:tc>
      </w:tr>
      <w:tr>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Emergency inter-DC transfers (stock borrowed from Antwerp DC)</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€14,200</w:t>
            </w:r>
          </w:p>
        </w:tc>
      </w:tr>
      <w:tr>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Expedited shipping to fulfill late orders</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€8,400</w:t>
            </w:r>
          </w:p>
        </w:tc>
      </w:tr>
      <w:tr>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Customer compensation (vouchers for late delivery)</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€3,100</w:t>
            </w:r>
          </w:p>
        </w:tc>
      </w:tr>
      <w:tr>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IT overtime (incident response + reconciliation)</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€4,800</w:t>
            </w:r>
          </w:p>
        </w:tc>
      </w:tr>
      <w:tr>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Total direct cost</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€30,500</w:t>
            </w:r>
          </w:p>
        </w:tc>
      </w:tr>
    </w:tbl>
    <w:p>
      <w:pPr>
        <w:pBdr>
          <w:bottom w:val="single" w:color="0D7C8F" w:sz="2" w:space="4"/>
        </w:pBdr>
        <w:spacing w:after="160" w:before="360"/>
      </w:pPr>
      <w:r>
        <w:rPr>
          <w:rFonts w:ascii="Calibri" w:cs="Calibri" w:eastAsia="Calibri" w:hAnsi="Calibri"/>
          <w:b/>
          <w:bCs/>
          <w:color w:val="1B2A4A"/>
          <w:sz w:val="30"/>
          <w:szCs w:val="30"/>
        </w:rPr>
        <w:t xml:space="preserve">4. Root Cause</w:t>
      </w:r>
    </w:p>
    <w:p>
      <w:pPr>
        <w:spacing w:after="80"/>
      </w:pPr>
      <w:r>
        <w:rPr>
          <w:rFonts w:ascii="Calibri" w:cs="Calibri" w:eastAsia="Calibri" w:hAnsi="Calibri"/>
          <w:b/>
          <w:bCs/>
          <w:color w:val="1B2A4A"/>
          <w:sz w:val="21"/>
          <w:szCs w:val="21"/>
        </w:rPr>
        <w:t xml:space="preserve">Primary Cause: </w:t>
      </w:r>
      <w:r>
        <w:rPr>
          <w:rFonts w:ascii="Calibri" w:cs="Calibri" w:eastAsia="Calibri" w:hAnsi="Calibri"/>
          <w:color w:val="1F2937"/>
          <w:sz w:val="21"/>
          <w:szCs w:val="21"/>
        </w:rPr>
        <w:t xml:space="preserve">TLS certificate on the Qlik Replicate CDC server expired on 31 August 2025. The certificate was issued 12 months prior and was not included in the IT certificate renewal tracking system.</w:t>
      </w:r>
    </w:p>
    <w:p>
      <w:pPr>
        <w:spacing w:after="80"/>
      </w:pPr>
      <w:r>
        <w:rPr>
          <w:rFonts w:ascii="Calibri" w:cs="Calibri" w:eastAsia="Calibri" w:hAnsi="Calibri"/>
          <w:b/>
          <w:bCs/>
          <w:color w:val="1B2A4A"/>
          <w:sz w:val="21"/>
          <w:szCs w:val="21"/>
        </w:rPr>
        <w:t xml:space="preserve">Contributing Cause: </w:t>
      </w:r>
      <w:r>
        <w:rPr>
          <w:rFonts w:ascii="Calibri" w:cs="Calibri" w:eastAsia="Calibri" w:hAnsi="Calibri"/>
          <w:color w:val="1F2937"/>
          <w:sz w:val="21"/>
          <w:szCs w:val="21"/>
        </w:rPr>
        <w:t xml:space="preserve">No automated pipeline health monitoring. The CDC pipeline had no heartbeat check, no row-count reconciliation, and no alerting on sync lag.</w:t>
      </w:r>
    </w:p>
    <w:p>
      <w:pPr>
        <w:spacing w:after="80"/>
      </w:pPr>
      <w:r>
        <w:rPr>
          <w:rFonts w:ascii="Calibri" w:cs="Calibri" w:eastAsia="Calibri" w:hAnsi="Calibri"/>
          <w:b/>
          <w:bCs/>
          <w:color w:val="1B2A4A"/>
          <w:sz w:val="21"/>
          <w:szCs w:val="21"/>
        </w:rPr>
        <w:t xml:space="preserve">Detection Gap: </w:t>
      </w:r>
      <w:r>
        <w:rPr>
          <w:rFonts w:ascii="Calibri" w:cs="Calibri" w:eastAsia="Calibri" w:hAnsi="Calibri"/>
          <w:color w:val="1F2937"/>
          <w:sz w:val="21"/>
          <w:szCs w:val="21"/>
        </w:rPr>
        <w:t xml:space="preserve">The failure was only detected because Rotterdam DC has implemented the daily manual sync check procedure (TRN-2025-001 Section 5). Other DCs do NOT have this check — similar silent failures may be occurring undetected.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1%"/>
            <w:tcBorders>
              <w:top w:val="none"/>
              <w:left w:val="none"/>
              <w:bottom w:val="none"/>
              <w:right w:val="none"/>
            </w:tcBorders>
            <w:shd w:color="1B2A4A" w:val="solid"/>
          </w:tcPr>
          <w:p>
            <w:pPr>
              <w:spacing w:after="0"/>
            </w:pPr>
            <w:r>
              <w:rPr>
                <w:sz w:val="10"/>
                <w:szCs w:val="10"/>
              </w:rPr>
              <w:t xml:space="preserve"> </w:t>
            </w:r>
          </w:p>
        </w:tc>
        <w:tc>
          <w:tcPr>
            <w:tcW w:type="pct" w:w="99%"/>
            <w:shd w:color="F2F4F7" w:val="solid"/>
            <w:tcMar>
              <w:top w:type="dxa" w:w="80"/>
              <w:left w:type="dxa" w:w="120"/>
              <w:bottom w:type="dxa" w:w="80"/>
              <w:right w:type="dxa" w:w="120"/>
            </w:tcMar>
          </w:tcPr>
          <w:p>
            <w:pPr>
              <w:spacing w:after="0"/>
            </w:pPr>
            <w:r>
              <w:rPr>
                <w:rFonts w:ascii="Calibri" w:cs="Calibri" w:eastAsia="Calibri" w:hAnsi="Calibri"/>
                <w:color w:val="1F2937"/>
                <w:sz w:val="20"/>
                <w:szCs w:val="20"/>
              </w:rPr>
              <w:t xml:space="preserve">This incident validates the $48M annual cost estimate for Nightmare #1 (Phantom Inventory). If a single 72-hour outage at one DC creates 847 phantom units and costs €30,500, the cumulative impact across 28 DCs with no monitoring is catastrophic. Pipeline health monitoring is Priority #1 for Project CLARITY Phase 1.</w:t>
            </w:r>
          </w:p>
        </w:tc>
      </w:tr>
    </w:tbl>
    <w:p>
      <w:pPr>
        <w:pBdr>
          <w:bottom w:val="single" w:color="0D7C8F" w:sz="2" w:space="4"/>
        </w:pBdr>
        <w:spacing w:after="160" w:before="360"/>
      </w:pPr>
      <w:r>
        <w:rPr>
          <w:rFonts w:ascii="Calibri" w:cs="Calibri" w:eastAsia="Calibri" w:hAnsi="Calibri"/>
          <w:b/>
          <w:bCs/>
          <w:color w:val="1B2A4A"/>
          <w:sz w:val="30"/>
          <w:szCs w:val="30"/>
        </w:rPr>
        <w:t xml:space="preserve">5. Corrective Actions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rPr>
          <w:tblHeader/>
        </w:trPr>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w:t>
            </w:r>
          </w:p>
        </w:tc>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Action</w:t>
            </w:r>
          </w:p>
        </w:tc>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Owner</w:t>
            </w:r>
          </w:p>
        </w:tc>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Deadline</w:t>
            </w:r>
          </w:p>
        </w:tc>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Status</w:t>
            </w:r>
          </w:p>
        </w:tc>
      </w:tr>
      <w:tr>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1</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Implement pipeline heartbeat monitoring at Rotterdam DC</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IT Ops</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15 Sep 2025</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Complete ✓</w:t>
            </w:r>
          </w:p>
        </w:tc>
      </w:tr>
      <w:tr>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2</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Add all CDC certificates to renewal tracking system</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IT Security</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30 Sep 2025</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Complete ✓</w:t>
            </w:r>
          </w:p>
        </w:tc>
      </w:tr>
      <w:tr>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3</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Roll out pipeline monitoring to ALL 28 DCs</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CIO (M. Chen)</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31 Dec 2025</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In progress</w:t>
            </w:r>
          </w:p>
        </w:tc>
      </w:tr>
      <w:tr>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4</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Implement automated row-count reconciliation (WMS vs SAP)</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Integration Team</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31 Jan 2026</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Not started</w:t>
            </w:r>
          </w:p>
        </w:tc>
      </w:tr>
      <w:tr>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5</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Evaluate alerting thresholds for sync lag &gt; 30 min</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IT Ops</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31 Oct 2025</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In progress</w:t>
            </w:r>
          </w:p>
        </w:tc>
      </w:tr>
    </w:tbl>
    <w:p>
      <w:pPr>
        <w:spacing w:after="0" w:before="400"/>
      </w:pPr>
    </w:p>
    <w:p>
      <w:pPr>
        <w:pBdr>
          <w:bottom w:val="single" w:color="6B7280" w:sz="1" w:space="1"/>
        </w:pBdr>
        <w:spacing w:after="0"/>
      </w:pPr>
      <w:r>
        <w:rPr>
          <w:sz w:val="20"/>
          <w:szCs w:val="20"/>
        </w:rPr>
        <w:t xml:space="preserve">                                                          </w:t>
      </w:r>
    </w:p>
    <w:p>
      <w:pPr>
        <w:spacing w:after="0"/>
      </w:pPr>
      <w:r>
        <w:rPr>
          <w:rFonts w:ascii="Calibri" w:cs="Calibri" w:eastAsia="Calibri" w:hAnsi="Calibri"/>
          <w:b/>
          <w:bCs/>
          <w:color w:val="1B2A4A"/>
          <w:sz w:val="20"/>
          <w:szCs w:val="20"/>
        </w:rPr>
        <w:t xml:space="preserve">Marcus Chen</w:t>
      </w:r>
    </w:p>
    <w:p>
      <w:pPr>
        <w:spacing w:after="0"/>
      </w:pPr>
      <w:r>
        <w:rPr>
          <w:rFonts w:ascii="Calibri" w:cs="Calibri" w:eastAsia="Calibri" w:hAnsi="Calibri"/>
          <w:color w:val="6B7280"/>
          <w:sz w:val="19"/>
          <w:szCs w:val="19"/>
        </w:rPr>
        <w:t xml:space="preserve">Chief Information Officer</w:t>
      </w:r>
    </w:p>
    <w:p>
      <w:pPr>
        <w:spacing w:after="0"/>
      </w:pPr>
      <w:r>
        <w:rPr>
          <w:rFonts w:ascii="Calibri" w:cs="Calibri" w:eastAsia="Calibri" w:hAnsi="Calibri"/>
          <w:i/>
          <w:iCs/>
          <w:color w:val="6B7280"/>
          <w:sz w:val="19"/>
          <w:szCs w:val="19"/>
        </w:rPr>
        <w:t xml:space="preserve">IT Division</w:t>
      </w:r>
    </w:p>
    <w:p>
      <w:pPr>
        <w:spacing w:after="0" w:before="400"/>
      </w:pPr>
    </w:p>
    <w:p>
      <w:pPr>
        <w:pBdr>
          <w:bottom w:val="single" w:color="6B7280" w:sz="1" w:space="1"/>
        </w:pBdr>
        <w:spacing w:after="0"/>
      </w:pPr>
      <w:r>
        <w:rPr>
          <w:sz w:val="20"/>
          <w:szCs w:val="20"/>
        </w:rPr>
        <w:t xml:space="preserve">                                                          </w:t>
      </w:r>
    </w:p>
    <w:p>
      <w:pPr>
        <w:spacing w:after="0"/>
      </w:pPr>
      <w:r>
        <w:rPr>
          <w:rFonts w:ascii="Calibri" w:cs="Calibri" w:eastAsia="Calibri" w:hAnsi="Calibri"/>
          <w:b/>
          <w:bCs/>
          <w:color w:val="1B2A4A"/>
          <w:sz w:val="20"/>
          <w:szCs w:val="20"/>
        </w:rPr>
        <w:t xml:space="preserve">Henrik Jansen</w:t>
      </w:r>
    </w:p>
    <w:p>
      <w:pPr>
        <w:spacing w:after="0"/>
      </w:pPr>
      <w:r>
        <w:rPr>
          <w:rFonts w:ascii="Calibri" w:cs="Calibri" w:eastAsia="Calibri" w:hAnsi="Calibri"/>
          <w:color w:val="6B7280"/>
          <w:sz w:val="19"/>
          <w:szCs w:val="19"/>
        </w:rPr>
        <w:t xml:space="preserve">VP Warehouse Operations</w:t>
      </w:r>
    </w:p>
    <w:p>
      <w:pPr>
        <w:spacing w:after="0"/>
      </w:pPr>
      <w:r>
        <w:rPr>
          <w:rFonts w:ascii="Calibri" w:cs="Calibri" w:eastAsia="Calibri" w:hAnsi="Calibri"/>
          <w:i/>
          <w:iCs/>
          <w:color w:val="6B7280"/>
          <w:sz w:val="19"/>
          <w:szCs w:val="19"/>
        </w:rPr>
        <w:t xml:space="preserve">Operations Division</w:t>
      </w:r>
    </w:p>
    <w:sectPr>
      <w:headerReference w:type="default" r:id="rId7"/>
      <w:footerReference w:type="default" r:id="rId8"/>
      <w:pgSz w:w="11906" w:h="16838" w:orient="portrait"/>
      <w:pgMar w:top="1727" w:right="1440" w:bottom="1152"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0D7C8F" w:sz="3" w:space="4"/>
      </w:pBdr>
      <w:spacing w:before="0"/>
    </w:pPr>
    <w:r>
      <w:rPr>
        <w:sz w:val="4"/>
        <w:szCs w:val="4"/>
      </w:rPr>
      <w:t xml:space="preserve"/>
    </w:r>
  </w:p>
  <w:p>
    <w:pPr>
      <w:spacing w:after="0" w:before="0"/>
      <w:jc w:val="center"/>
    </w:pPr>
    <w:r>
      <w:rPr>
        <w:rFonts w:ascii="Calibri" w:cs="Calibri" w:eastAsia="Calibri" w:hAnsi="Calibri"/>
        <w:color w:val="6B7280"/>
        <w:sz w:val="14"/>
        <w:szCs w:val="14"/>
      </w:rPr>
      <w:t xml:space="preserve">Meridian Commerce Group  •  </w:t>
    </w:r>
    <w:r>
      <w:rPr>
        <w:rFonts w:ascii="Calibri" w:cs="Calibri" w:eastAsia="Calibri" w:hAnsi="Calibri"/>
        <w:color w:val="6B7280"/>
        <w:sz w:val="14"/>
        <w:szCs w:val="14"/>
      </w:rPr>
      <w:t xml:space="preserve">Weena 505, 3013 AL Rotterdam, Netherlands</w:t>
    </w:r>
  </w:p>
  <w:p>
    <w:pPr>
      <w:spacing w:after="0" w:before="0"/>
      <w:jc w:val="center"/>
    </w:pPr>
    <w:r>
      <w:rPr>
        <w:rFonts w:ascii="Calibri" w:cs="Calibri" w:eastAsia="Calibri" w:hAnsi="Calibri"/>
        <w:color w:val="6B7280"/>
        <w:sz w:val="14"/>
        <w:szCs w:val="14"/>
      </w:rPr>
      <w:t xml:space="preserve">+31 10 798 4000  •  www.meridiancommerce.com  •  info@meridiancommerce.com</w:t>
    </w:r>
  </w:p>
  <w:p>
    <w:pPr>
      <w:spacing w:after="0" w:before="40"/>
      <w:jc w:val="center"/>
    </w:pPr>
    <w:r>
      <w:rPr>
        <w:rFonts w:ascii="Calibri" w:cs="Calibri" w:eastAsia="Calibri" w:hAnsi="Calibri"/>
        <w:b/>
        <w:bCs/>
        <w:color w:val="C4922E"/>
        <w:sz w:val="13"/>
        <w:szCs w:val="13"/>
      </w:rPr>
      <w:t xml:space="preserve">CONFIDENTIAL — </w:t>
    </w:r>
    <w:r>
      <w:rPr>
        <w:rFonts w:ascii="Calibri" w:cs="Calibri" w:eastAsia="Calibri" w:hAnsi="Calibri"/>
        <w:color w:val="6B7280"/>
        <w:sz w:val="13"/>
        <w:szCs w:val="13"/>
      </w:rPr>
      <w:t xml:space="preserve">Page </w:t>
    </w:r>
    <w:r>
      <w:rPr>
        <w:rFonts w:ascii="Calibri" w:cs="Calibri" w:eastAsia="Calibri" w:hAnsi="Calibri"/>
        <w:color w:val="6B7280"/>
        <w:sz w:val="13"/>
        <w:szCs w:val="13"/>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0"/>
    </w:pPr>
    <w:r>
      <w:rPr>
        <w:rFonts w:ascii="Calibri" w:cs="Calibri" w:eastAsia="Calibri" w:hAnsi="Calibri"/>
        <w:b/>
        <w:bCs/>
        <w:color w:val="1B2A4A"/>
        <w:sz w:val="28"/>
        <w:szCs w:val="28"/>
      </w:rPr>
      <w:t xml:space="preserve">MERIDIAN</w:t>
    </w:r>
    <w:r>
      <w:rPr>
        <w:rFonts w:ascii="Calibri" w:cs="Calibri" w:eastAsia="Calibri" w:hAnsi="Calibri"/>
        <w:b w:val="false"/>
        <w:bCs w:val="false"/>
        <w:color w:val="1B2A4A"/>
        <w:sz w:val="28"/>
        <w:szCs w:val="28"/>
      </w:rPr>
      <w:t xml:space="preserve"> COMMERCE </w:t>
    </w:r>
    <w:r>
      <w:rPr>
        <w:rFonts w:ascii="Calibri" w:cs="Calibri" w:eastAsia="Calibri" w:hAnsi="Calibri"/>
        <w:b/>
        <w:bCs/>
        <w:color w:val="0D7C8F"/>
        <w:sz w:val="28"/>
        <w:szCs w:val="28"/>
      </w:rPr>
      <w:t xml:space="preserve">GROUP</w:t>
    </w:r>
  </w:p>
  <w:p>
    <w:pPr>
      <w:spacing w:after="0"/>
    </w:pPr>
    <w:r>
      <w:rPr>
        <w:rFonts w:ascii="Calibri" w:cs="Calibri" w:eastAsia="Calibri" w:hAnsi="Calibri"/>
        <w:i/>
        <w:iCs/>
        <w:color w:val="6B7280"/>
        <w:sz w:val="16"/>
        <w:szCs w:val="16"/>
      </w:rPr>
      <w:t xml:space="preserve">The neighborhood store with global reach</w:t>
    </w:r>
  </w:p>
  <w:p>
    <w:pPr>
      <w:pBdr>
        <w:bottom w:val="single" w:color="0D7C8F" w:sz="6" w:space="4"/>
      </w:pBdr>
      <w:spacing w:after="0"/>
    </w:pPr>
    <w:r>
      <w:rPr>
        <w:sz w:val="4"/>
        <w:szCs w:val="4"/>
      </w:rPr>
      <w:t xml:space="preserve"/>
    </w:r>
  </w:p>
  <w:p>
    <w:pPr>
      <w:spacing w:after="0" w:before="60"/>
      <w:jc w:val="right"/>
    </w:pPr>
    <w:r>
      <w:rPr>
        <w:rFonts w:ascii="Calibri" w:cs="Calibri" w:eastAsia="Calibri" w:hAnsi="Calibri"/>
        <w:b/>
        <w:bCs/>
        <w:caps/>
        <w:color w:val="C4922E"/>
        <w:sz w:val="18"/>
        <w:szCs w:val="18"/>
      </w:rPr>
      <w:t xml:space="preserve">INCIDENT REPORT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F2937"/>
        <w:sz w:val="22"/>
        <w:szCs w:val="22"/>
      </w:rPr>
    </w:rPrDefault>
    <w:pPrDefault>
      <w:pPr>
        <w:spacing w:after="120" w:line="276"/>
      </w:pPr>
    </w:pPrDefault>
  </w:docDefaults>
  <w:style w:type="paragraph" w:styleId="Title">
    <w:name w:val="Title"/>
    <w:basedOn w:val="Normal"/>
    <w:next w:val="Normal"/>
    <w:qFormat/>
    <w:rPr>
      <w:sz w:val="56"/>
      <w:szCs w:val="56"/>
    </w:rPr>
  </w:style>
  <w:style w:type="paragraph" w:styleId="Heading1">
    <w:name w:val="Heading 1"/>
    <w:basedOn w:val="Normal"/>
    <w:next w:val="Normal"/>
    <w:qFormat/>
    <w:pPr>
      <w:spacing w:after="200" w:before="360"/>
    </w:pPr>
    <w:rPr>
      <w:rFonts w:ascii="Calibri" w:cs="Calibri" w:eastAsia="Calibri" w:hAnsi="Calibri"/>
      <w:b/>
      <w:bCs/>
      <w:color w:val="1B2A4A"/>
      <w:sz w:val="32"/>
      <w:szCs w:val="32"/>
    </w:rPr>
  </w:style>
  <w:style w:type="paragraph" w:styleId="Heading2">
    <w:name w:val="Heading 2"/>
    <w:basedOn w:val="Normal"/>
    <w:next w:val="Normal"/>
    <w:qFormat/>
    <w:pPr>
      <w:spacing w:after="160" w:before="300"/>
    </w:pPr>
    <w:rPr>
      <w:rFonts w:ascii="Calibri" w:cs="Calibri" w:eastAsia="Calibri" w:hAnsi="Calibri"/>
      <w:b/>
      <w:bCs/>
      <w:color w:val="0D7C8F"/>
      <w:sz w:val="26"/>
      <w:szCs w:val="26"/>
    </w:rPr>
  </w:style>
  <w:style w:type="paragraph" w:styleId="Heading3">
    <w:name w:val="Heading 3"/>
    <w:basedOn w:val="Normal"/>
    <w:next w:val="Normal"/>
    <w:qFormat/>
    <w:pPr>
      <w:spacing w:after="120" w:before="240"/>
    </w:pPr>
    <w:rPr>
      <w:rFonts w:ascii="Calibri" w:cs="Calibri" w:eastAsia="Calibri" w:hAnsi="Calibri"/>
      <w:b/>
      <w:bCs/>
      <w:color w:val="1B2A4A"/>
      <w:sz w:val="22"/>
      <w:szCs w:val="22"/>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2026-03-28T03:19:53.438Z</dcterms:created>
  <dcterms:modified xsi:type="dcterms:W3CDTF">2026-03-28T03:19:53.438Z</dcterms:modified>
</cp:coreProperties>
</file>

<file path=docProps/custom.xml><?xml version="1.0" encoding="utf-8"?>
<Properties xmlns="http://schemas.openxmlformats.org/officeDocument/2006/custom-properties" xmlns:vt="http://schemas.openxmlformats.org/officeDocument/2006/docPropsVTypes"/>
</file>