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MCG-POL-007: EU Food Safety and Traceability Compliance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Policy ID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MCG-POL-007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Version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3.1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Effective Date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01 February 2025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Owner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Dr. Elena Vasquez, Chief Compliance Officer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Approved By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Ingrid van der Berg, CEO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Regulatory Basis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EU Regulation (EC) No 178/2002; NVWA Guidelines 2024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Classification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Internal — All Business Units handling food products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Applies To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All MCG operations in EU-27 markets</w:t>
            </w:r>
          </w:p>
        </w:tc>
      </w:tr>
    </w:tbl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1. Purpose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This policy establishes MCG's mandatory requirements for food safety compliance and product traceability across all EU operations. It ensures compliance with Article 18 of EU Regulation (EC) No 178/2002, which requires food business operators to trace products 'one step back, one step forward' in the supply chain.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Non-compliance carries significant regulatory, financial, and reputational risk. The June 2025 NVWA citation demonstrated that MCG's current traceability infrastructure is inadequate for regulatory requirements.</w:t>
      </w:r>
    </w:p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2. Scope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Applies to all MCG operations handling food products in EU-27 markets: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Product categories: Fresh produce, dairy, frozen goods, beverages, health &amp; wellness supplements, eggs, bakery, confectionery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Facilities: All 28 DCs handling food (22 with cold chain capability) and all 1,140 retail stores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Channels: In-store retail, e-commerce, wholesale/B2B, marketplace fulfillment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Supply chain: 340 direct suppliers and approximately 1,200 sub-tier suppliers (actual number uncertain — mapping in progress)</w:t>
      </w:r>
    </w:p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3. Article 18 Requirements — Traceability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EU Regulation (EC) No 178/2002, Article 18 mandates that food business operators must be able to identify: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1.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One step back: The supplier of every food product (who supplied it, when, what product, what lot)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2.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One step forward: The business customer or store to which every food product was supplied (who received it, when, what quantity)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3.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Product identification: Lot number, product description, quantity, date of transaction</w:t>
      </w:r>
    </w:p>
    <w:p>
      <w:pPr>
        <w:spacing w:after="12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1F2937"/>
          <w:sz w:val="21"/>
          <w:szCs w:val="21"/>
        </w:rPr>
        <w:t xml:space="preserve">Target response time for a complete traceability query: 24 hours.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1B2A4A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2F4F7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CURRENT PERFORMANCE: The June 2025 lettuce recall (RCL-2025-003) required 11 days and 65 person-hours of manual cross-referencing across 4 disconnected systems (SAP, WMS, Descartes TMS, Salesforce) to complete full product tracing. This is 10 days beyond the 24-hour regulatory target.</w:t>
            </w:r>
          </w:p>
        </w:tc>
      </w:tr>
    </w:tbl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4. Mandatory Data Elements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Data Element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Requirement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Current Compliance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Target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Gap Owner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Lot number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Mandatory for all food receipts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93%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100%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VP Warehouse Ops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Country of origin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Mandatory for fresh produce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88%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100%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Procurement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Supplier identification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Linked to business register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93%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100%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Procurement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Receipt date/time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Timestamped per delivery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100% (timezone issues)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100% clean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IT Operations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Store-level lot tracking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Receipt by lot at retail stores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32%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90% by Mar 2026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Store Operations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Sub-tier supplier mapping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Required for high-risk products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36%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80% by Jan 2026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Procurement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Expiry/best-before date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Recorded at receipt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91%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100%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VP Warehouse Ops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Temperature at receipt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Recorded for cold chain products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97%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100%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Quality</w:t>
            </w:r>
          </w:p>
        </w:tc>
      </w:tr>
    </w:tbl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5. NVWA Citation — June 2025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On 12 June 2025, the Netherlands Food and Consumer Product Safety Authority (NVWA) conducted a routine inspection at MCG's Rotterdam DC (Europaweg 120, 3199 LD Rotterdam) and issued Citation NVWA-2025-CIT-04412: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Finding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Severity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Description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Corrective Action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F1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Major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Lot numbers not consistently captured — free-text field allowed blank entries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WMS field converted to structured input with validation; blank blocked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F2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Major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Unable to complete product trace from supplier to store within 24 hours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Project CLARITY Phase 1 — unified traceability layer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F3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Significant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Country of origin missing for 12% of fresh produce SKUs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Procurement updating supplier requirements; 88% complete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F4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Significant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Sub-tier supplier relationships not documented for 64% of food suppliers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Supplier mapping program; 36% complete (at risk)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F5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Observation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Temperature recording at goods receipt uses inconsistent timestamp formats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Timestamp standardization planned under Project CLARITY</w:t>
            </w:r>
          </w:p>
        </w:tc>
      </w:tr>
    </w:tbl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MCG submitted corrective action plan COMP-2025-NVWA on 15 July 2025. NVWA follow-up inspection expected Q1 2026.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C4922E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2F4F7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Sub-tier mapping (F4) is AT RISK at only 36% complete. Many suppliers cite commercial confidentiality. The Fresh Direct lettuce recall exposed this exact risk — the contaminated farm (FARM-NL-0042) was an undisclosed backup supplier.</w:t>
            </w:r>
          </w:p>
        </w:tc>
      </w:tr>
    </w:tbl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6. Record Retention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All traceability records must be maintained for a minimum of 5 years per EU Regulation 178/2002. This includes: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Purchase orders and goods receipt records (SAP and WMS)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Lot number capture records and quality inspection results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Temperature monitoring records (IoT telemetry and manual readings)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Supplier certifications and audit reports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Recall documentation and regulatory correspondence</w:t>
      </w:r>
    </w:p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7. Roles and Responsibilities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Role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Responsibility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Chief Compliance Officer (Dr. Elena Vasquez)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Policy ownership; regulatory liaison; NVWA primary contact; recall authority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VP Warehouse Operations (Henrik Jansen)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Lot number capture at all DCs; goods receipt compliance; cycle count for food traceability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VP Supply Chain (Thomas Brennan)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Cold chain compliance; carrier food safety requirements; in-transit traceability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Head of Procurement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Supplier qualification; sub-tier mapping; country of origin data collection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CDO (Priya Ramanathan)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Data quality monitoring for traceability elements; Project CLARITY delivery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Store Operations VPs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Store-level lot tracking deployment; recall execution at retail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Quality Managers (per DC)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Receiving inspection; temperature verification; rejection authority for non-compliant deliveries</w:t>
            </w:r>
          </w:p>
        </w:tc>
      </w:tr>
    </w:tbl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8. Non-Compliance Consequences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Internal: Failure to comply with this policy will result in escalation to the CCO and may affect individual performance evaluations. Repeated non-compliance at a facility level triggers a formal compliance audit.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External: Regulatory non-compliance may result in: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NVWA citations and fines (up to €820,000 per incident under Dutch food safety law)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Mandatory product recalls at MCG's expense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Suspension of food handling permits for affected facilities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Reputational damage and loss of consumer trust</w:t>
      </w:r>
    </w:p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9. Revision History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Version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Date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Author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Changes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1.0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2019-03-01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Legal Dept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Initial release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2.0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2022-01-15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E. Vasquez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Updated for NVWA 2021 guidelines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3.0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2025-01-15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E. Vasquez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Post-lettuce recall comprehensive revision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3.1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2025-02-01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E. Vasquez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Added NVWA citation corrective actions; expanded data element table</w:t>
            </w:r>
          </w:p>
        </w:tc>
      </w:tr>
    </w:tbl>
    <w:p>
      <w:pPr>
        <w:spacing w:after="0" w:before="400"/>
      </w:pPr>
    </w:p>
    <w:p>
      <w:pPr>
        <w:pBdr>
          <w:bottom w:val="single" w:color="6B7280" w:sz="1" w:space="1"/>
        </w:pBdr>
        <w:spacing w:after="0"/>
      </w:pPr>
      <w:r>
        <w:rPr>
          <w:sz w:val="20"/>
          <w:szCs w:val="20"/>
        </w:rPr>
        <w:t xml:space="preserve">                                                          </w:t>
      </w:r>
    </w:p>
    <w:p>
      <w:pPr>
        <w:spacing w:after="0"/>
      </w:pPr>
      <w:r>
        <w:rPr>
          <w:rFonts w:ascii="Calibri" w:cs="Calibri" w:eastAsia="Calibri" w:hAnsi="Calibri"/>
          <w:b/>
          <w:bCs/>
          <w:color w:val="1B2A4A"/>
          <w:sz w:val="20"/>
          <w:szCs w:val="20"/>
        </w:rPr>
        <w:t xml:space="preserve">Dr. Elena Vasquez</w:t>
      </w:r>
    </w:p>
    <w:p>
      <w:pPr>
        <w:spacing w:after="0"/>
      </w:pPr>
      <w:r>
        <w:rPr>
          <w:rFonts w:ascii="Calibri" w:cs="Calibri" w:eastAsia="Calibri" w:hAnsi="Calibri"/>
          <w:color w:val="6B7280"/>
          <w:sz w:val="19"/>
          <w:szCs w:val="19"/>
        </w:rPr>
        <w:t xml:space="preserve">Chief Compliance Officer</w:t>
      </w:r>
    </w:p>
    <w:p>
      <w:pPr>
        <w:spacing w:after="0"/>
      </w:pPr>
      <w:r>
        <w:rPr>
          <w:rFonts w:ascii="Calibri" w:cs="Calibri" w:eastAsia="Calibri" w:hAnsi="Calibri"/>
          <w:i/>
          <w:iCs/>
          <w:color w:val="6B7280"/>
          <w:sz w:val="19"/>
          <w:szCs w:val="19"/>
        </w:rPr>
        <w:t xml:space="preserve">Legal &amp; Compliance Division</w:t>
      </w:r>
    </w:p>
    <w:p>
      <w:pPr>
        <w:spacing w:after="0" w:before="400"/>
      </w:pPr>
    </w:p>
    <w:p>
      <w:pPr>
        <w:pBdr>
          <w:bottom w:val="single" w:color="6B7280" w:sz="1" w:space="1"/>
        </w:pBdr>
        <w:spacing w:after="0"/>
      </w:pPr>
      <w:r>
        <w:rPr>
          <w:sz w:val="20"/>
          <w:szCs w:val="20"/>
        </w:rPr>
        <w:t xml:space="preserve">                                                          </w:t>
      </w:r>
    </w:p>
    <w:p>
      <w:pPr>
        <w:spacing w:after="0"/>
      </w:pPr>
      <w:r>
        <w:rPr>
          <w:rFonts w:ascii="Calibri" w:cs="Calibri" w:eastAsia="Calibri" w:hAnsi="Calibri"/>
          <w:b/>
          <w:bCs/>
          <w:color w:val="1B2A4A"/>
          <w:sz w:val="20"/>
          <w:szCs w:val="20"/>
        </w:rPr>
        <w:t xml:space="preserve">Ingrid van der Berg</w:t>
      </w:r>
    </w:p>
    <w:p>
      <w:pPr>
        <w:spacing w:after="0"/>
      </w:pPr>
      <w:r>
        <w:rPr>
          <w:rFonts w:ascii="Calibri" w:cs="Calibri" w:eastAsia="Calibri" w:hAnsi="Calibri"/>
          <w:color w:val="6B7280"/>
          <w:sz w:val="19"/>
          <w:szCs w:val="19"/>
        </w:rPr>
        <w:t xml:space="preserve">Chief Executive Officer</w:t>
      </w:r>
    </w:p>
    <w:p>
      <w:pPr>
        <w:spacing w:after="0"/>
      </w:pPr>
      <w:r>
        <w:rPr>
          <w:rFonts w:ascii="Calibri" w:cs="Calibri" w:eastAsia="Calibri" w:hAnsi="Calibri"/>
          <w:i/>
          <w:iCs/>
          <w:color w:val="6B7280"/>
          <w:sz w:val="19"/>
          <w:szCs w:val="19"/>
        </w:rPr>
        <w:t xml:space="preserve">Meridian Commerce Group</w:t>
      </w:r>
    </w:p>
    <w:sectPr>
      <w:headerReference w:type="default" r:id="rId7"/>
      <w:footerReference w:type="default" r:id="rId8"/>
      <w:pgSz w:w="11906" w:h="16838" w:orient="portrait"/>
      <w:pgMar w:top="1727" w:right="1440" w:bottom="1152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D7C8F" w:sz="3" w:space="4"/>
      </w:pBdr>
      <w:spacing w:before="0"/>
    </w:pPr>
    <w:r>
      <w:rPr>
        <w:sz w:val="4"/>
        <w:szCs w:val="4"/>
      </w:rPr>
      <w:t xml:space="preserve"/>
    </w:r>
  </w:p>
  <w:p>
    <w:pPr>
      <w:spacing w:after="0" w:before="0"/>
      <w:jc w:val="center"/>
    </w:pPr>
    <w:r>
      <w:rPr>
        <w:rFonts w:ascii="Calibri" w:cs="Calibri" w:eastAsia="Calibri" w:hAnsi="Calibri"/>
        <w:color w:val="6B7280"/>
        <w:sz w:val="14"/>
        <w:szCs w:val="14"/>
      </w:rPr>
      <w:t xml:space="preserve">Meridian Commerce Group  •  </w:t>
    </w:r>
    <w:r>
      <w:rPr>
        <w:rFonts w:ascii="Calibri" w:cs="Calibri" w:eastAsia="Calibri" w:hAnsi="Calibri"/>
        <w:color w:val="6B7280"/>
        <w:sz w:val="14"/>
        <w:szCs w:val="14"/>
      </w:rPr>
      <w:t xml:space="preserve">Weena 505, 3013 AL Rotterdam, Netherlands</w:t>
    </w:r>
  </w:p>
  <w:p>
    <w:pPr>
      <w:spacing w:after="0" w:before="0"/>
      <w:jc w:val="center"/>
    </w:pPr>
    <w:r>
      <w:rPr>
        <w:rFonts w:ascii="Calibri" w:cs="Calibri" w:eastAsia="Calibri" w:hAnsi="Calibri"/>
        <w:color w:val="6B7280"/>
        <w:sz w:val="14"/>
        <w:szCs w:val="14"/>
      </w:rPr>
      <w:t xml:space="preserve">+31 10 798 4000  •  www.meridiancommerce.com  •  info@meridiancommerce.com</w:t>
    </w:r>
  </w:p>
  <w:p>
    <w:pPr>
      <w:spacing w:after="0" w:before="40"/>
      <w:jc w:val="center"/>
    </w:pPr>
    <w:r>
      <w:rPr>
        <w:rFonts w:ascii="Calibri" w:cs="Calibri" w:eastAsia="Calibri" w:hAnsi="Calibri"/>
        <w:b/>
        <w:bCs/>
        <w:color w:val="C4922E"/>
        <w:sz w:val="13"/>
        <w:szCs w:val="13"/>
      </w:rPr>
      <w:t xml:space="preserve">CONFIDENTIAL — </w:t>
    </w:r>
    <w:r>
      <w:rPr>
        <w:rFonts w:ascii="Calibri" w:cs="Calibri" w:eastAsia="Calibri" w:hAnsi="Calibri"/>
        <w:color w:val="6B7280"/>
        <w:sz w:val="13"/>
        <w:szCs w:val="13"/>
      </w:rPr>
      <w:t xml:space="preserve">Page </w:t>
    </w:r>
    <w:r>
      <w:rPr>
        <w:rFonts w:ascii="Calibri" w:cs="Calibri" w:eastAsia="Calibri" w:hAnsi="Calibri"/>
        <w:color w:val="6B7280"/>
        <w:sz w:val="13"/>
        <w:szCs w:val="13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</w:pPr>
    <w:r>
      <w:rPr>
        <w:rFonts w:ascii="Calibri" w:cs="Calibri" w:eastAsia="Calibri" w:hAnsi="Calibri"/>
        <w:b/>
        <w:bCs/>
        <w:color w:val="1B2A4A"/>
        <w:sz w:val="28"/>
        <w:szCs w:val="28"/>
      </w:rPr>
      <w:t xml:space="preserve">MERIDIAN</w:t>
    </w:r>
    <w:r>
      <w:rPr>
        <w:rFonts w:ascii="Calibri" w:cs="Calibri" w:eastAsia="Calibri" w:hAnsi="Calibri"/>
        <w:b w:val="false"/>
        <w:bCs w:val="false"/>
        <w:color w:val="1B2A4A"/>
        <w:sz w:val="28"/>
        <w:szCs w:val="28"/>
      </w:rPr>
      <w:t xml:space="preserve"> COMMERCE </w:t>
    </w:r>
    <w:r>
      <w:rPr>
        <w:rFonts w:ascii="Calibri" w:cs="Calibri" w:eastAsia="Calibri" w:hAnsi="Calibri"/>
        <w:b/>
        <w:bCs/>
        <w:color w:val="0D7C8F"/>
        <w:sz w:val="28"/>
        <w:szCs w:val="28"/>
      </w:rPr>
      <w:t xml:space="preserve">GROUP</w:t>
    </w:r>
  </w:p>
  <w:p>
    <w:pPr>
      <w:spacing w:after="0"/>
    </w:pPr>
    <w:r>
      <w:rPr>
        <w:rFonts w:ascii="Calibri" w:cs="Calibri" w:eastAsia="Calibri" w:hAnsi="Calibri"/>
        <w:i/>
        <w:iCs/>
        <w:color w:val="6B7280"/>
        <w:sz w:val="16"/>
        <w:szCs w:val="16"/>
      </w:rPr>
      <w:t xml:space="preserve">The neighborhood store with global reach</w:t>
    </w:r>
  </w:p>
  <w:p>
    <w:pPr>
      <w:pBdr>
        <w:bottom w:val="single" w:color="0D7C8F" w:sz="6" w:space="4"/>
      </w:pBdr>
      <w:spacing w:after="0"/>
    </w:pPr>
    <w:r>
      <w:rPr>
        <w:sz w:val="4"/>
        <w:szCs w:val="4"/>
      </w:rPr>
      <w:t xml:space="preserve"/>
    </w:r>
  </w:p>
  <w:p>
    <w:pPr>
      <w:spacing w:after="0" w:before="60"/>
      <w:jc w:val="right"/>
    </w:pPr>
    <w:r>
      <w:rPr>
        <w:rFonts w:ascii="Calibri" w:cs="Calibri" w:eastAsia="Calibri" w:hAnsi="Calibri"/>
        <w:b/>
        <w:bCs/>
        <w:caps/>
        <w:color w:val="C4922E"/>
        <w:sz w:val="18"/>
        <w:szCs w:val="18"/>
      </w:rPr>
      <w:t xml:space="preserve">CORPORATE POLICY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937"/>
        <w:sz w:val="22"/>
        <w:szCs w:val="22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360"/>
    </w:pPr>
    <w:rPr>
      <w:rFonts w:ascii="Calibri" w:cs="Calibri" w:eastAsia="Calibri" w:hAnsi="Calibri"/>
      <w:b/>
      <w:bCs/>
      <w:color w:val="1B2A4A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00"/>
    </w:pPr>
    <w:rPr>
      <w:rFonts w:ascii="Calibri" w:cs="Calibri" w:eastAsia="Calibri" w:hAnsi="Calibri"/>
      <w:b/>
      <w:bCs/>
      <w:color w:val="0D7C8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Calibri" w:cs="Calibri" w:eastAsia="Calibri" w:hAnsi="Calibri"/>
      <w:b/>
      <w:bCs/>
      <w:color w:val="1B2A4A"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2026-03-28T03:19:51.291Z</dcterms:created>
  <dcterms:modified xsi:type="dcterms:W3CDTF">2026-03-28T03:19:51.291Z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