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primary deployment method for the MCG pipeline is the declarative import (section 1.9): the entire pipeline is version-controlled YAML, deployed over REST APIs by npm run deploy. The manual steps in this guide document the same build interactively — use them to learn the workflow, demo it, or customize beyond what the YAML defines.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(see Setup Guide Section 7.1)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Data Gateway - Streaming.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Gateway - Streaming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1.9 Primary Deployment Method: Declarative Pipeline Import (Pipelines as Code)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how the MCG pipeline is actually deployed. Everything in Parts 1–3 of this guide ships as version-controlled YAML in deploy/pipelines/mcg-pipeline/ (QTCP declarative pipelines preview) — landing tasks, all 8 transformation routes with custom SQL, daily schedules, and connection bindings — and deploys without any manual UI work.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Step 13 of npm run deploy drives the full chain over REST APIs: create connections → validate definitions → create the DI project → import the YAML → resolve bindings → prepare → start every task in dependency order (landing → transform → datamart) → attach the gold datasets to their Data Products. Four config.json flags control it (pipelines.prepare, pipelines.run, pipelines.attachDatasets, pipelines.publishDataProducts), all exposed as toggles on the deploy UI's Data Products page.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Daily refresh schedules are declared in the YAML itself (silver 05:30 UTC, gold 06:00 UTC, alongside event-based cascades) — there is no REST endpoint for DI schedules, so the YAML is the source of truth. For a credential-free manual import, npm run pipeline:zip packages mcg-pipeline.zip for Data Integration → Import; after refining transformations in the UI, npm run deploy:export-pipeline round-trips them back into the repo.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the declarative import to stand up a fresh tenant in minutes or reset a demo environment to a known-good state. The manual walkthroughs in Parts 1–3 teach the same build interactively — ideal for learning the Pipeline Designer or customizing beyond the YAML.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sf_orders, shipments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table: Select bronze.warehouse_events (the event stream carrying all 9 DCs' local-time stamps)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silver.warehouse_events_clean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Key 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identifier from the 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Canonicalized event type (RECEIVE/PICK/ADJUST/CYCLE_COUNT/SHIP)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 local-time stamp as recorded by the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tz_offset_hours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Timezone offset applied per warehouse (audit trail)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event_timestamp_utc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normalized UTC timestamp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location_bin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Bin reference normalized to dash-separated format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bronze.warehouse_events transformed into silver.warehouse_events_clean with UTC audit columns]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2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Two Gold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pipeline creates one gold mart per analytics domain app — these are the demo's two data products, matching the gold-datamart datasets in the declarative project: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 + event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phantom_units, pipeline_status, trust_score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order_delivery_timeline, shipments_canonical, addresses_standardized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 + event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on_time_pct, sla_met, address_quality_score, wismo_flag by carrier/region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Qlik Trust Score based on 5 dimensions: Freshness (how recently data was updated), Completeness (null rate on key fields), Accuracy (validation rule pass rate), Consistency (cross-table reconciliation), and Timeliness (pipeline SLA adherence). The Trust Score is visible in the Data Marketplace and helps consumers evaluate data fitness for 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silver.order_delivery_timeline,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2026-06-12T18:07:44.252Z</dcterms:created>
  <dcterms:modified xsi:type="dcterms:W3CDTF">2026-06-12T18:07:44.253Z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