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006580" w:sz="2" w:space="4"/>
        </w:pBdr>
        <w:spacing w:after="160" w:before="360"/>
      </w:pPr>
      <w:r>
        <w:rPr>
          <w:rFonts w:ascii="Inter" w:cs="Inter" w:eastAsia="Inter" w:hAnsi="Inter"/>
          <w:b/>
          <w:bCs/>
          <w:color w:val="19416C"/>
          <w:sz w:val="30"/>
          <w:szCs w:val="30"/>
        </w:rPr>
        <w:t xml:space="preserve">MCG Demo — Qlik Automations &amp; Pipelines Creation Guide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Document ID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MCG-GUIDE-CREATION-001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Version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1.0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March 2026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Author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MCG Data Engineering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Classification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Internal — Demo Setup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Scope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Data Pipelines (Bronze/Silver/Gold) and Qlik Automations</w:t>
            </w:r>
          </w:p>
        </w:tc>
      </w:tr>
    </w:tbl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This guide provides step-by-step instructions for creating all data pipelines, transformation routes, table recipes, and automations in Qlik Cloud for the Meridian Commerce Group demo environment.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The primary deployment method for the MCG pipeline is the declarative import (section 1.9): the entire pipeline is version-controlled YAML, deployed over REST APIs by npm run deploy. The manual steps in this guide document the same build interactively — use them to learn the workflow, demo it, or customize beyond what the YAML defines.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9845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Prerequisites: Ensure you have completed the initial setup (tenant configuration, Docker infrastructure, spaces, and data connections) as described in the MCG Setup Guide before following this document.</w:t>
            </w:r>
          </w:p>
        </w:tc>
      </w:tr>
    </w:tbl>
    <w:p>
      <w:r>
        <w:br w:type="page"/>
      </w:r>
    </w:p>
    <w:p>
      <w:pPr>
        <w:pBdr>
          <w:bottom w:val="single" w:color="006580" w:sz="2" w:space="4"/>
        </w:pBdr>
        <w:spacing w:after="160" w:before="360"/>
      </w:pPr>
      <w:r>
        <w:rPr>
          <w:rFonts w:ascii="Inter" w:cs="Inter" w:eastAsia="Inter" w:hAnsi="Inter"/>
          <w:b/>
          <w:bCs/>
          <w:color w:val="19416C"/>
          <w:sz w:val="30"/>
          <w:szCs w:val="30"/>
        </w:rPr>
        <w:t xml:space="preserve">Part 1: Data Pipelines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The MCG demo uses 8 data pipelines to ingest data from 3 source systems into the Bronze layer of the Open Lakehouse. These pipelines use CDC, streaming, and API-based ingestion methods.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1.1 Create the Open Lakehouse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Before creating pipelines, you must create the Open Lakehouse with its three-tier schema structure.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Navigate to Data Integration → Data Spaces in the Qlik Cloud hub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Click Create data space and name it "MCG Open Lakehouse"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Select Qlik-managed storage (or connect your own S3/Azure/GCS bucket)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Create three schemas within the lakehouse:</w:t>
      </w:r>
    </w:p>
    <w:p>
      <w:pPr>
        <w:pStyle w:val="ListParagraph"/>
        <w:numPr>
          <w:ilvl w:val="0"/>
          <w:numId w:val="1"/>
        </w:numPr>
        <w:spacing w:after="120"/>
        <w:ind w:left="431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bronze — Raw ingested data from all sources</w:t>
      </w:r>
    </w:p>
    <w:p>
      <w:pPr>
        <w:pStyle w:val="ListParagraph"/>
        <w:numPr>
          <w:ilvl w:val="0"/>
          <w:numId w:val="1"/>
        </w:numPr>
        <w:spacing w:after="120"/>
        <w:ind w:left="431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silver — Cleansed and transformed data</w:t>
      </w:r>
    </w:p>
    <w:p>
      <w:pPr>
        <w:pStyle w:val="ListParagraph"/>
        <w:numPr>
          <w:ilvl w:val="0"/>
          <w:numId w:val="1"/>
        </w:numPr>
        <w:spacing w:after="120"/>
        <w:ind w:left="431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gold — Governed, business-ready data products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[Screenshot: Lakehouse creation dialog showing three schemas: bronze, silver, gold]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Storage Format: All lakehouse tables use Apache Iceberg format, which supports ACID transactions, time travel, and schema evolution — critical for CDC and streaming workloads.</w:t>
            </w:r>
          </w:p>
        </w:tc>
      </w:tr>
    </w:tbl>
    <w:p>
      <w:r>
        <w:br w:type="page"/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1.2 PostgreSQL CDC Pipelines (3 Tables)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These pipelines use Change Data Capture to replicate PostgreSQL WMS data in real-time via the Data Movement Gateway.</w:t>
      </w:r>
    </w:p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Prerequisites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Data Movement Gateway installed and registered with your Qlik Cloud tenant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PostgreSQL connection created (see Setup Guide Section 7.1)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PostgreSQL configured with wal_level=logical (set in Docker Compose)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Publication mcg_wms_pub exists (created by schema.sql)</w:t>
      </w:r>
    </w:p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Pipeline 1: inventory_positions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Navigate to Data Integration → Data pipelines → Create pipeline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Select "Replicate data" as the pipeline type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Choose source: PostgreSQL (MCG WMS) connection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Select table: public.inventory_positions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5.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Set target: MCG Open Lakehouse → bronze schema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6.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Target table name: bronze.inventory_positions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7.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Configure CDC settings:</w:t>
      </w:r>
    </w:p>
    <w:p>
      <w:pPr>
        <w:pStyle w:val="ListParagraph"/>
        <w:numPr>
          <w:ilvl w:val="0"/>
          <w:numId w:val="1"/>
        </w:numPr>
        <w:spacing w:after="120"/>
        <w:ind w:left="431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Method: Log-based (WAL)</w:t>
      </w:r>
    </w:p>
    <w:p>
      <w:pPr>
        <w:pStyle w:val="ListParagraph"/>
        <w:numPr>
          <w:ilvl w:val="0"/>
          <w:numId w:val="1"/>
        </w:numPr>
        <w:spacing w:after="120"/>
        <w:ind w:left="431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Replication slot: qlik_cdc_slot</w:t>
      </w:r>
    </w:p>
    <w:p>
      <w:pPr>
        <w:pStyle w:val="ListParagraph"/>
        <w:numPr>
          <w:ilvl w:val="0"/>
          <w:numId w:val="1"/>
        </w:numPr>
        <w:spacing w:after="120"/>
        <w:ind w:left="431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Plugin: pgoutput</w:t>
      </w:r>
    </w:p>
    <w:p>
      <w:pPr>
        <w:pStyle w:val="ListParagraph"/>
        <w:numPr>
          <w:ilvl w:val="0"/>
          <w:numId w:val="1"/>
        </w:numPr>
        <w:spacing w:after="120"/>
        <w:ind w:left="431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Publication: mcg_wms_pub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8.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Set schedule: Full load initially, then continuous CDC replication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9.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Click Save and Run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[Screenshot: Pipeline configuration for inventory_positions showing CDC settings and target lakehouse]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Setting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Value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Source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PostgreSQL: public.inventory_positions (~8,000 rows)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Target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bronze.inventory_positions (Iceberg)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Method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Log-based CDC (WAL)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Schedule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Real-time CDC + Scheduled merge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Data Quality Issues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Phantom inventory, missing lot numbers, no-TZ timestamps, UoM variants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Nightmares Addressed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#1 Phantom Inventory, #3 Product Master, #5 Timestamps, #7 Compliance</w:t>
            </w:r>
          </w:p>
        </w:tc>
      </w:tr>
    </w:tbl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Pipeline 2: warehouse_events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Repeat the same steps as Pipeline 1 with these settings: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Setting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Value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Source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PostgreSQL: public.warehouse_events (~15,000 rows)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Target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bronze.warehouse_events (Iceberg)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Method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Log-based CDC (WAL)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Schedule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Real-time CDC + Scheduled merge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Data Quality Issues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Silent pipeline gap (events stop Sep 24 for Rotterdam), format variants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Nightmares Addressed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#4 Silent Failures, #5 Timestamps</w:t>
            </w:r>
          </w:p>
        </w:tc>
      </w:tr>
    </w:tbl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Pipeline 3: shipments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Repeat the same steps with these settings: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Setting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Value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Source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PostgreSQL: public.shipments (~3,000 rows)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Target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bronze.shipments (Iceberg)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Method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Log-based CDC (WAL)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Schedule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Real-time CDC + Scheduled merge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Data Quality Issues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6 carrier status vocabularies, mixed datetime formats, weight unit chaos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Nightmares Addressed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#5 Timestamps, #6 Carrier Data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9845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Verification: After all 3 CDC pipelines are running, check the Data Movement Gateway status page. You should see 3 active replication tasks with "Full Load Complete, CDC Active" status. Use docker exec -i mcg-postgres psql -U mcg_admin -d mcg_wms -c "SELECT * FROM pg_replication_slots;" to verify the replication slot is active.</w:t>
            </w:r>
          </w:p>
        </w:tc>
      </w:tr>
    </w:tbl>
    <w:p>
      <w:r>
        <w:br w:type="page"/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1.3 Kafka Streaming Pipelines (2 Topics)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These pipelines stream IoT sensor data from Apache Kafka topics in real-time using the Data Gateway - Streaming.</w:t>
      </w:r>
    </w:p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Prerequisites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Data Gateway - Streaming deployed and connected to Qlik Cloud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Kafka connection created (see Setup Guide Section 7.2)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Docker Kafka stack running: npm run docker:up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IoT simulator producing messages: verify in Confluent Control Center at localhost:9021</w:t>
      </w:r>
    </w:p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Pipeline 4: Cold Chain IoT (mcg.iot.cold-chain)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Navigate to Data Integration → Data pipelines → Create pipeline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Select "Stream data" as the pipeline type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Choose source: Apache Kafka (MCG IoT) connection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Select topic: mcg.iot.cold-chain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5.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Set target: MCG Open Lakehouse → bronze schema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6.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Target table name: bronze.iot_cold_chain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7.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Configure streaming settings:</w:t>
      </w:r>
    </w:p>
    <w:p>
      <w:pPr>
        <w:pStyle w:val="ListParagraph"/>
        <w:numPr>
          <w:ilvl w:val="0"/>
          <w:numId w:val="1"/>
        </w:numPr>
        <w:spacing w:after="120"/>
        <w:ind w:left="431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Consumer group: qlik-cold-chain-consumer</w:t>
      </w:r>
    </w:p>
    <w:p>
      <w:pPr>
        <w:pStyle w:val="ListParagraph"/>
        <w:numPr>
          <w:ilvl w:val="0"/>
          <w:numId w:val="1"/>
        </w:numPr>
        <w:spacing w:after="120"/>
        <w:ind w:left="431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Offset reset: earliest (for initial load)</w:t>
      </w:r>
    </w:p>
    <w:p>
      <w:pPr>
        <w:pStyle w:val="ListParagraph"/>
        <w:numPr>
          <w:ilvl w:val="0"/>
          <w:numId w:val="1"/>
        </w:numPr>
        <w:spacing w:after="120"/>
        <w:ind w:left="431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Batch size: 100 messages</w:t>
      </w:r>
    </w:p>
    <w:p>
      <w:pPr>
        <w:pStyle w:val="ListParagraph"/>
        <w:numPr>
          <w:ilvl w:val="0"/>
          <w:numId w:val="1"/>
        </w:numPr>
        <w:spacing w:after="120"/>
        <w:ind w:left="431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Flush interval: 5 seconds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8.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Click Save and Run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[Screenshot: Kafka streaming pipeline for cold chain topic showing real-time message ingestion]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Setting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Value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Source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Kafka topic: mcg.iot.cold-chain (~1 msg per 5 sec per sensor)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Target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bronze.iot_cold_chain (Iceberg append)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Method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Real-time streaming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Message Format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JSON: sensor_id, shipment_id, temperature, humidity, gps, timestamp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Data Quality Issues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5% Fahrenheit readings, 3% bare timestamps, 2% Lagos GPS blackouts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Nightmares Addressed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#4 Silent Failures, #5 Timestamps</w:t>
            </w:r>
          </w:p>
        </w:tc>
      </w:tr>
    </w:tbl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Pipeline 5: Carrier Events (mcg.iot.carrier-events)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Repeat the same steps with these settings: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Setting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Value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Source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Kafka topic: mcg.iot.carrier-events (~1 msg per min)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Target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bronze.iot_carrier_events (Iceberg append)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Method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Real-time streaming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Message Format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JSON: carrier_code, tracking_number, status, timestamp, location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Data Quality Issues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Multi-language status codes, mixed timestamp formats, duplicates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Nightmares Addressed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#6 Carrier Data Black Hole</w:t>
            </w:r>
          </w:p>
        </w:tc>
      </w:tr>
    </w:tbl>
    <w:p>
      <w:r>
        <w:br w:type="page"/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1.4 Salesforce API Pipelines (3 Objects)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These pipelines use the Salesforce Standard connector to poll data every 15 minutes using SystemModstamp for incremental sync.</w:t>
      </w:r>
    </w:p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Prerequisites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Salesforce Developer Edition account with MCG custom objects created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Salesforce connection created (see Setup Guide Section 7.3)</w:t>
      </w:r>
    </w:p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Pipeline 6: Contacts (sf_contacts)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Navigate to Data Integration → Data pipelines → Create pipeline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Select "Replicate data" as the pipeline type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Choose source: Salesforce (MCG CRM) connection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Select object: Contact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5.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Set target: MCG Open Lakehouse → bronze schema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6.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Target table name: bronze.sf_contacts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7.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Configure sync settings:</w:t>
      </w:r>
    </w:p>
    <w:p>
      <w:pPr>
        <w:pStyle w:val="ListParagraph"/>
        <w:numPr>
          <w:ilvl w:val="0"/>
          <w:numId w:val="1"/>
        </w:numPr>
        <w:spacing w:after="120"/>
        <w:ind w:left="431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Initial load: Full</w:t>
      </w:r>
    </w:p>
    <w:p>
      <w:pPr>
        <w:pStyle w:val="ListParagraph"/>
        <w:numPr>
          <w:ilvl w:val="0"/>
          <w:numId w:val="1"/>
        </w:numPr>
        <w:spacing w:after="120"/>
        <w:ind w:left="431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Incremental field: SystemModstamp</w:t>
      </w:r>
    </w:p>
    <w:p>
      <w:pPr>
        <w:pStyle w:val="ListParagraph"/>
        <w:numPr>
          <w:ilvl w:val="0"/>
          <w:numId w:val="1"/>
        </w:numPr>
        <w:spacing w:after="120"/>
        <w:ind w:left="431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Refresh interval: 15 minutes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8.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Click Save and Run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[Screenshot: Salesforce pipeline showing Contact object selection and incremental sync settings]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Setting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Value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Source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Salesforce: Contact (~2,000 records)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Target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bronze.sf_contacts (Iceberg)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Method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Full + Incremental (SystemModstamp)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Schedule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Every 15 minutes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Data Quality Issues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11% address format issues, 6% truncated addresses, 3.2% duplicates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Nightmares Addressed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#2 Address Catastrophe</w:t>
            </w:r>
          </w:p>
        </w:tc>
      </w:tr>
    </w:tbl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Pipeline 7: Orders (sf_orders)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Repeat with these settings: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Setting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Value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Source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Salesforce: MCG_Order__c (~5,000 records)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Target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bronze.sf_orders (Iceberg)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Method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Full + Incremental (SystemModstamp)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Schedule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Every 15 minutes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Data Quality Issues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42% missing tracking numbers, 41% with WISMO flags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Nightmares Addressed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#2 Address Catastrophe, #6 Carrier Data</w:t>
            </w:r>
          </w:p>
        </w:tc>
      </w:tr>
    </w:tbl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Pipeline 8: Products (sf_products)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Repeat with these settings: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Setting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Value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Source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Salesforce: MCG_Product__c (~1,200 records)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Target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bronze.sf_products (Iceberg)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Method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Full + Incremental (SystemModstamp)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Schedule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Every 15 minutes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Data Quality Issues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3 SKU schemes, 8,200 missing weights, supplier name variants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Nightmares Addressed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#3 Product Master Mess, #7 Compliance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9845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Pipeline Summary: You should now have 8 active pipelines — 3 CDC (real-time), 2 streaming (real-time), and 3 API (15-min polling). All pipelines feed into the bronze schema of the Open Lakehouse.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1.9 Primary Deployment Method: Declarative Pipeline Import (Pipelines as Code)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This is how the MCG pipeline is actually deployed. Everything in Parts 1–3 of this guide ships as version-controlled YAML in deploy/pipelines/mcg-pipeline/ (QTCP declarative pipelines preview) — landing tasks, all 8 transformation routes with custom SQL, daily schedules, and connection bindings — and deploys without any manual UI work.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Step 13 of npm run deploy drives the full chain over REST APIs: create connections → validate definitions → create the DI project → import the YAML → resolve bindings → prepare → start every task in dependency order (landing → transform → datamart) → attach the gold datasets to their Data Products. Four config.json flags control it (pipelines.prepare, pipelines.run, pipelines.attachDatasets, pipelines.publishDataProducts), all exposed as toggles on the deploy UI's Data Products page.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Daily refresh schedules are declared in the YAML itself (silver 05:30 UTC, gold 06:00 UTC, alongside event-based cascades) — there is no REST endpoint for DI schedules, so the YAML is the source of truth. For a credential-free manual import, npm run pipeline:zip packages mcg-pipeline.zip for Data Integration → Import; after refining transformations in the UI, npm run deploy:export-pipeline round-trips them back into the repo.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9845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Use the declarative import to stand up a fresh tenant in minutes or reset a demo environment to a known-good state. The manual walkthroughs in Parts 1–3 teach the same build interactively — ideal for learning the Pipeline Designer or customizing beyond the YAML.</w:t>
            </w:r>
          </w:p>
        </w:tc>
      </w:tr>
    </w:tbl>
    <w:p>
      <w:r>
        <w:br w:type="page"/>
      </w:r>
    </w:p>
    <w:p>
      <w:pPr>
        <w:pBdr>
          <w:bottom w:val="single" w:color="006580" w:sz="2" w:space="4"/>
        </w:pBdr>
        <w:spacing w:after="160" w:before="360"/>
      </w:pPr>
      <w:r>
        <w:rPr>
          <w:rFonts w:ascii="Inter" w:cs="Inter" w:eastAsia="Inter" w:hAnsi="Inter"/>
          <w:b/>
          <w:bCs/>
          <w:color w:val="19416C"/>
          <w:sz w:val="30"/>
          <w:szCs w:val="30"/>
        </w:rPr>
        <w:t xml:space="preserve">Part 2: Transformation Routes (Silver Layer)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The Silver layer contains 8 transformation routes (data flows) that cleanse, normalize, and join Bronze data. These are created using Qlik's visual Pipeline Designer with AI-Assisted SQL.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2.1 Overview of 8 Transformation Routes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Route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Name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Input (Bronze)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Output (Silver)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Nightmare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1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Timestamp Normalization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warehouse_events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warehouse_events_clean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#5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2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Inventory Reconciliation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inventory_positions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inventory_reconciled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#1, #3, #7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3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Address Standardization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sf_contacts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addresses_standardized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#2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4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Product Harmonization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sf_products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products_harmonized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#3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5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Carrier Canonicalization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shipments, iot_carrier_events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shipments_canonical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#6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6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IoT Normalization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iot_cold_chain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iot_normalized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#4, #5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7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Supplier Deduplication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sf_products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suppliers_deduped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#3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8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Order-to-Delivery Timeline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sf_orders, shipments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order_delivery_timeline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#5, #6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2.2 Route 1: Timestamp Normalization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Normalizes all 14 different timestamp conventions found across the 3 source systems into a single UTC standard with source tracking.</w:t>
      </w:r>
    </w:p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Create the Data Flow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Navigate to Data Integration → Transformations → Create transformation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Name: "Route 1 — Timestamp Normalization"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Source table: Select bronze.warehouse_events (the event stream carrying all 9 DCs' local-time stamps)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Use AI-Assisted SQL or visual designer to apply transformations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5.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Target: silver.warehouse_events_clean</w:t>
      </w:r>
    </w:p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Transformation Logic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The following transformations are applied: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ISO 8601 with offset (e.g., 2025-10-18T14:32:00+02:00) → Convert to UTC directly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Bare timestamp without timezone (e.g., 2025-10-18 14:32:00) → Apply DC timezone lookup table, then convert to UTC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Correios format (DD/MM/YYYY HH:MM) → Parse with BRT timezone, convert to UTC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Epoch milliseconds → Convert to ISO 8601 UTC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IoT timestamps → Preserve millisecond precision during conversion</w:t>
      </w:r>
    </w:p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Key Output Columns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Column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Type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Description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event_id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VARCHAR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Event identifier from the WMS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event_type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VARCHAR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Canonicalized event type (RECEIVE/PICK/ADJUST/CYCLE_COUNT/SHIP)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event_timestamp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TIMESTAMP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Original local-time stamp as recorded by the DC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tz_offset_hours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INTEGER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Timezone offset applied per warehouse (audit trail)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event_timestamp_utc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TIMESTAMP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Final normalized UTC timestamp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location_bin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VARCHAR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Bin reference normalized to dash-separated format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[Screenshot: Timestamp normalization data flow showing bronze.warehouse_events transformed into silver.warehouse_events_clean with UTC audit columns]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2.3 Route 2: Inventory Reconciliation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Reconciles WMS inventory positions with ERP data, detects phantom inventory, and calculates trust scores.</w:t>
      </w:r>
    </w:p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Transformation Steps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Profile: Detect nulls, negative values, UoM variants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UoM Standardize: CS, PAL, EACH, EA, ea → canonical EA/CS/PAL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Storage Zone Normalize: KALT/FROID → CHILLED, GEFRIER → FROZEN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Phantom Flag: If WMS &lt; ERP by &gt;10% → phantom_inventory = TRUE; If WMS = 0 but ERP &gt; 0 → phantom_critical = TRUE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5.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Lot Compliance: If lot_number IS NULL AND category is perishable → lot_missing = TRUE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6.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Trust Score: 1.0 = all fields OK; 0.7 = minor issues; 0.3 = phantom flagged; 0.1 = logic error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Column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Type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Description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location_id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VARCHAR(20)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Warehouse location identifier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sku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VARCHAR(30)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Product SKU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qty_wms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INTEGER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WMS quantity on hand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qty_erp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INTEGER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ERP expected quantity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variance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INTEGER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qty_wms - qty_erp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variance_pct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DECIMAL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Variance as percentage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phantom_inventory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BOOLEAN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TRUE if variance &gt; 10%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phantom_critical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BOOLEAN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TRUE if WMS=0 but ERP&gt;0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uom_standard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VARCHAR(5)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Standardized unit of measure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storage_zone_standard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VARCHAR(15)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Standardized zone name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lot_missing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BOOLEAN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TRUE if perishable with NULL lot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trust_score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DECIMAL(3,2)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Row-level data quality score (0.0-1.0)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2.4 Route 3: Address Standardization &amp; Deduplication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Normalizes customer addresses from Salesforce, detects truncation artifacts, and deduplicates customer records using fuzzy matching.</w:t>
      </w:r>
    </w:p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Transformation Steps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Country Normalize: Netherlands/Niederlande → NL, Singapore → SG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Postal Code Rules: NL: 1017EJ → 1017 EJ; BR: 01304001 → 01304-001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Street Normalize: Str. → Straße, Apt → Apartment, Ste → Suite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Accent Restore: Sao Paulo → São Paulo, Muller → Müller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5.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Truncation Detect: Flag addresses exactly 30 characters (legacy POS truncation)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6.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Fuzzy Dedup: &gt;90% match → auto-merge; 85-90% → route to Stewardship; &lt;85% → distinct</w:t>
      </w:r>
    </w:p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Route 3a: Talend Address Validation Job (Reusable Service)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This route uses a Talend Cloud job as a callable service for advanced address validation: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tAddressRowStandardize — Parse free-text address, normalize country to ISO 3166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tAddressRowValidate — Validate against country postal databases (PostNL, USPS, Correios)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tGeocode — Optional geocoding for map visualizations and GPS correlation with IoT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The Talend Address Validation job is also invoked by Automation 5 (Address Correction Loop) when stewardship tasks are approved.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2.5 Route 4: Product Master Harmonization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Resolves SKU conflicts across 3 legacy schemes, standardizes weights and dimensions, and harmonizes product categories across languages.</w:t>
      </w:r>
    </w:p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Transformation Steps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SKU Resolution: If MCG-* exists → use as canonical; Otherwise create mapping via GTIN/EAN match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Weight Validation: Flag NULL, zero, or implausible values (&gt;100 kg)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Dimension Fix: Detect inches-as-cm (if length&lt;30 AND width&lt;20 AND source=Americas → convert)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Category Harmonize: Map German/Dutch/French categories → English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5.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Supplier Normalize: Standardize supplier names for dedup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Column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Type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Description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canonical_sku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VARCHAR(30)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MCG canonical SKU identifier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legacy_sku_am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VARCHAR(30)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Americas legacy SKU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legacy_sku_eu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VARCHAR(30)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Europe legacy SKU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product_name_en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VARCHAR(100)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English product name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weight_kg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DECIMAL(8,2)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Standardized weight in kilograms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weight_missing_flag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BOOLEAN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TRUE if weight was NULL/zero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supplier_id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VARCHAR(20)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Canonical supplier identifier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country_of_origin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VARCHAR(3)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ISO 3166-1 alpha-2 country code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trust_score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DECIMAL(3,2)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Row-level data quality score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2.6 Route 5: Carrier Status Canonicalization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Maps 6 different carrier status vocabularies (FedEx English, DPD German, Correios Portuguese, NinjaVan, Aramex, local Lagos courier) into a single MCG canonical standard.</w:t>
      </w:r>
    </w:p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Status Mapping Table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MCG Canonical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FedEx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DPD (German)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Correios (Portuguese)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NinjaVan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LABEL_CREATED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LABEL_CREATED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Paketankündigung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Objeto postado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Pending Pickup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PICKED_UP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pickup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Abgeholt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Coletado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Picked Up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IN_TRANSIT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transit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In Zustellung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Em trânsito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Arrived at Hub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OUT_FOR_DELIVERY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out_for_delivery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In Auslieferung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Saiu para entrega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On Vehicle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DELIVERED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delivered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Zugestellt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Objeto entregue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Completed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FAILED_ATTEMPT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failure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Zustellversuch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Não entregue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Pending Reschedule</w:t>
            </w:r>
          </w:p>
        </w:tc>
      </w:tr>
    </w:tbl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Additional Transformations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Datetime Parse: ISO 8601 → parse directly; DD/MM/YYYY HH:MM (Correios) → parse with BRT; Epoch ms → convert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Exception Code Normalize: ADDR_INCOMPLETE/ZS_FEHLER/CEP_INVALIDO → ADDRESS_INVALID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Weight Normalize: Convert lbs → kg where carrier = FedEx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Country Normalize: Full name → ISO 3166-1 alpha-2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2.7 Route 6: IoT Telemetry Normalization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Normalizes IoT cold chain sensor data, detects measurement gaps, and flags temperature exceedances with product-specific thresholds.</w:t>
      </w:r>
    </w:p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Transformation Steps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Temperature Normalize: If temperature_unit='F' → convert: (value - 32) × 5/9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Timestamp Normalize: Apply Route 1 logic to IoT timestamps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Gap Detection: Flag &gt;30-minute gaps between consecutive readings for same sensor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Shipment Enrich: Join shipment_id to silver.shipments_canonical for route/carrier context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5.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Exceedance Flag (product-specific thresholds):</w:t>
      </w:r>
    </w:p>
    <w:p>
      <w:pPr>
        <w:pStyle w:val="ListParagraph"/>
        <w:numPr>
          <w:ilvl w:val="0"/>
          <w:numId w:val="1"/>
        </w:numPr>
        <w:spacing w:after="120"/>
        <w:ind w:left="431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Fresh produce: &gt;8°C for 30+ minutes → exceedance = TRUE</w:t>
      </w:r>
    </w:p>
    <w:p>
      <w:pPr>
        <w:pStyle w:val="ListParagraph"/>
        <w:numPr>
          <w:ilvl w:val="0"/>
          <w:numId w:val="1"/>
        </w:numPr>
        <w:spacing w:after="120"/>
        <w:ind w:left="431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Dairy: &gt;8°C for 15+ minutes → exceedance = TRUE</w:t>
      </w:r>
    </w:p>
    <w:p>
      <w:pPr>
        <w:pStyle w:val="ListParagraph"/>
        <w:numPr>
          <w:ilvl w:val="0"/>
          <w:numId w:val="1"/>
        </w:numPr>
        <w:spacing w:after="120"/>
        <w:ind w:left="431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Frozen: &gt; -15°C any reading → exceedance = TRUE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6.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Battery Alert: If battery_level_pct &lt; 10% → battery_low = TRUE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7.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Kafka Dedup: Remove at-least-once delivery duplicates (same sensor_id + timestamp)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2.8 Route 7: Supplier Master Deduplication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Deduplicates supplier records using Jaro-Winkler fuzzy matching and selects golden records.</w:t>
      </w:r>
    </w:p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Transformation Steps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Extract: Pull supplier names and IDs from bronze.sf_products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Normalize: Lowercase, strip suffixes (Ltd, PLC, Corp, S.A., Co., Inc.)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Accent Normalize: Nestlé → nestle for matching purposes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Fuzzy Match (Jaro-Winkler similarity): &gt;95% → auto-merge; 85-95% → route to Stewardship; &lt;85% → distinct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5.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Golden Record Selection: Prefer SAP Global (SUP-*) ID as canonical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6.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Output: Mapping table (source_supplier_id → canonical_supplier_id)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2.9 Route 8: Order-to-Delivery Timeline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Assembles end-to-end order lifecycle from order placement through delivery, joining data from 4 Silver tables.</w:t>
      </w:r>
    </w:p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Transformation Steps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Join: orders → shipments via order_id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Timeline Build (4 milestones): order_placed_utc (Salesforce), picked_utc (warehouse_events), shipped_utc (shipments), delivered_utc (shipments)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Duration Calc: Order-to-delivery hours, pick-to-ship hours, ship-to-deliver hours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SLA Check: Compare actual to promised delivery → sla_met = TRUE/FALSE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5.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IoT Enrich: If cold chain shipment, attach max_temperature, exceedance_flag, spoilage_probability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[Screenshot: Order-to-Delivery Timeline data flow showing 4 Silver source joins and timeline assembly]</w:t>
            </w:r>
          </w:p>
        </w:tc>
      </w:tr>
    </w:tbl>
    <w:p>
      <w:r>
        <w:br w:type="page"/>
      </w:r>
    </w:p>
    <w:p>
      <w:pPr>
        <w:pBdr>
          <w:bottom w:val="single" w:color="006580" w:sz="2" w:space="4"/>
        </w:pBdr>
        <w:spacing w:after="160" w:before="360"/>
      </w:pPr>
      <w:r>
        <w:rPr>
          <w:rFonts w:ascii="Inter" w:cs="Inter" w:eastAsia="Inter" w:hAnsi="Inter"/>
          <w:b/>
          <w:bCs/>
          <w:color w:val="19416C"/>
          <w:sz w:val="30"/>
          <w:szCs w:val="30"/>
        </w:rPr>
        <w:t xml:space="preserve">Part 3: Gold Layer Table Recipes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The Gold layer contains 7 governed data products created from Silver sources using Qlik Table Recipes. Each product is registered with an owner, AI-generated description, and API sharing enabled.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3.1 Creating Table Recipes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Navigate to Data Integration → Transformations → Create transformation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Select "Table recipe" as the type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Choose Silver source tables as inputs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Define aggregations, joins, and filters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5.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Set target in the gold schema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6.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Configure refresh schedule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[Screenshot: Table Recipe builder showing Silver inputs, transformation logic, and Gold output]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3.2 Seven Gold Data Products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Gold Table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Source Silver Tables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Refresh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Owner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Key Metrics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supply_chain_health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inventory_reconciled, warehouse_events_clean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15 min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Henrik Jansen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IRA %, phantom_units, pipeline_status, trust_score by DC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last_mile_performance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order_delivery_timeline, shipments_canonical, addresses_standardized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30 min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Sophie Müller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on_time_pct, sla_met, address_quality_score, wismo_flag by carrier/region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cold_chain_compliance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iot_normalized, shipments_canonical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5 min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Lars Eriksson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exceedance_minutes, spoilage_risk_score, pre_cool_compliant by route/carrier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product_master_health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products_harmonized, suppliers_deduped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1 hour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Thomas Berger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completeness_score, weight_complete, supplier_duplicate_flag by SKU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compliance_traceability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inventory_reconciled, products_harmonized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30 min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Dr. Elena Vasquez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lot_capture_rate, trace_complete, recall_risk_flag, nvwa_applicable by lot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pipeline_timestamp_audit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warehouse_events_clean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5 min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Priya Ramanathan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pipeline status, lag_minutes, timezone_anomalies, trust_score per pipeline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customer_quality_index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addresses_standardized, order_delivery_timeline, shipments_canonical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1 hour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Sophie Müller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address_quality_score, delivery_failure_rate, wismo_rate, is_duplicate by customer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3.3 Register as Data Products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After creating each Gold table recipe, register it as a governed data product: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Open the Gold table in the Data Catalog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Click "Register as Data Product"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Set the product owner (see table above)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Click "Generate AI Description" to auto-generate metadata from schema and data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5.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Review and confirm semantic types (auto-detected: currency, percentage, temperature, timestamp, etc.)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6.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Enable API Sharing to make the product available via REST API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7.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Publish to the Data Marketplace for self-service discovery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[Screenshot: Data Product registration showing AI-generated description, semantic types, and API sharing toggle]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Trust Score: Each data product automatically receives a Qlik Trust Score based on 5 dimensions: Freshness (how recently data was updated), Completeness (null rate on key fields), Accuracy (validation rule pass rate), Consistency (cross-table reconciliation), and Timeliness (pipeline SLA adherence). The Trust Score is visible in the Data Marketplace and helps consumers evaluate data fitness for use.</w:t>
            </w:r>
          </w:p>
        </w:tc>
      </w:tr>
    </w:tbl>
    <w:p>
      <w:r>
        <w:br w:type="page"/>
      </w:r>
    </w:p>
    <w:p>
      <w:pPr>
        <w:pBdr>
          <w:bottom w:val="single" w:color="006580" w:sz="2" w:space="4"/>
        </w:pBdr>
        <w:spacing w:after="160" w:before="360"/>
      </w:pPr>
      <w:r>
        <w:rPr>
          <w:rFonts w:ascii="Inter" w:cs="Inter" w:eastAsia="Inter" w:hAnsi="Inter"/>
          <w:b/>
          <w:bCs/>
          <w:color w:val="19416C"/>
          <w:sz w:val="30"/>
          <w:szCs w:val="30"/>
        </w:rPr>
        <w:t xml:space="preserve">Part 4: Qlik Automations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The MCG demo includes 5 automations that demonstrate real-time alerting, scheduled operations, and closed-loop data quality workflows. All automations are built using Qlik Application Automation's no-code block-based designer.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4.1 Prerequisites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Qlik Cloud tenant with Automations entitlement enabled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Microsoft Teams connector configured in Qlik Application Automation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Teams channels created: #mcg-cold-chain-alerts, #mcg-data-engineering, #mcg-customer-ops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Teams Incoming Webhook connector configured for each channel (see Section 4.7)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All data connections active and refreshing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Gold layer data products populated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4.2 Automation Overview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Automation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Trigger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Action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Target Channel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1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Daily App Reload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Schedule: 06:00 UTC daily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Reload both analytics apps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N/A (Qlik Cloud)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2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Cold Chain Alert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Every 5 min: temp &gt; 8°C for 15+ min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Post Adaptive Card to Teams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#mcg-cold-chain-alerts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3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Pipeline Health Summary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Schedule: 07:00 UTC daily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Post summary card to Teams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#mcg-data-engineering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4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WISMO Rate Alert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Every 30 min: WISMO &gt; 40%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Post alert to Teams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#mcg-customer-ops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5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Address Correction Loop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Stewardship task approved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Trigger Talend job, update, notify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#mcg-data-engineering</w:t>
            </w:r>
          </w:p>
        </w:tc>
      </w:tr>
    </w:tbl>
    <w:p>
      <w:r>
        <w:br w:type="page"/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4.3 Automation 1: Daily App Reload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Reloads both MCG analytics apps (Supply Chain Operations and Delivery &amp; Customer Experience) every morning at 06:00 UTC before business hours.</w:t>
      </w:r>
    </w:p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Create the Automation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Navigate to Automations → Create automation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Name: "MCG Daily App Reload"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Add blocks in this order: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[Screenshot: Automation builder showing the 5-block Daily App Reload flow]</w:t>
            </w:r>
          </w:p>
        </w:tc>
      </w:tr>
    </w:tbl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Block Configuration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Block #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Type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Configuration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1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Scheduled Start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Cron: 0 6 * * * (Daily at 06:00 UTC)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2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Qlik Cloud → List Items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Filter: resourceType="app", spaceId=&lt;Development space ID&gt;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3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Control → For Each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Iterate over the app list from Block 2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4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Qlik Cloud → Reload App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App ID: {{current.resourceId}}, Wait for completion: YES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5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Control → If/Else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If status != "succeeded" → send error notification via Teams or Email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Testing: Use the "Run Now" button to test before enabling the schedule. Check the Run History tab for execution logs. If a reload fails, verify that the app owner has valid data connection credentials.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4.4 Automation 2: Cold Chain Alert → Teams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Monitors IoT cold chain data every 5 minutes. When a temperature exceedance lasting 15+ minutes is detected, an Adaptive Card is posted to the #mcg-cold-chain-alerts Teams channel.</w:t>
      </w:r>
    </w:p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Create the Automation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Navigate to Automations → Create automation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Name: "MCG Cold Chain Alert → Teams"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Add 5 blocks as described below</w:t>
      </w:r>
    </w:p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Block Configuration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Block #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Type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Configuration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1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Scheduled Start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Cron: */5 * * * * (Every 5 minutes)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2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Qlik Cloud → Query Data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Silver Table: silver.iot_normalized; Filter: exceedance_minutes &gt;= 15 AND alert_sent = false; Fields: shipment_id, route, carrier, max_temp_celsius, exceedance_minutes, estimated_loss_usd, product_type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3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Control → Condition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If result_count &gt; 0 → continue; else → end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4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Control → Loop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Iterate over query results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5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Microsoft Teams → Post Adaptive Card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See card template below</w:t>
            </w:r>
          </w:p>
        </w:tc>
      </w:tr>
    </w:tbl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Adaptive Card Template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The Teams Adaptive Card displays the following information: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Header: Cold Chain Alert — Temperature Exceedance (with warning icon)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Shipment ID, Route, Carrier (dynamic from query results)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Max Temperature (highlighted in red if &gt; 8°C)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Duration of exceedance in minutes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Estimated exposure cost in USD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Action note: "Contact carrier immediately. See SOP-SC-002 Section 4."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Action buttons: Open Cold Chain Dashboard, View Procedure (SOP-SC-002)</w:t>
      </w:r>
    </w:p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Post-Alert: Mark as Alerted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After sending the alert, update the data product to prevent duplicate alerts: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Add a 6th block: Qlik Cloud → Update Data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Set alert_sent = true WHERE shipment_id = '${shipment_id}'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The automation JSON template is available at deploy/automations/teams_cold_chain_alert.json. You can import this directly into the automation builder as a starting point.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[Screenshot: Cold Chain Alert automation showing all 6 blocks with condition and loop logic]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4.5 Automation 3: Pipeline Health Summary → Teams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Posts a daily pipeline health summary to the #mcg-data-engineering Teams channel at 07:00 UTC, showing connection status, data freshness, and trust scores.</w:t>
      </w:r>
    </w:p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Block Configuration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Block #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Type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Configuration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1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Scheduled Start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Cron: 0 7 * * * (Daily at 07:00 UTC)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2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Qlik Cloud → REST API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GET /api/v1/data-connections — Retrieve all connection statuses and last sync times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3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Qlik Cloud → Query Data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Data Product: Supply Chain Health; Aggregate: COUNT by pipeline_status, AVG(trust_score), MAX(sync_lag_minutes)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4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Control → Variable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Compose the summary template from Block 2 and Block 3 results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5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Microsoft Teams → Post Adaptive Card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Channel: #mcg-data-engineering; See card structure below</w:t>
            </w:r>
          </w:p>
        </w:tc>
      </w:tr>
    </w:tbl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Adaptive Card Contents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Header: MCG Pipeline Health — Daily Summary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Status counts: Healthy (count), Degraded (count), Failed (count)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Data freshness: PostgreSQL last sync, Kafka last sync, Salesforce last sync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Trust Scores: Inventory, Addresses, Products, Shipments (each with score)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Action button: Open Pipeline Monitor dashboard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The automation JSON template is available at deploy/automations/teams_pipeline_health.json.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4.6 Automation 4: WISMO Rate Alert → Teams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Monitors the WISMO (Where Is My Order?) rate every 30 minutes. When the rate exceeds 40% for any carrier or region combination, an alert is posted to #mcg-customer-ops.</w:t>
      </w:r>
    </w:p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Block Configuration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Block #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Type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Configuration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1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Scheduled Start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Cron: */30 * * * * (Every 30 minutes)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2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Qlik Cloud → Query Data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Data Product: Last Mile Performance; Filter: wismo_flag = true AND on_time_pct &lt; 0.60; Group by: carrier, destination_region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3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Control → Condition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If results exist → continue; else → end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4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Microsoft Teams → Post Message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Channel: #mcg-customer-ops; Include: carrier, region, WISMO rate, affected order count, dashboard link</w:t>
            </w:r>
          </w:p>
        </w:tc>
      </w:tr>
    </w:tbl>
    <w:p>
      <w:r>
        <w:br w:type="page"/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4.7 Automation 5: Address Correction Loop (Talend)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This is the most complex automation — a closed-loop workflow that triggers a Talend Address Validation job when stewardship tasks are approved, then updates data and notifies the team.</w:t>
      </w:r>
    </w:p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Block Configuration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Block #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Type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Configuration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1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Event Trigger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Stewardship Task Completed (webhook or 15-min polling)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2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Qlik Cloud → REST API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Collect approved record IDs from stewardship batch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3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Talend → Run Job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POST /api/v1/talend/jobs/&lt;address-validation-job-id&gt;/run with parameters: input_source=stewardship_batch, record_ids, source_table=silver.addresses_standardized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4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Control → Wait + Poll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Every 30 seconds, timeout 10 minutes, check job status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5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Control → Verify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Check records_processed, records_corrected, avg_confidence_score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6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Qlik Cloud → Update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Mark stewardship tasks as "Resolved" or "Needs Manual Review"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7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Microsoft Teams → Post Card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Post results to #mcg-data-engineering with correction count and confidence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8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Qlik Cloud → Trigger Refresh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Refresh downstream tables: silver.order_delivery_timeline, gold.last_mile_performance</w:t>
            </w:r>
          </w:p>
        </w:tc>
      </w:tr>
    </w:tbl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Talend Job 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Parameter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Value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input_source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stewardship_batch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record_ids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{{approvedRecords.ids}} (from Block 2)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source_table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silver.addresses_standardized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write_back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true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validation_services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PostNL, USPS, Correios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This automation demonstrates the closed-loop data quality cycle: Stewardship → Talend Validation → Silver Update → Gold Refresh → Predict Model Retrain. It's the most impactful demo for showing how human-in-the-loop governance connects to automated correction.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[Screenshot: Address Correction Loop automation showing all 8 blocks from stewardship trigger through Gold refresh]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4.8 Microsoft Teams Webhook Setup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All Teams-connected automations require an Incoming Webhook configured for each target channel.</w:t>
      </w:r>
    </w:p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Steps to Create a Webhook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In Microsoft Teams, navigate to the target channel (e.g., #mcg-cold-chain-alerts)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Click the channel name → Manage channel → Connectors (or Workflows in newer Teams versions)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Search for "Incoming Webhook" and click Configure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Name the webhook (e.g., "MCG Qlik Alerts") and optionally upload the MCG logo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5.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Click Create and copy the generated webhook URL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6.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Paste the webhook URL into the automation's Teams block configuration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7.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Also add the URL to deploy/config.json under automations.teamsWebhookUrl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9845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Create separate webhooks for each Teams channel: one for #mcg-cold-chain-alerts (Automation 2), one for #mcg-data-engineering (Automations 3 and 5), and one for #mcg-customer-ops (Automation 4).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[Screenshot: Teams channel connector settings showing Incoming Webhook configuration]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4.9 Testing Automations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Always test with Run Now before enabling the schedule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Check the Run History tab for execution logs and block-level outputs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Use the Debug panel to inspect individual block inputs and outputs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For Teams blocks, verify the webhook URL by testing with a manual curl command first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5.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Start all automations in Disabled state, test manually, then enable schedules</w:t>
      </w:r>
    </w:p>
    <w:p>
      <w:r>
        <w:br w:type="page"/>
      </w:r>
    </w:p>
    <w:p>
      <w:pPr>
        <w:pBdr>
          <w:bottom w:val="single" w:color="006580" w:sz="2" w:space="4"/>
        </w:pBdr>
        <w:spacing w:after="160" w:before="360"/>
      </w:pPr>
      <w:r>
        <w:rPr>
          <w:rFonts w:ascii="Inter" w:cs="Inter" w:eastAsia="Inter" w:hAnsi="Inter"/>
          <w:b/>
          <w:bCs/>
          <w:color w:val="19416C"/>
          <w:sz w:val="30"/>
          <w:szCs w:val="30"/>
        </w:rPr>
        <w:t xml:space="preserve">Part 5: Verification &amp; Troubleshooting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5.1 Complete Pipeline Checklist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Component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Expected Status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Verification Step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CDC Pipeline 1 (inventory)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Full Load Complete, CDC Active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Check DMG status page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CDC Pipeline 2 (events)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Full Load Complete, CDC Active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Check DMG status page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CDC Pipeline 3 (shipments)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Full Load Complete, CDC Active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Check DMG status page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Streaming Pipeline 4 (cold chain)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Running, messages flowing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Check Confluent Control Center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Streaming Pipeline 5 (carrier events)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Running, messages flowing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Check Confluent Control Center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Salesforce Pipeline 6 (contacts)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Last sync &lt; 15 min ago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Check connection status in hub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Salesforce Pipeline 7 (orders)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Last sync &lt; 15 min ago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Check connection status in hub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Salesforce Pipeline 8 (products)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Last sync &lt; 15 min ago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Check connection status in hub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Silver Routes 1-8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All transformations completed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Check Data Integration &gt; Transformations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Gold Table Recipes (7)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All recipes producing output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Check Data Catalog for row counts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Data Products (7)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All registered with Trust Score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Check Data Marketplace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Automation 1 (Reload)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Disabled (or scheduled)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Check Automations &gt; Run History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Automation 2 (Cold Chain)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Disabled (test first)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Run Now &gt; verify Teams card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Automation 3 (Pipeline Health)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Disabled (test first)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Run Now &gt; verify Teams card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Automation 4 (WISMO)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Disabled (test first)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Run Now &gt; verify Teams message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Automation 5 (Address Loop)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Disabled (test first)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Run Now &gt; verify Talend trigger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5.2 Common Issues &amp; Solutions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Issue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Likely Cause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Solution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CDC not capturing changes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WAL level not set to logical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Set wal_level=logical in PostgreSQL config; restart container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Replication slot not active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Gateway not connected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Check DMG agent status; re-register if needed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Kafka messages not flowing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Consumer group offset issue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Reset consumer group offset to earliest; check topic permissions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Salesforce sync fails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Token expired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Regenerate security token in Salesforce settings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Teams card not posting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Webhook URL invalid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Recreate webhook connector in Teams channel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Automation times out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Query too slow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Increase timeout in block settings; optimize Gold table query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Talend job fails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Wrong job ID or credentials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Verify Talend API endpoint and job ID in automation block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Duplicate alerts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Missing alert_sent flag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Add update block to set alert_sent = true after sending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Gold table empty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Silver dependencies not ready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Verify all upstream Silver tables have data before running recipe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Trust Score low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Data quality issues upstream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Check Silver data profiling; resolve Bronze data quality issues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727" w:right="1440" w:bottom="1152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09845" w:sz="4" w:space="4"/>
      </w:pBdr>
      <w:spacing w:before="0"/>
    </w:pPr>
    <w:r>
      <w:rPr>
        <w:sz w:val="4"/>
        <w:szCs w:val="4"/>
      </w:rPr>
      <w:t xml:space="preserve"/>
    </w:r>
  </w:p>
  <w:p>
    <w:pPr>
      <w:spacing w:after="0" w:before="0"/>
      <w:jc w:val="center"/>
    </w:pPr>
    <w:r>
      <w:rPr>
        <w:rFonts w:ascii="Inter" w:cs="Inter" w:eastAsia="Inter" w:hAnsi="Inter"/>
        <w:color w:val="454659"/>
        <w:sz w:val="14"/>
        <w:szCs w:val="14"/>
      </w:rPr>
      <w:t xml:space="preserve">Meridian Commerce Group  •  </w:t>
    </w:r>
    <w:r>
      <w:rPr>
        <w:rFonts w:ascii="Inter" w:cs="Inter" w:eastAsia="Inter" w:hAnsi="Inter"/>
        <w:color w:val="454659"/>
        <w:sz w:val="14"/>
        <w:szCs w:val="14"/>
      </w:rPr>
      <w:t xml:space="preserve">Weena 505, 3013 AL Rotterdam, Netherlands</w:t>
    </w:r>
  </w:p>
  <w:p>
    <w:pPr>
      <w:spacing w:after="0" w:before="0"/>
      <w:jc w:val="center"/>
    </w:pPr>
    <w:r>
      <w:rPr>
        <w:rFonts w:ascii="Inter" w:cs="Inter" w:eastAsia="Inter" w:hAnsi="Inter"/>
        <w:color w:val="454659"/>
        <w:sz w:val="14"/>
        <w:szCs w:val="14"/>
      </w:rPr>
      <w:t xml:space="preserve">+31 10 798 4000  •  www.meridiancommerce.com  •  info@meridiancommerce.com</w:t>
    </w:r>
  </w:p>
  <w:p>
    <w:pPr>
      <w:spacing w:after="0" w:before="40"/>
      <w:jc w:val="center"/>
    </w:pPr>
    <w:r>
      <w:rPr>
        <w:rFonts w:ascii="Inter" w:cs="Inter" w:eastAsia="Inter" w:hAnsi="Inter"/>
        <w:b/>
        <w:bCs/>
        <w:color w:val="009845"/>
        <w:sz w:val="13"/>
        <w:szCs w:val="13"/>
      </w:rPr>
      <w:t xml:space="preserve">CONFIDENTIAL — </w:t>
    </w:r>
    <w:r>
      <w:rPr>
        <w:rFonts w:ascii="Inter" w:cs="Inter" w:eastAsia="Inter" w:hAnsi="Inter"/>
        <w:color w:val="454659"/>
        <w:sz w:val="13"/>
        <w:szCs w:val="13"/>
      </w:rPr>
      <w:t xml:space="preserve">Page </w:t>
    </w:r>
    <w:r>
      <w:rPr>
        <w:rFonts w:ascii="Inter" w:cs="Inter" w:eastAsia="Inter" w:hAnsi="Inter"/>
        <w:color w:val="454659"/>
        <w:sz w:val="13"/>
        <w:szCs w:val="13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</w:pPr>
    <w:r>
      <w:drawing>
        <wp:inline distT="0" distB="0" distL="0" distR="0">
          <wp:extent cx="762000" cy="33337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62000" cy="3333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Inter" w:cs="Inter" w:eastAsia="Inter" w:hAnsi="Inter"/>
        <w:sz w:val="20"/>
        <w:szCs w:val="20"/>
      </w:rPr>
      <w:t xml:space="preserve">   </w:t>
    </w:r>
    <w:r>
      <w:rPr>
        <w:rFonts w:ascii="Inter" w:cs="Inter" w:eastAsia="Inter" w:hAnsi="Inter"/>
        <w:b/>
        <w:bCs/>
        <w:color w:val="19416C"/>
        <w:sz w:val="26"/>
        <w:szCs w:val="26"/>
      </w:rPr>
      <w:t xml:space="preserve">MERIDIAN</w:t>
    </w:r>
    <w:r>
      <w:rPr>
        <w:rFonts w:ascii="Inter" w:cs="Inter" w:eastAsia="Inter" w:hAnsi="Inter"/>
        <w:b w:val="false"/>
        <w:bCs w:val="false"/>
        <w:color w:val="19416C"/>
        <w:sz w:val="26"/>
        <w:szCs w:val="26"/>
      </w:rPr>
      <w:t xml:space="preserve"> COMMERCE </w:t>
    </w:r>
    <w:r>
      <w:rPr>
        <w:rFonts w:ascii="Inter" w:cs="Inter" w:eastAsia="Inter" w:hAnsi="Inter"/>
        <w:b/>
        <w:bCs/>
        <w:color w:val="009845"/>
        <w:sz w:val="26"/>
        <w:szCs w:val="26"/>
      </w:rPr>
      <w:t xml:space="preserve">GROUP</w:t>
    </w:r>
  </w:p>
  <w:p>
    <w:pPr>
      <w:spacing w:after="0"/>
    </w:pPr>
    <w:r>
      <w:rPr>
        <w:rFonts w:ascii="Inter" w:cs="Inter" w:eastAsia="Inter" w:hAnsi="Inter"/>
        <w:i/>
        <w:iCs/>
        <w:color w:val="454659"/>
        <w:sz w:val="16"/>
        <w:szCs w:val="16"/>
      </w:rPr>
      <w:t xml:space="preserve">The neighborhood store with global reach</w:t>
    </w:r>
  </w:p>
  <w:p>
    <w:pPr>
      <w:pBdr>
        <w:bottom w:val="single" w:color="009845" w:sz="8" w:space="4"/>
      </w:pBdr>
      <w:spacing w:after="0"/>
    </w:pPr>
    <w:r>
      <w:rPr>
        <w:sz w:val="4"/>
        <w:szCs w:val="4"/>
      </w:rPr>
      <w:t xml:space="preserve"/>
    </w:r>
  </w:p>
  <w:p>
    <w:pPr>
      <w:spacing w:after="0" w:before="60"/>
      <w:jc w:val="right"/>
    </w:pPr>
    <w:r>
      <w:rPr>
        <w:rFonts w:ascii="Inter" w:cs="Inter" w:eastAsia="Inter" w:hAnsi="Inter"/>
        <w:b/>
        <w:bCs/>
        <w:caps/>
        <w:color w:val="009845"/>
        <w:sz w:val="18"/>
        <w:szCs w:val="18"/>
      </w:rPr>
      <w:t xml:space="preserve">CREATION GUIDE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Inter" w:cs="Inter" w:eastAsia="Inter" w:hAnsi="Inter"/>
        <w:color w:val="454659"/>
        <w:sz w:val="22"/>
        <w:szCs w:val="22"/>
      </w:rPr>
    </w:rPrDefault>
    <w:pPrDefault>
      <w:pPr>
        <w:spacing w:after="12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360"/>
    </w:pPr>
    <w:rPr>
      <w:rFonts w:ascii="Inter" w:cs="Inter" w:eastAsia="Inter" w:hAnsi="Inter"/>
      <w:b/>
      <w:bCs/>
      <w:color w:val="19416C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00"/>
    </w:pPr>
    <w:rPr>
      <w:rFonts w:ascii="Inter" w:cs="Inter" w:eastAsia="Inter" w:hAnsi="Inter"/>
      <w:b/>
      <w:bCs/>
      <w:color w:val="006580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Inter" w:cs="Inter" w:eastAsia="Inter" w:hAnsi="Inter"/>
      <w:b/>
      <w:bCs/>
      <w:color w:val="19416C"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aliases w:val="Subhead"/>
    <w:qFormat/>
    <w:rsid w:val="00437EFB"/>
    <w:rPr>
      <w:rFonts w:ascii="Inter" w:eastAsiaTheme="minorEastAsia" w:hAnsi="Inter"/>
      <w:color w:val="009845" w:themeColor="accent1"/>
    </w:rPr>
  </w:style>
  <w:style w:type="paragraph" w:styleId="Heading2">
    <w:name w:val="heading 2"/>
    <w:basedOn w:val="BodyP"/>
    <w:next w:val="Normal"/>
    <w:link w:val="Heading2Char"/>
    <w:uiPriority w:val="9"/>
    <w:unhideWhenUsed/>
    <w:qFormat/>
    <w:rsid w:val="00CF335B"/>
    <w:pPr>
      <w:spacing w:before="360" w:after="100" w:afterAutospacing="1" w:line="240" w:lineRule="auto"/>
      <w:outlineLvl w:val="1"/>
    </w:pPr>
    <w:rPr>
      <w:b/>
      <w:bCs/>
      <w:color w:val="FFFFFF" w:themeColor="background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4135D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4135D2"/>
    <w:rPr>
      <w:rFonts w:eastAsiaTheme="minorEastAsia"/>
    </w:rPr>
  </w:style>
  <w:style w:type="paragraph" w:styleId="Footer">
    <w:name w:val="footer"/>
    <w:basedOn w:val="Normal"/>
    <w:link w:val="FooterChar"/>
    <w:uiPriority w:val="99"/>
    <w:unhideWhenUsed/>
    <w:rsid w:val="004135D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4135D2"/>
    <w:rPr>
      <w:rFonts w:eastAsiaTheme="minorEastAsia"/>
    </w:rPr>
  </w:style>
  <w:style w:type="paragraph" w:customStyle="1" w:styleId="Sectiontype">
    <w:name w:val="Section type"/>
    <w:basedOn w:val="Normal"/>
    <w:qFormat/>
    <w:rsid w:val="00E52BED"/>
    <w:pPr>
      <w:tabs>
        <w:tab w:val="right" w:pos="10080"/>
      </w:tabs>
      <w:suppressAutoHyphens/>
      <w:autoSpaceDE w:val="0"/>
      <w:autoSpaceDN w:val="0"/>
      <w:adjustRightInd w:val="0"/>
      <w:spacing w:before="600" w:after="240" w:line="480" w:lineRule="auto"/>
      <w:textAlignment w:val="center"/>
    </w:pPr>
    <w:rPr>
      <w:rFonts w:ascii="Arial" w:eastAsiaTheme="minorHAnsi" w:hAnsi="Arial" w:cs="Source Sans Pro Light"/>
      <w:b/>
      <w:noProof/>
      <w:color w:val="FFFFFF" w:themeColor="background1"/>
      <w:spacing w:val="40"/>
      <w:kern w:val="0"/>
      <w:sz w:val="20"/>
      <w:szCs w:val="20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B41EC6"/>
    <w:pPr>
      <w:tabs>
        <w:tab w:val="right" w:pos="10080"/>
      </w:tabs>
      <w:suppressAutoHyphens/>
      <w:autoSpaceDE w:val="0"/>
      <w:autoSpaceDN w:val="0"/>
      <w:adjustRightInd w:val="0"/>
      <w:spacing w:before="240" w:line="276" w:lineRule="auto"/>
      <w:textAlignment w:val="center"/>
    </w:pPr>
    <w:rPr>
      <w:rFonts w:eastAsiaTheme="minorHAnsi" w:cs="Source Sans Pro Light"/>
      <w:color w:val="54565A"/>
      <w:kern w:val="0"/>
      <w:sz w:val="28"/>
      <w:szCs w:val="36"/>
      <w:u w:val="single"/>
      <w14:ligatures w14:val="none"/>
    </w:rPr>
  </w:style>
  <w:style w:type="character" w:styleId="PageNumber">
    <w:name w:val="page number"/>
    <w:basedOn w:val="DefaultParagraphFont"/>
    <w:uiPriority w:val="99"/>
    <w:semiHidden/>
    <w:unhideWhenUsed/>
    <w:rsid w:val="00003DD4"/>
  </w:style>
  <w:style w:type="paragraph" w:customStyle="1" w:styleId="BodyP">
    <w:name w:val="Body P"/>
    <w:basedOn w:val="Normal"/>
    <w:qFormat/>
    <w:rsid w:val="00DF103C"/>
    <w:pPr>
      <w:suppressAutoHyphens/>
      <w:autoSpaceDE w:val="0"/>
      <w:autoSpaceDN w:val="0"/>
      <w:adjustRightInd w:val="0"/>
      <w:spacing w:before="200" w:after="240" w:line="360" w:lineRule="auto"/>
      <w:textAlignment w:val="center"/>
    </w:pPr>
    <w:rPr>
      <w:rFonts w:eastAsiaTheme="minorHAnsi" w:cs="Source Sans Pro"/>
      <w:color w:val="454659" w:themeColor="text1"/>
      <w:kern w:val="0"/>
      <w:sz w:val="21"/>
      <w:szCs w:val="21"/>
      <w14:ligatures w14:val="none"/>
    </w:rPr>
  </w:style>
  <w:style w:type="paragraph" w:customStyle="1" w:styleId="Bullets1">
    <w:name w:val="Bullets 1"/>
    <w:basedOn w:val="BodyP"/>
    <w:qFormat/>
    <w:rsid w:val="00DF103C"/>
    <w:pPr>
      <w:numPr>
        <w:numId w:val="1"/>
      </w:numPr>
      <w:spacing w:after="120"/>
    </w:pPr>
    <w:rPr>
      <w:szCs w:val="22"/>
    </w:rPr>
  </w:style>
  <w:style w:type="character" w:customStyle="1" w:styleId="normaltextrun">
    <w:name w:val="normaltextrun"/>
    <w:basedOn w:val="DefaultParagraphFont"/>
    <w:rsid w:val="00A72D33"/>
  </w:style>
  <w:style w:type="paragraph" w:customStyle="1" w:styleId="Intro">
    <w:name w:val="Intro"/>
    <w:basedOn w:val="Normal"/>
    <w:qFormat/>
    <w:rsid w:val="00DF103C"/>
    <w:pPr>
      <w:suppressAutoHyphens/>
      <w:autoSpaceDE w:val="0"/>
      <w:autoSpaceDN w:val="0"/>
      <w:adjustRightInd w:val="0"/>
      <w:spacing w:after="120" w:line="360" w:lineRule="auto"/>
      <w:textAlignment w:val="center"/>
    </w:pPr>
    <w:rPr>
      <w:rFonts w:eastAsiaTheme="minorHAnsi" w:cs="Times New Roman (Body CS)"/>
      <w:b/>
      <w:bCs/>
      <w:kern w:val="0"/>
      <w:sz w:val="36"/>
      <w:szCs w:val="36"/>
      <w14:ligatures w14:val="none"/>
    </w:rPr>
  </w:style>
  <w:style w:type="paragraph" w:styleId="ListParagraph">
    <w:name w:val="List Paragraph"/>
    <w:basedOn w:val="Normal"/>
    <w:uiPriority w:val="34"/>
    <w:qFormat/>
    <w:rsid w:val="00703498"/>
    <w:pPr>
      <w:ind w:left="720"/>
      <w:contextualSpacing/>
    </w:pPr>
  </w:style>
  <w:style w:type="table" w:styleId="TableGrid">
    <w:name w:val="Table Grid"/>
    <w:basedOn w:val="TableNormal"/>
    <w:uiPriority w:val="59"/>
    <w:rsid w:val="007E4CE3"/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spacer">
    <w:name w:val="spacer"/>
    <w:basedOn w:val="Normal"/>
    <w:uiPriority w:val="99"/>
    <w:qFormat/>
    <w:rsid w:val="007E4CE3"/>
    <w:pPr>
      <w:tabs>
        <w:tab w:val="center" w:pos="4680"/>
        <w:tab w:val="right" w:pos="9360"/>
      </w:tabs>
    </w:pPr>
    <w:rPr>
      <w:rFonts w:eastAsiaTheme="minorHAnsi"/>
      <w:color w:val="454659" w:themeColor="text1"/>
      <w:kern w:val="0"/>
      <w:sz w:val="2"/>
      <w:szCs w:val="2"/>
      <w14:ligatures w14:val="none"/>
    </w:rPr>
  </w:style>
  <w:style w:type="paragraph" w:customStyle="1" w:styleId="SidebarBody">
    <w:name w:val="Sidebar Body"/>
    <w:basedOn w:val="Normal"/>
    <w:link w:val="SidebarBodyChar"/>
    <w:qFormat/>
    <w:rsid w:val="007E4CE3"/>
    <w:pPr>
      <w:framePr w:hSpace="180" w:wrap="around" w:vAnchor="text" w:hAnchor="text" w:x="6840" w:y="1"/>
      <w:spacing w:after="120" w:line="240" w:lineRule="atLeast"/>
      <w:ind w:left="288" w:right="58"/>
      <w:suppressOverlap/>
    </w:pPr>
    <w:rPr>
      <w:rFonts w:eastAsiaTheme="minorHAnsi"/>
      <w:color w:val="93579C" w:themeColor="accent6"/>
      <w:kern w:val="0"/>
      <w:sz w:val="18"/>
      <w:szCs w:val="20"/>
      <w14:ligatures w14:val="none"/>
    </w:rPr>
  </w:style>
  <w:style w:type="character" w:customStyle="1" w:styleId="SidebarBodyChar">
    <w:name w:val="Sidebar Body Char"/>
    <w:basedOn w:val="DefaultParagraphFont"/>
    <w:link w:val="SidebarBody"/>
    <w:rsid w:val="007E4CE3"/>
    <w:rPr>
      <w:color w:val="93579C" w:themeColor="accent6"/>
      <w:kern w:val="0"/>
      <w:sz w:val="18"/>
      <w:szCs w:val="20"/>
      <w14:ligatures w14:val="none"/>
    </w:rPr>
  </w:style>
  <w:style w:type="paragraph" w:customStyle="1" w:styleId="SidebarHeading1">
    <w:name w:val="Sidebar Heading 1"/>
    <w:basedOn w:val="SidebarBody"/>
    <w:next w:val="SidebarBody"/>
    <w:link w:val="SidebarHeading1Char"/>
    <w:qFormat/>
    <w:rsid w:val="007E4CE3"/>
    <w:pPr>
      <w:framePr w:wrap="around"/>
      <w:spacing w:before="120" w:after="240"/>
    </w:pPr>
    <w:rPr>
      <w:rFonts w:cstheme="minorHAnsi"/>
      <w:b/>
      <w:sz w:val="24"/>
      <w:szCs w:val="24"/>
    </w:rPr>
  </w:style>
  <w:style w:type="character" w:customStyle="1" w:styleId="SidebarHeading1Char">
    <w:name w:val="Sidebar Heading 1 Char"/>
    <w:basedOn w:val="DefaultParagraphFont"/>
    <w:link w:val="SidebarHeading1"/>
    <w:rsid w:val="007E4CE3"/>
    <w:rPr>
      <w:rFonts w:cstheme="minorHAnsi"/>
      <w:b/>
      <w:color w:val="93579C" w:themeColor="accent6"/>
      <w:kern w:val="0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CF335B"/>
    <w:rPr>
      <w:rFonts w:ascii="Arial" w:hAnsi="Arial" w:cs="Source Sans Pro"/>
      <w:b/>
      <w:bCs/>
      <w:color w:val="FFFFFF" w:themeColor="background1"/>
      <w:kern w:val="0"/>
      <w:sz w:val="22"/>
      <w:szCs w:val="22"/>
      <w14:ligatures w14:val="none"/>
    </w:rPr>
  </w:style>
  <w:style w:type="paragraph" w:customStyle="1" w:styleId="SidebarListBullet">
    <w:name w:val="Sidebar List Bullet"/>
    <w:basedOn w:val="Normal"/>
    <w:next w:val="Normal"/>
    <w:link w:val="SidebarListBulletChar"/>
    <w:qFormat/>
    <w:rsid w:val="000C317D"/>
    <w:pPr>
      <w:framePr w:hSpace="180" w:wrap="around" w:vAnchor="text" w:hAnchor="text" w:x="6840" w:y="1"/>
      <w:numPr>
        <w:numId w:val="3"/>
      </w:numPr>
      <w:spacing w:before="80" w:after="80" w:line="200" w:lineRule="atLeast"/>
      <w:ind w:left="540" w:hanging="180"/>
      <w:contextualSpacing/>
      <w:suppressOverlap/>
    </w:pPr>
    <w:rPr>
      <w:rFonts w:eastAsiaTheme="minorHAnsi"/>
      <w:bCs/>
      <w:color w:val="93579C" w:themeColor="accent6"/>
      <w:kern w:val="0"/>
      <w:sz w:val="18"/>
      <w:szCs w:val="20"/>
      <w14:ligatures w14:val="none"/>
    </w:rPr>
  </w:style>
  <w:style w:type="character" w:customStyle="1" w:styleId="SidebarListBulletChar">
    <w:name w:val="Sidebar List Bullet Char"/>
    <w:basedOn w:val="DefaultParagraphFont"/>
    <w:link w:val="SidebarListBullet"/>
    <w:rsid w:val="000C317D"/>
    <w:rPr>
      <w:bCs/>
      <w:color w:val="93579C" w:themeColor="accent6"/>
      <w:kern w:val="0"/>
      <w:sz w:val="18"/>
      <w:szCs w:val="20"/>
      <w14:ligatures w14:val="none"/>
    </w:rPr>
  </w:style>
  <w:style w:type="paragraph" w:customStyle="1" w:styleId="SidebarHeading2">
    <w:name w:val="Sidebar Heading 2"/>
    <w:basedOn w:val="SidebarHeading1"/>
    <w:qFormat/>
    <w:rsid w:val="000C317D"/>
    <w:pPr>
      <w:framePr w:wrap="around"/>
      <w:spacing w:before="180" w:after="120"/>
    </w:pPr>
    <w:rPr>
      <w:sz w:val="18"/>
      <w:szCs w:val="18"/>
    </w:rPr>
  </w:style>
  <w:style w:type="paragraph" w:customStyle="1" w:styleId="SidebarQuote">
    <w:name w:val="Sidebar Quote"/>
    <w:basedOn w:val="SidebarBody"/>
    <w:qFormat/>
    <w:rsid w:val="000C317D"/>
    <w:pPr>
      <w:framePr w:wrap="around"/>
      <w:spacing w:after="0" w:line="360" w:lineRule="auto"/>
      <w:ind w:hanging="14"/>
    </w:pPr>
    <w:rPr>
      <w:color w:val="10CFC9" w:themeColor="accent2"/>
      <w:sz w:val="24"/>
      <w:szCs w:val="24"/>
    </w:rPr>
  </w:style>
  <w:style w:type="paragraph" w:customStyle="1" w:styleId="BasicParagraph">
    <w:name w:val="[Basic Paragraph]"/>
    <w:basedOn w:val="Normal"/>
    <w:uiPriority w:val="99"/>
    <w:rsid w:val="0063694C"/>
    <w:pPr>
      <w:suppressAutoHyphens/>
      <w:autoSpaceDE w:val="0"/>
      <w:autoSpaceDN w:val="0"/>
      <w:adjustRightInd w:val="0"/>
      <w:spacing w:line="384" w:lineRule="atLeast"/>
      <w:textAlignment w:val="center"/>
    </w:pPr>
    <w:rPr>
      <w:rFonts w:ascii="Source Sans Pro" w:eastAsiaTheme="minorHAnsi" w:hAnsi="Source Sans Pro" w:cs="Source Sans Pro"/>
      <w:color w:val="0C2332"/>
      <w:kern w:val="0"/>
      <w:sz w:val="22"/>
      <w:lang w:bidi="gu-IN"/>
      <w14:ligatures w14:val="none"/>
    </w:rPr>
  </w:style>
  <w:style w:type="paragraph" w:styleId="BodyText">
    <w:name w:val="Body Text"/>
    <w:basedOn w:val="Normal"/>
    <w:link w:val="BodyTextChar"/>
    <w:uiPriority w:val="1"/>
    <w:qFormat/>
    <w:rsid w:val="0063694C"/>
    <w:pPr>
      <w:widowControl w:val="0"/>
      <w:autoSpaceDE w:val="0"/>
      <w:autoSpaceDN w:val="0"/>
    </w:pPr>
    <w:rPr>
      <w:rFonts w:eastAsia="Inter" w:cs="Inter"/>
      <w:color w:val="auto"/>
      <w:kern w:val="0"/>
      <w:sz w:val="20"/>
      <w:szCs w:val="20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63694C"/>
    <w:rPr>
      <w:rFonts w:ascii="Inter" w:eastAsia="Inter" w:hAnsi="Inter" w:cs="Inter"/>
      <w:kern w:val="0"/>
      <w:sz w:val="20"/>
      <w:szCs w:val="20"/>
      <w14:ligatures w14:val="none"/>
    </w:rPr>
  </w:style>
  <w:style w:type="character" w:customStyle="1" w:styleId="CopySmall">
    <w:name w:val="Copy Small"/>
    <w:basedOn w:val="DefaultParagraphFont"/>
    <w:uiPriority w:val="99"/>
    <w:rsid w:val="0063694C"/>
    <w:rPr>
      <w:rFonts w:ascii="Inter" w:hAnsi="Inter" w:cs="Inter"/>
      <w:outline/>
      <w:spacing w:val="-2"/>
      <w:sz w:val="18"/>
      <w:szCs w:val="18"/>
    </w:rPr>
  </w:style>
  <w:style w:type="character" w:customStyle="1" w:styleId="Footnotes">
    <w:name w:val="Footnotes"/>
    <w:basedOn w:val="DefaultParagraphFont"/>
    <w:uiPriority w:val="99"/>
    <w:rsid w:val="0063694C"/>
    <w:rPr>
      <w:rFonts w:ascii="Inter" w:hAnsi="Inter" w:cs="Inter"/>
      <w:outline/>
      <w:spacing w:val="0"/>
      <w:sz w:val="10"/>
      <w:szCs w:val="10"/>
    </w:rPr>
  </w:style>
  <w:style w:type="character" w:styleId="Hyperlink">
    <w:name w:val="Hyperlink"/>
    <w:basedOn w:val="DefaultParagraphFont"/>
    <w:uiPriority w:val="99"/>
    <w:unhideWhenUsed/>
    <w:rsid w:val="001D12C4"/>
    <w:rPr>
      <w:color w:val="009845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D12C4"/>
    <w:rPr>
      <w:color w:val="605E5C"/>
      <w:shd w:val="clear" w:color="auto" w:fill="E1DFDD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9df9435ca988fd40276d8768db82a6e2917dd79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2026-06-12T17:58:21.107Z</dcterms:created>
  <dcterms:modified xsi:type="dcterms:W3CDTF">2026-06-12T17:58:21.108Z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