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 10-page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Deploy UI landing page at localhost:3939 showing the MCG Deployment Wizard with 10 setup steps listed on the left navigation panel]</w:t>
            </w:r>
          </w:p>
        </w:tc>
      </w:tr>
    </w:tbl>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Authentication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the local Kafka/PostgreSQL/simulator stack (optional DMG)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 &amp; Infrastructure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shared and managed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PostgreSQL, Kafka, and Salesforce connections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analytics apps and apply the MCG theme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Documents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Teams alerting automation templates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 plus the Declarative Pipeline: import, prepare, start tasks, attach datasets, publish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Import business glossary terms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 The complete pipeline — landing tasks, all transformations with custom SQL, daily schedules, and connection bindings — is defined as version-controlled YAML in deploy/pipelines/mcg-pipeline/ (QTCP declarative pipelines preview) and deployed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Daily refresh schedules are declared in the YAML itself (qtcp_tasks/*/schedule.yaml): silver transform daily at 05:30 UTC and gold datamart daily at 06:00 UTC, both alongside event-based cascade triggers.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mcg-pipeline.zip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(7 Data Products)</w:t>
      </w:r>
    </w:p>
    <w:p>
      <w:pPr>
        <w:spacing w:after="120"/>
        <w:jc w:val="left"/>
      </w:pPr>
      <w:r>
        <w:rPr>
          <w:rFonts w:ascii="Inter" w:cs="Inter" w:eastAsia="Inter" w:hAnsi="Inter"/>
          <w:b w:val="false"/>
          <w:bCs w:val="false"/>
          <w:i w:val="false"/>
          <w:iCs w:val="false"/>
          <w:color w:val="454659"/>
          <w:sz w:val="21"/>
          <w:szCs w:val="21"/>
        </w:rPr>
        <w:t xml:space="preserve">The gold layer contains business-ready, governed data products created from silver layer sources. The two core marts ship in the declarative project; Table Recipes define the rest: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gold.cold_chain_compliance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iot_normalized + 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Lars Eriksson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Temperature exceedance monitoring, spoilage risk scoring, carrier cold chain compliance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gold.product_master_health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products_harmonized + 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Thomas Berger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completeness, weight/UoM coverage, supplier deduplication status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gold.compliance_traceability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Dr. Elena Vasquez</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Farm-to-shelf lot traceability, recall readiness, NVWA regulatory compliance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gold.pipeline_timestamp_audit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Priya Ramanathan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pipeline health, data freshness, timestamp normalization status — early-warning for silent failures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gold.customer_quality_index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addresses_standardized + order_delivery_timeline + 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scoring, deduplication status, delivery failure rate, WISMO rate by customer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all 7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gold.inventory_health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Alert when WISMO rate exceeds 40% for any carrier or region combination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Spoilage Risk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Spoilage Risk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spoilage_risk_score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Regression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the model performance metrics (R², RMSE, feature importance)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Delivery SLA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sla_met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Campaigns</w:t>
      </w:r>
    </w:p>
    <w:p>
      <w:pPr>
        <w:spacing w:after="120"/>
        <w:jc w:val="left"/>
      </w:pPr>
      <w:r>
        <w:rPr>
          <w:rFonts w:ascii="Inter" w:cs="Inter" w:eastAsia="Inter" w:hAnsi="Inter"/>
          <w:b w:val="false"/>
          <w:bCs w:val="false"/>
          <w:i w:val="false"/>
          <w:iCs w:val="false"/>
          <w:color w:val="454659"/>
          <w:sz w:val="21"/>
          <w:szCs w:val="21"/>
        </w:rPr>
        <w:t xml:space="preserve">Stewardship campaigns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Campaigns</w:t>
      </w:r>
    </w:p>
    <w:p>
      <w:pPr>
        <w:spacing w:after="120"/>
        <w:jc w:val="left"/>
      </w:pPr>
      <w:r>
        <w:rPr>
          <w:rFonts w:ascii="Inter" w:cs="Inter" w:eastAsia="Inter" w:hAnsi="Inter"/>
          <w:b w:val="false"/>
          <w:bCs w:val="false"/>
          <w:i w:val="false"/>
          <w:iCs w:val="false"/>
          <w:color w:val="454659"/>
          <w:sz w:val="21"/>
          <w:szCs w:val="21"/>
        </w:rPr>
        <w:t xml:space="preserve">Create four stewardship campaigns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Campaign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Campaign Setup Steps</w:t>
      </w:r>
    </w:p>
    <w:p>
      <w:pPr>
        <w:spacing w:after="120"/>
        <w:jc w:val="left"/>
      </w:pPr>
      <w:r>
        <w:rPr>
          <w:rFonts w:ascii="Inter" w:cs="Inter" w:eastAsia="Inter" w:hAnsi="Inter"/>
          <w:b w:val="false"/>
          <w:bCs w:val="false"/>
          <w:i w:val="false"/>
          <w:iCs w:val="false"/>
          <w:color w:val="454659"/>
          <w:sz w:val="21"/>
          <w:szCs w:val="21"/>
        </w:rPr>
        <w:t xml:space="preserve">For each campaign: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Campaign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campaign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campaign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campaign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campaign before the demo to show the workflow. Aim for 5-10 resolved records per campaign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campaigns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campaigns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2026-06-12T17:58:20.587Z</dcterms:created>
  <dcterms:modified xsi:type="dcterms:W3CDTF">2026-06-12T17:58:20.588Z</dcterms:modified>
</cp:coreProperties>
</file>

<file path=docProps/custom.xml><?xml version="1.0" encoding="utf-8"?>
<Properties xmlns="http://schemas.openxmlformats.org/officeDocument/2006/custom-properties" xmlns:vt="http://schemas.openxmlformats.org/officeDocument/2006/docPropsVTypes"/>
</file>