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6580" w:sz="2" w:space="4"/>
        </w:pBdr>
        <w:spacing w:after="160" w:before="360"/>
      </w:pPr>
      <w:r>
        <w:rPr>
          <w:rFonts w:ascii="Inter" w:cs="Inter" w:eastAsia="Inter" w:hAnsi="Inter"/>
          <w:b/>
          <w:bCs/>
          <w:color w:val="19416C"/>
          <w:sz w:val="30"/>
          <w:szCs w:val="30"/>
        </w:rPr>
        <w:t xml:space="preserve">Module 10: Qlik Stewardship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8-10 minutes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Checklist Phase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Phase 8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Nightmares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#2 (Address), #3 (Product Master), #7 (Compliance)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Qlik Stewardship campaigns, human-in-the-loop data quality</w:t>
            </w:r>
          </w:p>
        </w:tc>
      </w:tr>
    </w:tbl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Overview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Some data quality issues can't be fixed algorithmically — they need human judgment. Stewardship campaigns route ambiguous records to domain experts for review: fuzzy address matches, duplicate suppliers, missing product weights, and compliance gaps. This is human-in-the-loop data quality at scale.</w:t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The 4 Campaigns</w:t>
      </w:r>
    </w:p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Campaign 1: Address Cleanup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silver.addresses_standardized (fuzzy match candidates with 85-90% confidence)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~640 address pairs (3.2% of 20,000 customer records)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Assignee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Customer Data Team (Sophie Muller)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Task Type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Merge/Split decision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Nightmare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#2 — Address Catastrophe</w:t>
            </w:r>
          </w:p>
        </w:tc>
      </w:tr>
    </w:tbl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Example task: "Are these the same customer?"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Record A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Record B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Name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Jan de Vries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Jan De Vries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Address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Keizersgracht 482, Apartment 4B, 1017 EJ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Keizersgracht 482, Apt 4B, 1017EJ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Match Confidence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88%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Campaign 2: Supplier Deduplication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silver.suppliers_deduped (fuzzy match candidates)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~80 supplier groups with 2-4 potential duplicates each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Assignee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Procurement Team (Thomas Berger)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Task Type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Confirm match / reject match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Nightmare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#3 — Product Master Mess</w:t>
            </w:r>
          </w:p>
        </w:tc>
      </w:tr>
    </w:tbl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Campaign 3: Missing Product Weights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silver.products_harmonized (weight_kg IS NULL or = 0)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8,200 products with missing weight data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Assignee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Product Data Team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Task Type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Fill in missing values from source documents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Nightmare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#3 — Product Master Mess</w:t>
            </w:r>
          </w:p>
        </w:tc>
      </w:tr>
    </w:tbl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Campaign 4: Lot Number Compliance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silver.inventory_reconciled (perishable = TRUE AND lot_number IS NULL)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15% of perishable grocery items (~2,400 records)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Assignee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Warehouse Supervisors / Quality Team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Task Type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Assign lot number from physical inventory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Nightmare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#7 — Compliance Traceability Gap</w:t>
            </w:r>
          </w:p>
        </w:tc>
      </w:tr>
    </w:tbl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Demo Methodology: Tell → Show → Tell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none"/>
              <w:left w:val="none"/>
              <w:bottom w:val="none"/>
              <w:right w:val="none"/>
            </w:tcBorders>
            <w:shd w:color="19416C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8%"/>
            <w:shd w:color="E3EAF3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19416C"/>
                <w:sz w:val="18"/>
                <w:szCs w:val="18"/>
              </w:rPr>
              <w:t xml:space="preserve">Limbic Opening  (Illustrative Analogy)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454659"/>
                <w:sz w:val="20"/>
                <w:szCs w:val="20"/>
              </w:rPr>
              <w:t xml:space="preserve">MCG's data quality team estimated that 18.4 million customer address records needed review. Impossible to automate — a machine can normalize formatting, but only a human can decide whether '123 Keizersgracht' and '123-A Keizersgracht Apt 2' are the same customer. Stewardship puts domain experts in the loop for the decisions that require human judgment.</w:t>
            </w:r>
          </w:p>
        </w:tc>
      </w:tr>
    </w:tbl>
    <w:p>
      <w:pPr>
        <w:spacing w:after="80" w:before="80"/>
      </w:pPr>
      <w:r>
        <w:rPr>
          <w:rFonts w:ascii="Inter" w:cs="Inter" w:eastAsia="Inter" w:hAnsi="Inter"/>
          <w:b/>
          <w:bCs/>
          <w:color w:val="10CFC9"/>
          <w:sz w:val="20"/>
          <w:szCs w:val="20"/>
        </w:rPr>
        <w:t xml:space="preserve">Ask the audience: </w:t>
      </w:r>
      <w:r>
        <w:rPr>
          <w:rFonts w:ascii="Inter" w:cs="Inter" w:eastAsia="Inter" w:hAnsi="Inter"/>
          <w:i/>
          <w:iCs/>
          <w:color w:val="454659"/>
          <w:sz w:val="20"/>
          <w:szCs w:val="20"/>
        </w:rPr>
        <w:t xml:space="preserve">"When you find data quality issues that can't be fixed automatically, what's your current process — spreadsheets? Email chains?"</w:t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Demo Walk-Through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006580" w:sz="1"/>
              <w:left w:val="single" w:color="006580" w:sz="6"/>
              <w:bottom w:val="single" w:color="006580" w:sz="1"/>
              <w:right w:val="none"/>
            </w:tcBorders>
            <w:shd w:color="E0F2F5" w:val="solid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/>
                <w:bCs/>
                <w:color w:val="006580"/>
                <w:sz w:val="16"/>
                <w:szCs w:val="16"/>
              </w:rPr>
              <w:t xml:space="preserve">TELL (before showing)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454659"/>
                <w:sz w:val="18"/>
                <w:szCs w:val="18"/>
              </w:rPr>
              <w:t xml:space="preserve">I'll show you four campaigns that assign data quality tasks to the people who actually understand the data — logistics experts for addresses, procurement for suppliers, warehouse supervisors for lot numbers. Each task has context, comparison views, and one-click resolution.</w:t>
            </w:r>
          </w:p>
        </w:tc>
      </w:tr>
    </w:tbl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Navigate to Qlik Stewardship &gt; Campaigns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Open the Address Cleanup campaign — show the task list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3.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Open an address task — show side-by-side comparison of two records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4.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Demonstrate the Merge decision — click Merge, confirm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5.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Show the campaign dashboard: tasks completed, pending, accuracy trend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6.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Open Missing Weights campaign — show the bulk review interface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7.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Explain: approved corrections flow back through the Automation (Module 12) to update Silver tables</w:t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Talking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009845" w:sz="1"/>
              <w:left w:val="single" w:color="009845" w:sz="6"/>
              <w:bottom w:val="single" w:color="009845" w:sz="1"/>
              <w:right w:val="none"/>
            </w:tcBorders>
            <w:shd w:color="E0F5EA" w:val="solid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/>
                <w:bCs/>
                <w:color w:val="009845"/>
                <w:sz w:val="16"/>
                <w:szCs w:val="16"/>
              </w:rPr>
              <w:t xml:space="preserve">TELL (after showing)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454659"/>
                <w:sz w:val="18"/>
                <w:szCs w:val="18"/>
              </w:rPr>
              <w:t xml:space="preserve">Four campaigns, four different domain teams, one unified workflow. The key: corrections approved in Stewardship flow back through the Lakehouse automatically. This is a closed-loop data quality cycle — not a one-time cleanup but a continuous improvement process.</w:t>
            </w:r>
          </w:p>
        </w:tc>
      </w:tr>
    </w:tbl>
    <w:p>
      <w:pPr>
        <w:spacing w:after="100" w:before="60"/>
      </w:pPr>
      <w:r>
        <w:rPr>
          <w:rFonts w:ascii="Inter" w:cs="Inter" w:eastAsia="Inter" w:hAnsi="Inter"/>
          <w:color w:val="454659"/>
          <w:sz w:val="20"/>
          <w:szCs w:val="20"/>
        </w:rPr>
        <w:t xml:space="preserve">Assign data quality tasks to domain experts who understand the data</w:t>
      </w:r>
      <w:r>
        <w:rPr>
          <w:rFonts w:ascii="Inter" w:cs="Inter" w:eastAsia="Inter" w:hAnsi="Inter"/>
          <w:b/>
          <w:bCs/>
          <w:color w:val="009845"/>
          <w:sz w:val="20"/>
          <w:szCs w:val="20"/>
        </w:rPr>
        <w:t xml:space="preserve">  →  so you can  </w:t>
      </w:r>
      <w:r>
        <w:rPr>
          <w:rFonts w:ascii="Inter" w:cs="Inter" w:eastAsia="Inter" w:hAnsi="Inter"/>
          <w:color w:val="454659"/>
          <w:sz w:val="20"/>
          <w:szCs w:val="20"/>
        </w:rPr>
        <w:t xml:space="preserve">resolve quality issues that automation can't handle</w:t>
      </w:r>
      <w:r>
        <w:rPr>
          <w:rFonts w:ascii="Inter" w:cs="Inter" w:eastAsia="Inter" w:hAnsi="Inter"/>
          <w:b/>
          <w:bCs/>
          <w:color w:val="009845"/>
          <w:sz w:val="20"/>
          <w:szCs w:val="20"/>
        </w:rPr>
        <w:t xml:space="preserve">  →  so you can  </w:t>
      </w:r>
      <w:r>
        <w:rPr>
          <w:rFonts w:ascii="Inter" w:cs="Inter" w:eastAsia="Inter" w:hAnsi="Inter"/>
          <w:color w:val="454659"/>
          <w:sz w:val="20"/>
          <w:szCs w:val="20"/>
        </w:rPr>
        <w:t xml:space="preserve">continuously improve data quality instead of accepting the $3.1M annual cost of bad carrier delivery failures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Not everything can be automated — Stewardship puts humans in the loop where judgment matters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Domain experts review data quality issues they actually understand (logistics people for addresses, procurement for suppliers)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Campaign dashboards show progress — management sees task completion rates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Approved corrections feed back into the Lakehouse — the closed-loop data quality cycle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The alternative is ignoring these issues — $3.1M/year in carrier delivery failures from bad addresses, plus $14.8M in WISMO call costs. The full Address Catastrophe is $31M once you include customer churn</w:t>
      </w:r>
    </w:p>
    <w:sectPr>
      <w:headerReference w:type="default" r:id="rId7"/>
      <w:footerReference w:type="default" r:id="rId8"/>
      <w:pgSz w:w="11906" w:h="16838" w:orient="portrait"/>
      <w:pgMar w:top="1727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845" w:sz="4" w:space="4"/>
      </w:pBdr>
      <w:spacing w:before="0"/>
    </w:pPr>
    <w:r>
      <w:rPr>
        <w:sz w:val="4"/>
        <w:szCs w:val="4"/>
      </w:rPr>
      <w:t xml:space="preserve"/>
    </w:r>
  </w:p>
  <w:p>
    <w:pPr>
      <w:spacing w:after="0" w:before="0"/>
      <w:jc w:val="center"/>
    </w:pPr>
    <w:r>
      <w:rPr>
        <w:rFonts w:ascii="Inter" w:cs="Inter" w:eastAsia="Inter" w:hAnsi="Inter"/>
        <w:color w:val="454659"/>
        <w:sz w:val="14"/>
        <w:szCs w:val="14"/>
      </w:rPr>
      <w:t xml:space="preserve">Meridian Commerce Group  •  </w:t>
    </w:r>
    <w:r>
      <w:rPr>
        <w:rFonts w:ascii="Inter" w:cs="Inter" w:eastAsia="Inter" w:hAnsi="Inter"/>
        <w:color w:val="454659"/>
        <w:sz w:val="14"/>
        <w:szCs w:val="14"/>
      </w:rPr>
      <w:t xml:space="preserve">Weena 505, 3013 AL Rotterdam, Netherlands</w:t>
    </w:r>
  </w:p>
  <w:p>
    <w:pPr>
      <w:spacing w:after="0" w:before="0"/>
      <w:jc w:val="center"/>
    </w:pPr>
    <w:r>
      <w:rPr>
        <w:rFonts w:ascii="Inter" w:cs="Inter" w:eastAsia="Inter" w:hAnsi="Inter"/>
        <w:color w:val="454659"/>
        <w:sz w:val="14"/>
        <w:szCs w:val="14"/>
      </w:rPr>
      <w:t xml:space="preserve">+31 10 798 4000  •  www.meridiancommerce.com  •  info@meridiancommerce.com</w:t>
    </w:r>
  </w:p>
  <w:p>
    <w:pPr>
      <w:spacing w:after="0" w:before="40"/>
      <w:jc w:val="center"/>
    </w:pPr>
    <w:r>
      <w:rPr>
        <w:rFonts w:ascii="Inter" w:cs="Inter" w:eastAsia="Inter" w:hAnsi="Inter"/>
        <w:b/>
        <w:bCs/>
        <w:color w:val="009845"/>
        <w:sz w:val="13"/>
        <w:szCs w:val="13"/>
      </w:rPr>
      <w:t xml:space="preserve">CONFIDENTIAL — </w:t>
    </w:r>
    <w:r>
      <w:rPr>
        <w:rFonts w:ascii="Inter" w:cs="Inter" w:eastAsia="Inter" w:hAnsi="Inter"/>
        <w:color w:val="454659"/>
        <w:sz w:val="13"/>
        <w:szCs w:val="13"/>
      </w:rPr>
      <w:t xml:space="preserve">Page </w:t>
    </w:r>
    <w:r>
      <w:rPr>
        <w:rFonts w:ascii="Inter" w:cs="Inter" w:eastAsia="Inter" w:hAnsi="Inter"/>
        <w:color w:val="454659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762000" cy="3333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sz w:val="20"/>
        <w:szCs w:val="20"/>
      </w:rPr>
      <w:t xml:space="preserve">   </w:t>
    </w:r>
    <w:r>
      <w:rPr>
        <w:rFonts w:ascii="Inter" w:cs="Inter" w:eastAsia="Inter" w:hAnsi="Inter"/>
        <w:b/>
        <w:bCs/>
        <w:color w:val="19416C"/>
        <w:sz w:val="26"/>
        <w:szCs w:val="26"/>
      </w:rPr>
      <w:t xml:space="preserve">MERIDIAN</w:t>
    </w:r>
    <w:r>
      <w:rPr>
        <w:rFonts w:ascii="Inter" w:cs="Inter" w:eastAsia="Inter" w:hAnsi="Inter"/>
        <w:b w:val="false"/>
        <w:bCs w:val="false"/>
        <w:color w:val="19416C"/>
        <w:sz w:val="26"/>
        <w:szCs w:val="26"/>
      </w:rPr>
      <w:t xml:space="preserve"> COMMERCE </w:t>
    </w:r>
    <w:r>
      <w:rPr>
        <w:rFonts w:ascii="Inter" w:cs="Inter" w:eastAsia="Inter" w:hAnsi="Inter"/>
        <w:b/>
        <w:bCs/>
        <w:color w:val="009845"/>
        <w:sz w:val="26"/>
        <w:szCs w:val="26"/>
      </w:rPr>
      <w:t xml:space="preserve">GROUP</w:t>
    </w:r>
  </w:p>
  <w:p>
    <w:pPr>
      <w:spacing w:after="0"/>
    </w:pPr>
    <w:r>
      <w:rPr>
        <w:rFonts w:ascii="Inter" w:cs="Inter" w:eastAsia="Inter" w:hAnsi="Inter"/>
        <w:i/>
        <w:iCs/>
        <w:color w:val="454659"/>
        <w:sz w:val="16"/>
        <w:szCs w:val="16"/>
      </w:rPr>
      <w:t xml:space="preserve">The neighborhood store with global reach</w:t>
    </w:r>
  </w:p>
  <w:p>
    <w:pPr>
      <w:pBdr>
        <w:bottom w:val="single" w:color="009845" w:sz="8" w:space="4"/>
      </w:pBdr>
      <w:spacing w:after="0"/>
    </w:pPr>
    <w:r>
      <w:rPr>
        <w:sz w:val="4"/>
        <w:szCs w:val="4"/>
      </w:rPr>
      <w:t xml:space="preserve"/>
    </w:r>
  </w:p>
  <w:p>
    <w:pPr>
      <w:spacing w:after="0" w:before="60"/>
      <w:jc w:val="right"/>
    </w:pPr>
    <w:r>
      <w:rPr>
        <w:rFonts w:ascii="Inter" w:cs="Inter" w:eastAsia="Inter" w:hAnsi="Inter"/>
        <w:b/>
        <w:bCs/>
        <w:caps/>
        <w:color w:val="009845"/>
        <w:sz w:val="18"/>
        <w:szCs w:val="18"/>
      </w:rPr>
      <w:t xml:space="preserve">DEMO SCRIPT — Module 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Inter" w:cs="Inter" w:eastAsia="Inter" w:hAnsi="Inter"/>
        <w:color w:val="454659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Inter" w:cs="Inter" w:eastAsia="Inter" w:hAnsi="Inter"/>
      <w:b/>
      <w:bCs/>
      <w:color w:val="19416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</w:pPr>
    <w:rPr>
      <w:rFonts w:ascii="Inter" w:cs="Inter" w:eastAsia="Inter" w:hAnsi="Inter"/>
      <w:b/>
      <w:bCs/>
      <w:color w:val="00658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Inter" w:cs="Inter" w:eastAsia="Inter" w:hAnsi="Inter"/>
      <w:b/>
      <w:bCs/>
      <w:color w:val="19416C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Subhead"/>
    <w:qFormat/>
    <w:rsid w:val="00437EFB"/>
    <w:rPr>
      <w:rFonts w:ascii="Inter" w:eastAsiaTheme="minorEastAsia" w:hAnsi="Inter"/>
      <w:color w:val="009845" w:themeColor="accent1"/>
    </w:rPr>
  </w:style>
  <w:style w:type="paragraph" w:styleId="Heading2">
    <w:name w:val="heading 2"/>
    <w:basedOn w:val="BodyP"/>
    <w:next w:val="Normal"/>
    <w:link w:val="Heading2Char"/>
    <w:uiPriority w:val="9"/>
    <w:unhideWhenUsed/>
    <w:qFormat/>
    <w:rsid w:val="00CF335B"/>
    <w:pPr>
      <w:spacing w:before="360" w:after="100" w:afterAutospacing="1" w:line="240" w:lineRule="auto"/>
      <w:outlineLvl w:val="1"/>
    </w:pPr>
    <w:rPr>
      <w:b/>
      <w:bCs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35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35D2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4135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35D2"/>
    <w:rPr>
      <w:rFonts w:eastAsiaTheme="minorEastAsia"/>
    </w:rPr>
  </w:style>
  <w:style w:type="paragraph" w:customStyle="1" w:styleId="Sectiontype">
    <w:name w:val="Section type"/>
    <w:basedOn w:val="Normal"/>
    <w:qFormat/>
    <w:rsid w:val="00E52BED"/>
    <w:pPr>
      <w:tabs>
        <w:tab w:val="right" w:pos="10080"/>
      </w:tabs>
      <w:suppressAutoHyphens/>
      <w:autoSpaceDE w:val="0"/>
      <w:autoSpaceDN w:val="0"/>
      <w:adjustRightInd w:val="0"/>
      <w:spacing w:before="600" w:after="240" w:line="480" w:lineRule="auto"/>
      <w:textAlignment w:val="center"/>
    </w:pPr>
    <w:rPr>
      <w:rFonts w:ascii="Arial" w:eastAsiaTheme="minorHAnsi" w:hAnsi="Arial" w:cs="Source Sans Pro Light"/>
      <w:b/>
      <w:noProof/>
      <w:color w:val="FFFFFF" w:themeColor="background1"/>
      <w:spacing w:val="40"/>
      <w:kern w:val="0"/>
      <w:sz w:val="20"/>
      <w:szCs w:val="2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41EC6"/>
    <w:pPr>
      <w:tabs>
        <w:tab w:val="right" w:pos="10080"/>
      </w:tabs>
      <w:suppressAutoHyphens/>
      <w:autoSpaceDE w:val="0"/>
      <w:autoSpaceDN w:val="0"/>
      <w:adjustRightInd w:val="0"/>
      <w:spacing w:before="240" w:line="276" w:lineRule="auto"/>
      <w:textAlignment w:val="center"/>
    </w:pPr>
    <w:rPr>
      <w:rFonts w:eastAsiaTheme="minorHAnsi" w:cs="Source Sans Pro Light"/>
      <w:color w:val="54565A"/>
      <w:kern w:val="0"/>
      <w:sz w:val="28"/>
      <w:szCs w:val="36"/>
      <w:u w:val="single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003DD4"/>
  </w:style>
  <w:style w:type="paragraph" w:customStyle="1" w:styleId="BodyP">
    <w:name w:val="Body P"/>
    <w:basedOn w:val="Normal"/>
    <w:qFormat/>
    <w:rsid w:val="00DF103C"/>
    <w:pPr>
      <w:suppressAutoHyphens/>
      <w:autoSpaceDE w:val="0"/>
      <w:autoSpaceDN w:val="0"/>
      <w:adjustRightInd w:val="0"/>
      <w:spacing w:before="200" w:after="240" w:line="360" w:lineRule="auto"/>
      <w:textAlignment w:val="center"/>
    </w:pPr>
    <w:rPr>
      <w:rFonts w:eastAsiaTheme="minorHAnsi" w:cs="Source Sans Pro"/>
      <w:color w:val="454659" w:themeColor="text1"/>
      <w:kern w:val="0"/>
      <w:sz w:val="21"/>
      <w:szCs w:val="21"/>
      <w14:ligatures w14:val="none"/>
    </w:rPr>
  </w:style>
  <w:style w:type="paragraph" w:customStyle="1" w:styleId="Bullets1">
    <w:name w:val="Bullets 1"/>
    <w:basedOn w:val="BodyP"/>
    <w:qFormat/>
    <w:rsid w:val="00DF103C"/>
    <w:pPr>
      <w:numPr>
        <w:numId w:val="1"/>
      </w:numPr>
      <w:spacing w:after="120"/>
    </w:pPr>
    <w:rPr>
      <w:szCs w:val="22"/>
    </w:rPr>
  </w:style>
  <w:style w:type="character" w:customStyle="1" w:styleId="normaltextrun">
    <w:name w:val="normaltextrun"/>
    <w:basedOn w:val="DefaultParagraphFont"/>
    <w:rsid w:val="00A72D33"/>
  </w:style>
  <w:style w:type="paragraph" w:customStyle="1" w:styleId="Intro">
    <w:name w:val="Intro"/>
    <w:basedOn w:val="Normal"/>
    <w:qFormat/>
    <w:rsid w:val="00DF103C"/>
    <w:pPr>
      <w:suppressAutoHyphens/>
      <w:autoSpaceDE w:val="0"/>
      <w:autoSpaceDN w:val="0"/>
      <w:adjustRightInd w:val="0"/>
      <w:spacing w:after="120" w:line="360" w:lineRule="auto"/>
      <w:textAlignment w:val="center"/>
    </w:pPr>
    <w:rPr>
      <w:rFonts w:eastAsiaTheme="minorHAnsi" w:cs="Times New Roman (Body CS)"/>
      <w:b/>
      <w:bCs/>
      <w:kern w:val="0"/>
      <w:sz w:val="36"/>
      <w:szCs w:val="36"/>
      <w14:ligatures w14:val="none"/>
    </w:rPr>
  </w:style>
  <w:style w:type="paragraph" w:styleId="ListParagraph">
    <w:name w:val="List Paragraph"/>
    <w:basedOn w:val="Normal"/>
    <w:uiPriority w:val="34"/>
    <w:qFormat/>
    <w:rsid w:val="00703498"/>
    <w:pPr>
      <w:ind w:left="720"/>
      <w:contextualSpacing/>
    </w:pPr>
  </w:style>
  <w:style w:type="table" w:styleId="TableGrid">
    <w:name w:val="Table Grid"/>
    <w:basedOn w:val="TableNormal"/>
    <w:uiPriority w:val="59"/>
    <w:rsid w:val="007E4CE3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pacer">
    <w:name w:val="spacer"/>
    <w:basedOn w:val="Normal"/>
    <w:uiPriority w:val="99"/>
    <w:qFormat/>
    <w:rsid w:val="007E4CE3"/>
    <w:pPr>
      <w:tabs>
        <w:tab w:val="center" w:pos="4680"/>
        <w:tab w:val="right" w:pos="9360"/>
      </w:tabs>
    </w:pPr>
    <w:rPr>
      <w:rFonts w:eastAsiaTheme="minorHAnsi"/>
      <w:color w:val="454659" w:themeColor="text1"/>
      <w:kern w:val="0"/>
      <w:sz w:val="2"/>
      <w:szCs w:val="2"/>
      <w14:ligatures w14:val="none"/>
    </w:rPr>
  </w:style>
  <w:style w:type="paragraph" w:customStyle="1" w:styleId="SidebarBody">
    <w:name w:val="Sidebar Body"/>
    <w:basedOn w:val="Normal"/>
    <w:link w:val="SidebarBodyChar"/>
    <w:qFormat/>
    <w:rsid w:val="007E4CE3"/>
    <w:pPr>
      <w:framePr w:hSpace="180" w:wrap="around" w:vAnchor="text" w:hAnchor="text" w:x="6840" w:y="1"/>
      <w:spacing w:after="120" w:line="240" w:lineRule="atLeast"/>
      <w:ind w:left="288" w:right="58"/>
      <w:suppressOverlap/>
    </w:pPr>
    <w:rPr>
      <w:rFonts w:eastAsiaTheme="minorHAnsi"/>
      <w:color w:val="93579C" w:themeColor="accent6"/>
      <w:kern w:val="0"/>
      <w:sz w:val="18"/>
      <w:szCs w:val="20"/>
      <w14:ligatures w14:val="none"/>
    </w:rPr>
  </w:style>
  <w:style w:type="character" w:customStyle="1" w:styleId="SidebarBodyChar">
    <w:name w:val="Sidebar Body Char"/>
    <w:basedOn w:val="DefaultParagraphFont"/>
    <w:link w:val="SidebarBody"/>
    <w:rsid w:val="007E4CE3"/>
    <w:rPr>
      <w:color w:val="93579C" w:themeColor="accent6"/>
      <w:kern w:val="0"/>
      <w:sz w:val="18"/>
      <w:szCs w:val="20"/>
      <w14:ligatures w14:val="none"/>
    </w:rPr>
  </w:style>
  <w:style w:type="paragraph" w:customStyle="1" w:styleId="SidebarHeading1">
    <w:name w:val="Sidebar Heading 1"/>
    <w:basedOn w:val="SidebarBody"/>
    <w:next w:val="SidebarBody"/>
    <w:link w:val="SidebarHeading1Char"/>
    <w:qFormat/>
    <w:rsid w:val="007E4CE3"/>
    <w:pPr>
      <w:framePr w:wrap="around"/>
      <w:spacing w:before="120" w:after="240"/>
    </w:pPr>
    <w:rPr>
      <w:rFonts w:cstheme="minorHAnsi"/>
      <w:b/>
      <w:sz w:val="24"/>
      <w:szCs w:val="24"/>
    </w:rPr>
  </w:style>
  <w:style w:type="character" w:customStyle="1" w:styleId="SidebarHeading1Char">
    <w:name w:val="Sidebar Heading 1 Char"/>
    <w:basedOn w:val="DefaultParagraphFont"/>
    <w:link w:val="SidebarHeading1"/>
    <w:rsid w:val="007E4CE3"/>
    <w:rPr>
      <w:rFonts w:cstheme="minorHAnsi"/>
      <w:b/>
      <w:color w:val="93579C" w:themeColor="accent6"/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F335B"/>
    <w:rPr>
      <w:rFonts w:ascii="Arial" w:hAnsi="Arial" w:cs="Source Sans Pro"/>
      <w:b/>
      <w:bCs/>
      <w:color w:val="FFFFFF" w:themeColor="background1"/>
      <w:kern w:val="0"/>
      <w:sz w:val="22"/>
      <w:szCs w:val="22"/>
      <w14:ligatures w14:val="none"/>
    </w:rPr>
  </w:style>
  <w:style w:type="paragraph" w:customStyle="1" w:styleId="SidebarListBullet">
    <w:name w:val="Sidebar List Bullet"/>
    <w:basedOn w:val="Normal"/>
    <w:next w:val="Normal"/>
    <w:link w:val="SidebarListBulletChar"/>
    <w:qFormat/>
    <w:rsid w:val="000C317D"/>
    <w:pPr>
      <w:framePr w:hSpace="180" w:wrap="around" w:vAnchor="text" w:hAnchor="text" w:x="6840" w:y="1"/>
      <w:numPr>
        <w:numId w:val="3"/>
      </w:numPr>
      <w:spacing w:before="80" w:after="80" w:line="200" w:lineRule="atLeast"/>
      <w:ind w:left="540" w:hanging="180"/>
      <w:contextualSpacing/>
      <w:suppressOverlap/>
    </w:pPr>
    <w:rPr>
      <w:rFonts w:eastAsiaTheme="minorHAnsi"/>
      <w:bCs/>
      <w:color w:val="93579C" w:themeColor="accent6"/>
      <w:kern w:val="0"/>
      <w:sz w:val="18"/>
      <w:szCs w:val="20"/>
      <w14:ligatures w14:val="none"/>
    </w:rPr>
  </w:style>
  <w:style w:type="character" w:customStyle="1" w:styleId="SidebarListBulletChar">
    <w:name w:val="Sidebar List Bullet Char"/>
    <w:basedOn w:val="DefaultParagraphFont"/>
    <w:link w:val="SidebarListBullet"/>
    <w:rsid w:val="000C317D"/>
    <w:rPr>
      <w:bCs/>
      <w:color w:val="93579C" w:themeColor="accent6"/>
      <w:kern w:val="0"/>
      <w:sz w:val="18"/>
      <w:szCs w:val="20"/>
      <w14:ligatures w14:val="none"/>
    </w:rPr>
  </w:style>
  <w:style w:type="paragraph" w:customStyle="1" w:styleId="SidebarHeading2">
    <w:name w:val="Sidebar Heading 2"/>
    <w:basedOn w:val="SidebarHeading1"/>
    <w:qFormat/>
    <w:rsid w:val="000C317D"/>
    <w:pPr>
      <w:framePr w:wrap="around"/>
      <w:spacing w:before="180" w:after="120"/>
    </w:pPr>
    <w:rPr>
      <w:sz w:val="18"/>
      <w:szCs w:val="18"/>
    </w:rPr>
  </w:style>
  <w:style w:type="paragraph" w:customStyle="1" w:styleId="SidebarQuote">
    <w:name w:val="Sidebar Quote"/>
    <w:basedOn w:val="SidebarBody"/>
    <w:qFormat/>
    <w:rsid w:val="000C317D"/>
    <w:pPr>
      <w:framePr w:wrap="around"/>
      <w:spacing w:after="0" w:line="360" w:lineRule="auto"/>
      <w:ind w:hanging="14"/>
    </w:pPr>
    <w:rPr>
      <w:color w:val="10CFC9" w:themeColor="accent2"/>
      <w:sz w:val="24"/>
      <w:szCs w:val="24"/>
    </w:rPr>
  </w:style>
  <w:style w:type="paragraph" w:customStyle="1" w:styleId="BasicParagraph">
    <w:name w:val="[Basic Paragraph]"/>
    <w:basedOn w:val="Normal"/>
    <w:uiPriority w:val="99"/>
    <w:rsid w:val="0063694C"/>
    <w:pPr>
      <w:suppressAutoHyphens/>
      <w:autoSpaceDE w:val="0"/>
      <w:autoSpaceDN w:val="0"/>
      <w:adjustRightInd w:val="0"/>
      <w:spacing w:line="384" w:lineRule="atLeast"/>
      <w:textAlignment w:val="center"/>
    </w:pPr>
    <w:rPr>
      <w:rFonts w:ascii="Source Sans Pro" w:eastAsiaTheme="minorHAnsi" w:hAnsi="Source Sans Pro" w:cs="Source Sans Pro"/>
      <w:color w:val="0C2332"/>
      <w:kern w:val="0"/>
      <w:sz w:val="22"/>
      <w:lang w:bidi="gu-IN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3694C"/>
    <w:pPr>
      <w:widowControl w:val="0"/>
      <w:autoSpaceDE w:val="0"/>
      <w:autoSpaceDN w:val="0"/>
    </w:pPr>
    <w:rPr>
      <w:rFonts w:eastAsia="Inter" w:cs="Inter"/>
      <w:color w:val="auto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3694C"/>
    <w:rPr>
      <w:rFonts w:ascii="Inter" w:eastAsia="Inter" w:hAnsi="Inter" w:cs="Inter"/>
      <w:kern w:val="0"/>
      <w:sz w:val="20"/>
      <w:szCs w:val="20"/>
      <w14:ligatures w14:val="none"/>
    </w:rPr>
  </w:style>
  <w:style w:type="character" w:customStyle="1" w:styleId="CopySmall">
    <w:name w:val="Copy Small"/>
    <w:basedOn w:val="DefaultParagraphFont"/>
    <w:uiPriority w:val="99"/>
    <w:rsid w:val="0063694C"/>
    <w:rPr>
      <w:rFonts w:ascii="Inter" w:hAnsi="Inter" w:cs="Inter"/>
      <w:outline/>
      <w:spacing w:val="-2"/>
      <w:sz w:val="18"/>
      <w:szCs w:val="18"/>
    </w:rPr>
  </w:style>
  <w:style w:type="character" w:customStyle="1" w:styleId="Footnotes">
    <w:name w:val="Footnotes"/>
    <w:basedOn w:val="DefaultParagraphFont"/>
    <w:uiPriority w:val="99"/>
    <w:rsid w:val="0063694C"/>
    <w:rPr>
      <w:rFonts w:ascii="Inter" w:hAnsi="Inter" w:cs="Inter"/>
      <w:outline/>
      <w:spacing w:val="0"/>
      <w:sz w:val="10"/>
      <w:szCs w:val="10"/>
    </w:rPr>
  </w:style>
  <w:style w:type="character" w:styleId="Hyperlink">
    <w:name w:val="Hyperlink"/>
    <w:basedOn w:val="DefaultParagraphFont"/>
    <w:uiPriority w:val="99"/>
    <w:unhideWhenUsed/>
    <w:rsid w:val="001D12C4"/>
    <w:rPr>
      <w:color w:val="00984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12C4"/>
    <w:rPr>
      <w:color w:val="605E5C"/>
      <w:shd w:val="clear" w:color="auto" w:fill="E1DFDD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df9435ca988fd40276d8768db82a6e2917dd79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2026-06-12T17:58:22.161Z</dcterms:created>
  <dcterms:modified xsi:type="dcterms:W3CDTF">2026-06-12T17:58:22.161Z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