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MCG Demo — Qlik Automations &amp; Pipelines Creation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MCG-GUIDE-CREATION-001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MCG Data Engineering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Internal — Demo Setup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Data Pipelines (Bronze/Silver/Gold) and Qlik Automations</w:t>
            </w:r>
          </w:p>
        </w:tc>
      </w:tr>
    </w:tbl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This guide provides step-by-step instructions for creating all data pipelines, transformation routes, table recipes, and automations in Qlik Cloud for the Meridian Commerce Group demo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The primary deployment method for the MCG pipeline is the declarative import (section 1.9): the entire pipeline is version-controlled YAML, deployed over REST APIs by npm run deploy. The manual steps in this guide document the same build interactively — use them to learn the workflow, demo it, or customize beyond what the YAML defines.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Prerequisites: Ensure you have completed the initial setup (tenant configuration, Docker infrastructure, spaces, and data connections) as described in the MCG Setup Guide before following this document.</w:t>
            </w:r>
          </w:p>
        </w:tc>
      </w:tr>
    </w:tbl>
    <w:p>
      <w:r>
        <w:br w:type="page"/>
      </w:r>
    </w:p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Part 1: Data Pipelines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 MCG demo uses 8 data pipelines to ingest data from 3 source systems into the Bronze layer of the Open Lakehouse. These pipelines use CDC, streaming, and API-based ingestion methods.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1.1 Create the Open Lakehouse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Before creating pipelines, you must create the Open Lakehouse with its three-tier schema structure.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Data Integration → Data Spaces in the Qlik Cloud hub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Click Create data space and name it "MCG Open Lakehouse"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Qlik-managed storage (or connect your own S3/Azure/GCS bucket)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Create three schemas within the lakehouse: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bronze — Raw ingested data from all sources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silver — Cleansed and transformed data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gold — Governed, business-ready data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Lakehouse creation dialog showing three schemas: bronze, silver, gold]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Storage Format: All lakehouse tables use Apache Iceberg format, which supports ACID transactions, time travel, and schema evolution — critical for CDC and streaming workloads.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1.2 PostgreSQL CDC Pipelines (3 Tables)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These pipelines use Change Data Capture to replicate PostgreSQL WMS data in real-time via the Data Movement Gateway.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Data Movement Gateway installed and registered with your Qlik Cloud tenant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PostgreSQL connection created and bound to the gateway (see Setup Guide Sections 3.7–3.8, or the steps below)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PostgreSQL configured with wal_level=logical (set in Docker Compose)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Publication mcg_wms_pub exists (created by schema.sql)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Setting Up the Gateway &amp; Source Connection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 CDC pipelines below read from a PostgreSQL source connection that routes through the Data Movement gateway. Set that up first — a one-time gateway registration plus a gateway-bound connection created in the Data Integration UI.</w:t>
      </w:r>
    </w:p>
    <w:p>
      <w:pPr>
        <w:spacing w:after="12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454659"/>
          <w:sz w:val="21"/>
          <w:szCs w:val="21"/>
        </w:rPr>
        <w:t xml:space="preserve">1. Register the Data Movement gateway: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In the MCG Deploy UI → Local Stack &amp; Gateway, click Register Gateway / Get Token to print the registration token (or run agentctl inside the mcg-qlik-dmg container):</w:t>
      </w:r>
    </w:p>
    <w:p>
      <w:pPr>
        <w:spacing w:after="12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454659"/>
          <w:sz w:val="19"/>
          <w:szCs w:val="19"/>
        </w:rPr>
        <w:t xml:space="preserve">$  docker exec -it mcg-qlik-dmg bash -lc "cd /opt/qlik/gateway/movement/bin &amp;&amp; ./agentctl qcs get_registration"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In Qlik Cloud → Administration → Data Gateways → Register, paste the token, name the gateway, and wait for status Connected.</w:t>
      </w:r>
    </w:p>
    <w:p>
      <w:pPr>
        <w:spacing w:after="120"/>
        <w:jc w:val="left"/>
      </w:pPr>
      <w:r>
        <w:rPr>
          <w:rFonts w:ascii="Inter" w:cs="Inter" w:eastAsia="Inter" w:hAnsi="Inter"/>
          <w:b/>
          <w:bCs/>
          <w:i w:val="false"/>
          <w:iCs w:val="false"/>
          <w:color w:val="454659"/>
          <w:sz w:val="21"/>
          <w:szCs w:val="21"/>
        </w:rPr>
        <w:t xml:space="preserve">2. Create the gateway-bound PostgreSQL connection: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Data Integration → your project → Create connection → PostgreSQL.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the mcg-qlik-dmg Data Movement gateway, enter the WMS database host/port/database/credentials, then test and save.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A Data Movement gateway connection can only be created in the Data Integration UI by selecting the gateway — the public REST API cannot create it, so the MCG deploy script skips it and prints this guidance. Kafka sources need a Data Gateway - Streaming instead. Gateway setup: https://help.qlik.com/en-US/cloud-services/Subsystems/Hub/Content/Sense_Hub/Gateways/dm-gateway-setting-up.htm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Pipeline 1: inventory_positions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Data Integration → Data pipelines → Create pipeline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"Replicate data" as the pipeline type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Choose source: PostgreSQL (MCG WMS) connection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table: public.inventory_positions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Set target: MCG Open Lakehouse → bronze schema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Target table name: bronze.inventory_positions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7.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Configure CDC settings: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Method: Log-based (WAL)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Replication slot: qlik_cdc_slot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Plugin: pgoutput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Publication: mcg_wms_pub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8.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Set schedule: Full load initially, then continuous CDC replication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9.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Click Save and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Pipeline configuration for inventory_positions showing CDC settings and target lakehouse]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Source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PostgreSQL: public.inventory_positions (~8,000 rows)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Target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bronze.inventory_positions (Iceberg)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Method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Log-based CDC (WAL)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Real-time CDC + Scheduled merge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Quality Issues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Phantom inventory, missing lot numbers, no-TZ timestamps, UoM variants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Nightmares Addressed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#1 Phantom Inventory, #3 Product Master, #5 Timestamps, #7 Compliance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Pipeline 2: warehouse_events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Repeat the same steps as Pipeline 1 with these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Source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PostgreSQL: public.warehouse_events (~15,000 rows)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Target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bronze.warehouse_events (Iceberg)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Method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Log-based CDC (WAL)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Real-time CDC + Scheduled merge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Quality Issues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Silent pipeline gap (events stop Sep 24 for Rotterdam), format variants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Nightmares Addressed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#4 Silent Failures, #5 Timestamps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Pipeline 3: shipments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Repeat the same steps with these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Source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PostgreSQL: public.shipments (~3,000 rows)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Target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bronze.shipments (Iceberg)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Method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Log-based CDC (WAL)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Real-time CDC + Scheduled merge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Quality Issues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6 carrier status vocabularies, mixed datetime formats, weight unit chaos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Nightmares Addressed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#5 Timestamps, #6 Carrier Data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Verification: After all 3 CDC pipelines are running, check the Data Movement Gateway status page. You should see 3 active replication tasks with "Full Load Complete, CDC Active" status. Use docker exec -i mcg-postgres psql -U mcg_admin -d mcg_wms -c "SELECT * FROM pg_replication_slots;" to verify the replication slot is active.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1.3 Kafka Streaming Pipelines (2 Topics)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These pipelines stream IoT sensor data from Apache Kafka topics in real-time using the Data Gateway - Streaming.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Data Gateway - Streaming deployed and connected to Qlik Cloud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Kafka connection created (see Setup Guide Section 7.2)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Docker Kafka stack running: npm run docker:up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IoT simulator producing messages: verify in Confluent Control Center at localhost:9021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Pipeline 4: Cold Chain IoT (mcg.iot.cold-chain)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Data Integration → Data pipelines → Create pipeline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"Stream data" as the pipeline type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Choose source: Apache Kafka (MCG IoT) connection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topic: mcg.iot.cold-chain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Set target: MCG Open Lakehouse → bronze schema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Target table name: bronze.iot_cold_chain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7.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Configure streaming settings: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Consumer group: qlik-cold-chain-consumer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Offset reset: earliest (for initial load)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Batch size: 100 messages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Flush interval: 5 seconds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8.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Click Save and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Kafka streaming pipeline for cold chain topic showing real-time message ingestion]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Source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Kafka topic: mcg.iot.cold-chain (~1 msg per 5 sec per sensor)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Target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bronze.iot_cold_chain (Iceberg append)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Method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Real-time streaming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Message Format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JSON: sensor_id, shipment_id, temperature, humidity, gps, timestamp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Quality Issues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5% Fahrenheit readings, 3% bare timestamps, 2% Lagos GPS blackouts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Nightmares Addressed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#4 Silent Failures, #5 Timestamps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Pipeline 5: Carrier Events (mcg.iot.carrier-events)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Repeat the same steps with these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Source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Kafka topic: mcg.iot.carrier-events (~1 msg per min)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Target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bronze.iot_carrier_events (Iceberg append)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Method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Real-time streaming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Message Format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JSON: carrier_code, tracking_number, status, timestamp, location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Quality Issues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Multi-language status codes, mixed timestamp formats, duplicates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Nightmares Addressed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#6 Carrier Data Black Hole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1.4 Salesforce API Pipelines (3 Objects)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These pipelines use the Salesforce Standard connector to poll data every 15 minutes using SystemModstamp for incremental sync.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Salesforce Developer Edition account with MCG custom objects created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Salesforce connection created (see Setup Guide Section 7.3)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Pipeline 6: Contacts (sf_contacts)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Data Integration → Data pipelines → Create pipeline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"Replicate data" as the pipeline type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Choose source: Salesforce (MCG CRM) connection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object: Contact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Set target: MCG Open Lakehouse → bronze schema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Target table name: bronze.sf_contacts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7.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Configure sync settings: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Initial load: Full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Incremental field: SystemModstamp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Refresh interval: 15 minutes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8.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Click Save and Run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Salesforce pipeline showing Contact object selection and incremental sync settings]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Source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Salesforce: Contact (~2,000 records)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Target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bronze.sf_contacts (Iceberg)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Method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Full + Incremental (SystemModstamp)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Every 15 minutes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Quality Issues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11% address format issues, 6% truncated addresses, 3.2% duplicates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Nightmares Addressed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#2 Address Catastrophe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Pipeline 7: Orders (sf_orders)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Repeat with these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Source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Salesforce: MCG_Order__c (~5,000 records)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Target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bronze.sf_orders (Iceberg)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Method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Full + Incremental (SystemModstamp)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Every 15 minutes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Quality Issues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42% missing tracking numbers, 41% with WISMO flags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Nightmares Addressed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#2 Address Catastrophe, #6 Carrier Data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Pipeline 8: Products (sf_products)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Repeat with these settings: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Source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Salesforce: MCG_Product__c (~1,200 records)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Target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bronze.sf_products (Iceberg)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Method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Full + Incremental (SystemModstamp)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Every 15 minutes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Quality Issues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3 SKU schemes, 8,200 missing weights, supplier name variants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Nightmares Addressed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#3 Product Master Mess, #7 Compliance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Pipeline Summary: You should now have 8 active pipelines — 3 CDC (real-time), 2 streaming (real-time), and 3 API (15-min polling). All pipelines feed into the bronze schema of the Open Lakehouse.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1.9 Primary Deployment Method: Declarative Pipeline Import (Pipelines as Code)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This is how the MCG pipelines are actually deployed. Everything in Parts 1–3 of this guide ships as version-controlled YAML under deploy/pipelines/ in two Open Lakehouse projects — mcg-batch-pipeline (WMS CDC + CRM → silver → gold) and mcg-streaming-pipeline (Kafka IoT → silver) — covering landing tasks, all 8 transformation routes with custom SQL, schedules, and connection bindings, deployed without any manual UI work (QTCP declarative pipelines preview).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Step 13 of npm run deploy drives the full chain over REST APIs: create connections → validate definitions → create the DI project → import the YAML → resolve bindings → prepare → start every task in dependency order (landing → transform → datamart) → attach the gold datasets to their Data Products. Four config.json flags control it (pipelines.prepare, pipelines.run, pipelines.attachDatasets, pipelines.publishDataProducts), all exposed as toggles on the deploy UI's Data Products page.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Schedules are declared in each project's YAML, one per task: the CRM landing syncs every 15 minutes, the silver transform is event-triggered, and the gold datamart runs daily at 06:00 UTC — there is no REST endpoint for DI schedules, so the YAML is the source of truth. For a credential-free manual import, npm run pipeline:zip packages one ZIP per project for Data Integration → Import; after refining transformations in the UI, npm run deploy:export-pipeline round-trips them back into the repo.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Use the declarative import to stand up a fresh tenant in minutes or reset a demo environment to a known-good state. The manual walkthroughs in Parts 1–3 teach the same build interactively — ideal for learning the Pipeline Designer or customizing beyond the YAML.</w:t>
            </w:r>
          </w:p>
        </w:tc>
      </w:tr>
    </w:tbl>
    <w:p>
      <w:r>
        <w:br w:type="page"/>
      </w:r>
    </w:p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Part 2: Transformation Routes (Silver Layer)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 Silver layer contains 8 transformation routes (data flows) that cleanse, normalize, and join Bronze data. These are created using Qlik's visual Pipeline Designer with AI-Assisted SQL.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2.1 Overview of 8 Transformation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Input (Bronze)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Output (Silver)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Nightmare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Timestamp Normalization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warehouse_events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warehouse_events_clean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#5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Inventory Reconciliation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inventory_positions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inventory_reconciled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#1, #3, #7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3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Address Standardization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sf_contacts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addresses_standardized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#2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Product Harmonization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sf_products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products_harmonized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#3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Carrier Canonicalization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shipments, iot_carrier_events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shipments_canonical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#6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IoT Normalization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iot_cold_chain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iot_normalized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#4, #5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7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Supplier Deduplication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sf_products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suppliers_deduped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#3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Order-to-Delivery Timeline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sf_orders, shipments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order_delivery_timeline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#5, #6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2.2 Route 1: Timestamp Normalization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Normalizes all 14 different timestamp conventions found across the 3 source systems into a single UTC standard with source tracking.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Create the Data Flow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Data Integration → Transformations → Create transformation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Name: "Route 1 — Timestamp Normalization"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Source table: Select bronze.warehouse_events (the event stream carrying all 9 DCs' local-time stamps)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Use AI-Assisted SQL or visual designer to apply transformations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Target: silver.warehouse_events_clean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Transformation Logic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 following transformations are applied: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ISO 8601 with offset (e.g., 2025-10-18T14:32:00+02:00) → Convert to UTC directly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Bare timestamp without timezone (e.g., 2025-10-18 14:32:00) → Apply DC timezone lookup table, then convert to UTC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Correios format (DD/MM/YYYY HH:MM) → Parse with BRT timezone, convert to UTC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Epoch milliseconds → Convert to ISO 8601 UTC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IoT timestamps → Preserve millisecond precision during conversion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Key Output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event_id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Event identifier from the WMS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event_type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Canonicalized event type (RECEIVE/PICK/ADJUST/CYCLE_COUNT/SHIP)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event_timestamp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TIMESTAMP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Original local-time stamp as recorded by the DC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tz_offset_hours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INTEGER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Timezone offset applied per warehouse (audit trail)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event_timestamp_utc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TIMESTAMP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Final normalized UTC timestamp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location_bin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Bin reference normalized to dash-separated format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Timestamp normalization data flow showing bronze.warehouse_events transformed into silver.warehouse_events_clean with UTC audit columns]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2.3 Route 2: Inventory Reconciliation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Reconciles WMS inventory positions with ERP data, detects phantom inventory, and calculates trust scores.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Transformation Steps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Profile: Detect nulls, negative values, UoM variants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UoM Standardize: CS, PAL, EACH, EA, ea → canonical EA/CS/PAL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Storage Zone Normalize: KALT/FROID → CHILLED, GEFRIER → FROZEN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Phantom Flag: If WMS &lt; ERP by &gt;10% → phantom_inventory = TRUE; If WMS = 0 but ERP &gt; 0 → phantom_critical = TRUE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Lot Compliance: If lot_number IS NULL AND category is perishable → lot_missing = TRUE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Trust Score: 1.0 = all fields OK; 0.7 = minor issues; 0.3 = phantom flagged; 0.1 = logic error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location_id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VARCHAR(20)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Warehouse location identifier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sku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VARCHAR(30)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Product SKU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qty_wms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INTEGER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WMS quantity on hand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qty_erp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INTEGER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ERP expected quantity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variance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INTEGER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qty_wms - qty_erp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variance_pct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DECIMAL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Variance as percentage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phantom_inventory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BOOLEAN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TRUE if variance &gt; 10%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phantom_critical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BOOLEAN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TRUE if WMS=0 but ERP&gt;0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uom_standard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VARCHAR(5)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Standardized unit of measure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storage_zone_standard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VARCHAR(15)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Standardized zone name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lot_missing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BOOLEAN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TRUE if perishable with NULL lot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trust_score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DECIMAL(3,2)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Row-level data quality score (0.0-1.0)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2.4 Route 3: Address Standardization &amp; Deduplication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Normalizes customer addresses from Salesforce, detects truncation artifacts, and deduplicates customer records using fuzzy matching.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Transformation Steps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Country Normalize: Netherlands/Niederlande → NL, Singapore → SG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Postal Code Rules: NL: 1017EJ → 1017 EJ; BR: 01304001 → 01304-001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Street Normalize: Str. → Straße, Apt → Apartment, Ste → Suite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Accent Restore: Sao Paulo → São Paulo, Muller → Müller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Truncation Detect: Flag addresses exactly 30 characters (legacy POS truncation)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Fuzzy Dedup: &gt;90% match → auto-merge; 85-90% → route to Stewardship; &lt;85% → distinct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Route 3a: Talend Address Validation Job (Reusable Service)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This route uses a Talend Cloud job as a callable service for advanced address validation: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tAddressRowStandardize — Parse free-text address, normalize country to ISO 3166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tAddressRowValidate — Validate against country postal databases (PostNL, USPS, Correios)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tGeocode — Optional geocoding for map visualizations and GPS correlation with IoT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The Talend Address Validation job is also invoked by Automation 5 (Address Correction Loop) when stewardship tasks are approved.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2.5 Route 4: Product Master Harmonization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Resolves SKU conflicts across 3 legacy schemes, standardizes weights and dimensions, and harmonizes product categories across languages.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Transformation Steps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SKU Resolution: If MCG-* exists → use as canonical; Otherwise create mapping via GTIN/EAN match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Weight Validation: Flag NULL, zero, or implausible values (&gt;100 kg)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Dimension Fix: Detect inches-as-cm (if length&lt;30 AND width&lt;20 AND source=Americas → convert)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Category Harmonize: Map German/Dutch/French categories → English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Supplier Normalize: Standardize supplier names for dedup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canonical_sku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VARCHAR(30)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MCG canonical SKU identifier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legacy_sku_am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VARCHAR(30)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Americas legacy SKU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legacy_sku_eu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VARCHAR(30)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Europe legacy SKU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product_name_en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VARCHAR(100)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English product name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weight_kg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DECIMAL(8,2)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Standardized weight in kilograms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weight_missing_flag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BOOLEAN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TRUE if weight was NULL/zero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supplier_id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VARCHAR(20)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Canonical supplier identifier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country_of_origin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VARCHAR(3)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ISO 3166-1 alpha-2 country code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trust_score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DECIMAL(3,2)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Row-level data quality score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2.6 Route 5: Carrier Status Canonicalization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Maps 6 different carrier status vocabularies (FedEx English, DPD German, Correios Portuguese, NinjaVan, Aramex, local Lagos courier) into a single MCG canonical standard.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Status Mapping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MCG Canonical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FedEx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DPD (German)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Correios (Portuguese)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NinjaVan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LABEL_CREATED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LABEL_CREATED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Paketankündigung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Objeto postado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Pending Pickup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PICKED_UP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pickup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Abgeholt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Coletado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Picked Up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IN_TRANSIT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transit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 Zustellung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Em trânsito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Arrived at Hub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OUT_FOR_DELIVERY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out_for_delivery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 Auslieferung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Saiu para entrega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On Vehicle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DELIVERED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delivered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Zugestellt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Objeto entregue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FAILED_ATTEMPT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failure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Zustellversuch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Não entregue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Pending Reschedule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Additional Transformations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Datetime Parse: ISO 8601 → parse directly; DD/MM/YYYY HH:MM (Correios) → parse with BRT; Epoch ms → convert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Exception Code Normalize: ADDR_INCOMPLETE/ZS_FEHLER/CEP_INVALIDO → ADDRESS_INVALID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Weight Normalize: Convert lbs → kg where carrier = FedEx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Country Normalize: Full name → ISO 3166-1 alpha-2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2.7 Route 6: IoT Telemetry Normalization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Normalizes IoT cold chain sensor data, detects measurement gaps, and flags temperature exceedances with product-specific thresholds.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Transformation Steps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Temperature Normalize: If temperature_unit='F' → convert: (value - 32) × 5/9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Timestamp Normalize: Apply Route 1 logic to IoT timestamps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Gap Detection: Flag &gt;30-minute gaps between consecutive readings for same sensor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Shipment Enrich: Join shipment_id to silver.shipments_canonical for route/carrier context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Exceedance Flag (product-specific thresholds):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Fresh produce: &gt;8°C for 30+ minutes → exceedance = TRUE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Dairy: &gt;8°C for 15+ minutes → exceedance = TRUE</w:t>
      </w:r>
    </w:p>
    <w:p>
      <w:pPr>
        <w:pStyle w:val="ListParagraph"/>
        <w:numPr>
          <w:ilvl w:val="0"/>
          <w:numId w:val="1"/>
        </w:num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Frozen: &gt; -15°C any reading → exceedance = TRUE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Battery Alert: If battery_level_pct &lt; 10% → battery_low = TRUE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7.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Kafka Dedup: Remove at-least-once delivery duplicates (same sensor_id + timestamp)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2.8 Route 7: Supplier Master Deduplication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Deduplicates supplier records using Jaro-Winkler fuzzy matching and selects golden records.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Transformation Steps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Extract: Pull supplier names and IDs from bronze.sf_products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Normalize: Lowercase, strip suffixes (Ltd, PLC, Corp, S.A., Co., Inc.)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Accent Normalize: Nestlé → nestle for matching purposes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Fuzzy Match (Jaro-Winkler similarity): &gt;95% → auto-merge; 85-95% → route to Stewardship; &lt;85% → distinct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Golden Record Selection: Prefer SAP Global (SUP-*) ID as canonical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Output: Mapping table (source_supplier_id → canonical_supplier_id)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2.9 Route 8: Order-to-Delivery Timeline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Assembles end-to-end order lifecycle from order placement through delivery, joining data from 4 Silver tables.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Transformation Steps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Join: orders → shipments via order_id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Timeline Build (4 milestones): order_placed_utc (Salesforce), picked_utc (warehouse_events), shipped_utc (shipments), delivered_utc (shipments)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Duration Calc: Order-to-delivery hours, pick-to-ship hours, ship-to-deliver hours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SLA Check: Compare actual to promised delivery → sla_met = TRUE/FALSE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IoT Enrich: If cold chain shipment, attach max_temperature, exceedance_flag, spoilage_probability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Order-to-Delivery Timeline data flow showing 4 Silver source joins and timeline assembly]</w:t>
            </w:r>
          </w:p>
        </w:tc>
      </w:tr>
    </w:tbl>
    <w:p>
      <w:r>
        <w:br w:type="page"/>
      </w:r>
    </w:p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Part 3: Gold Layer Table Recipes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 Gold layer contains 2 governed data products created from Silver sources using Qlik Table Recipes. Each product is registered with an owner, AI-generated description, and API sharing enabled.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3.1 Creating Table Recipes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Data Integration → Transformations → Create transformation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Select "Table recipe" as the type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Choose Silver source tables as inputs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Define aggregations, joins, and filters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Set target in the gold schema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Configure refresh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Table Recipe builder showing Silver inputs, transformation logic, and Gold output]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3.2 Two Gold Data Products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 pipeline creates one gold mart per analytics domain app — these are the demo's two data products, matching the gold-datamart datasets in the declarative project: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Gold Table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Source Silver Tables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Refresh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Key Metrics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supply_chain_health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inventory_reconciled, warehouse_events_clean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Daily 06:00 UTC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Henrik Jansen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IRA %, phantom_units, pipeline_status, trust_score by DC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last_mile_performance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order_delivery_timeline, shipments_canonical, addresses_standardized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Daily 06:00 UTC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Sophie Müller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on_time_pct, sla_met, address_quality_score, wismo_flag by carrier/region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3.3 Register as Data Products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After creating each Gold table recipe, register it as a governed data product: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Open the Gold table in the Data Catalog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Click "Register as Data Product"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Set the product owner (see table above)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Click "Generate AI Description" to auto-generate metadata from schema and data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Review and confirm semantic types (auto-detected: currency, percentage, temperature, timestamp, etc.)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Enable API Sharing to make the product available via REST API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7.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Publish to the Data Marketplace for self-service discovery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Data Product registration showing AI-generated description, semantic types, and API sharing toggle]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Trust Score: Each data product automatically receives a Qlik Trust Score based on 5 dimensions: Freshness (how recently data was updated), Completeness (null rate on key fields), Accuracy (validation rule pass rate), Consistency (cross-table reconciliation), and Timeliness (pipeline SLA adherence). The Trust Score is visible in the Data Marketplace and helps consumers evaluate data fitness for use.</w:t>
            </w:r>
          </w:p>
        </w:tc>
      </w:tr>
    </w:tbl>
    <w:p>
      <w:r>
        <w:br w:type="page"/>
      </w:r>
    </w:p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Part 4: Qlik Automations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 MCG demo includes 5 automations that demonstrate real-time alerting, scheduled operations, and closed-loop data quality workflows. All automations are built using Qlik Application Automation's no-code block-based designer.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4.1 Prerequisites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Qlik Cloud tenant with Automations entitlement enabled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Microsoft Teams connector configured in Qlik Application Automation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Teams channels created: #mcg-cold-chain-alerts, #mcg-data-engineering, #mcg-customer-ops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Teams Incoming Webhook connector configured for each channel (see Section 4.7)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All data connections active and refreshing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Gold layer data products populated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4.2 Automation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Automation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Target Channel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Daily App Reload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Schedule: 06:00 UTC daily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Reload both analytics apps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N/A (Qlik Cloud)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Cold Chain Alert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Every 5 min: temp &gt; 8°C for 15+ min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 Adaptive Card to Teams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#mcg-cold-chain-alerts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3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Pipeline Health Summary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Schedule: 07:00 UTC daily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 summary card to Teams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#mcg-data-engineering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WISMO Rate Alert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Every 30 min: WISMO &gt; 40%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 alert to Teams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#mcg-customer-ops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Address Correction Loop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Stewardship task approved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Trigger Talend job, update, notify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#mcg-data-engineering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4.3 Automation 1: Daily App Reload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Reloads both MCG analytics apps (Supply Chain Operations and Delivery &amp; Customer Experience) every morning at 06:00 UTC before business hours.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Create the Automation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Automations → Create automation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Name: "MCG Daily App Reload"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Add blocks in this order: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Automation builder showing the 5-block Daily App Reload flow]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Block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Block #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Scheduled Start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Cron: 0 6 * * * (Daily at 06:00 UTC)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Qlik Cloud → List Items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Filter: resourceType="app", spaceId=&lt;Development space ID&gt;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3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Control → For Each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Iterate over the app list from Block 2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Qlik Cloud → Reload App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App ID: {{current.resourceId}}, Wait for completion: YES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Control → If/Else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If status != "succeeded" → send error notification via Teams or Email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Testing: Use the "Run Now" button to test before enabling the schedule. Check the Run History tab for execution logs. If a reload fails, verify that the app owner has valid data connection credentials.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4.4 Automation 2: Cold Chain Alert → Teams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Monitors IoT cold chain data every 5 minutes. When a temperature exceedance lasting 15+ minutes is detected, an Adaptive Card is posted to the #mcg-cold-chain-alerts Teams channel.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Create the Automation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Navigate to Automations → Create automation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Name: "MCG Cold Chain Alert → Teams"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Add 5 blocks as described below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Block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Block #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Scheduled Start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Cron: */5 * * * * (Every 5 minutes)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Qlik Cloud → Query Data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 Table: silver.iot_normalized; Filter: exceedance_minutes &gt;= 15 AND alert_sent = false; Fields: shipment_id, route, carrier, max_temp_celsius, exceedance_minutes, estimated_loss_usd, product_type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3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Control → Condition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If result_count &gt; 0 → continue; else → end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Control → Loop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Iterate over query results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Microsoft Teams → Post Adaptive Card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See card template below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Adaptive Card Template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The Teams Adaptive Card displays the following information: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Header: Cold Chain Alert — Temperature Exceedance (with warning icon)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Shipment ID, Route, Carrier (dynamic from query results)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Max Temperature (highlighted in red if &gt; 8°C)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Duration of exceedance in minutes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Estimated exposure cost in USD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Action note: "Contact carrier immediately. See SOP-SC-002 Section 4."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Action buttons: Open Cold Chain Dashboard, View Procedure (SOP-SC-002)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Post-Alert: Mark as Alerted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After sending the alert, update the data product to prevent duplicate alerts: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Add a 6th block: Qlik Cloud → Update Data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Set alert_sent = true WHERE shipment_id = '${shipment_id}'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The automation JSON template is available at deploy/automations/teams_cold_chain_alert.json. You can import this directly into the automation builder as a starting point.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Cold Chain Alert automation showing all 6 blocks with condition and loop logic]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4.5 Automation 3: Pipeline Health Summary → Teams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Posts a daily pipeline health summary to the #mcg-data-engineering Teams channel at 07:00 UTC, showing connection status, data freshness, and trust scores.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Block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Block #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Scheduled Start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Cron: 0 7 * * * (Daily at 07:00 UTC)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Qlik Cloud → REST API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GET /api/v1/data-connections — Retrieve all connection statuses and last sync times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3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Qlik Cloud → Query Data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Product: Supply Chain Health; Aggregate: COUNT by pipeline_status, AVG(trust_score), MAX(sync_lag_minutes)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Control → Variable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Compose the summary template from Block 2 and Block 3 results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Microsoft Teams → Post Adaptive Card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Channel: #mcg-data-engineering; See card structure below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Adaptive Card Contents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Header: MCG Pipeline Health — Daily Summary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Status counts: Healthy (count), Degraded (count), Failed (count)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Data freshness: PostgreSQL last sync, Kafka last sync, Salesforce last sync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Trust Scores: Inventory, Addresses, Products, Shipments (each with score)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Action button: Open Pipeline Monitor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The automation JSON template is available at deploy/automations/teams_pipeline_health.json.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4.6 Automation 4: WISMO Rate Alert → Teams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Monitors the WISMO (Where Is My Order?) rate every 30 minutes. When the rate exceeds 40% for any carrier or region combination, an alert is posted to #mcg-customer-ops.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Block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Block #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Scheduled Start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Cron: */30 * * * * (Every 30 minutes)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Qlik Cloud → Query Data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Product: Last Mile Performance; Filter: wismo_flag = true AND on_time_pct &lt; 0.60; Group by: carrier, destination_region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3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Control → Condition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If results exist → continue; else → end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Microsoft Teams → Post Message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Channel: #mcg-customer-ops; Include: carrier, region, WISMO rate, affected order count, dashboard link</w:t>
            </w:r>
          </w:p>
        </w:tc>
      </w:tr>
    </w:tbl>
    <w:p>
      <w:r>
        <w:br w:type="page"/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4.7 Automation 5: Address Correction Loop (Talend)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This is the most complex automation — a closed-loop workflow that triggers a Talend Address Validation job when stewardship tasks are approved, then updates data and notifies the team.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Block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Block #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1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Event Trigger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Stewardship Task Completed (webhook or 15-min polling)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Qlik Cloud → REST API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Collect approved record IDs from stewardship batch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3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Talend → Run Job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 /api/v1/talend/jobs/&lt;address-validation-job-id&gt;/run with parameters: input_source=stewardship_batch, record_ids, source_table=silver.addresses_standardized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Control → Wait + Poll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Every 30 seconds, timeout 10 minutes, check job status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5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Control → Verify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records_processed, records_corrected, avg_confidence_score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Qlik Cloud → Update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Mark stewardship tasks as "Resolved" or "Needs Manual Review"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7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Microsoft Teams → Post Card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 results to #mcg-data-engineering with correction count and confidence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8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Qlik Cloud → Trigger Refresh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Refresh downstream tables: silver.order_delivery_timeline, gold.last_mile_performance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Talend Job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input_source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stewardship_batch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record_ids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{{approvedRecords.ids}} (from Block 2)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source_table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silver.addresses_standardized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write_back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true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validation_services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PostNL, USPS, Correios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This automation demonstrates the closed-loop data quality cycle: Stewardship → Talend Validation → Silver Update → Gold Refresh → Predict Model Retrain. It's the most impactful demo for showing how human-in-the-loop governance connects to automated correction.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Full Talend job design: deploy/talend/README.md — two Studio jobs scheduled every 15 minutes in TMC. Job 1 (mcg_sf_address_validate) pulls Salesforce, validates address format with the routines.AddressValidator tMap function, geocodes bad addresses via the public Nominatim API (1 req/s throttle), and routes unresolved rows to the Address Cleanup stewardship campaign. Job 2 (mcg_sf_address_to_qvd) lands the validated + geocoded set as MCG_SF_Addresses_Validated.qvd in Qlik Cloud DataFiles, which the Delivery &amp; Customer Experience app loads (CustomerGeo table) on its 15-minute reload task.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Address Correction Loop automation showing all 8 blocks from stewardship trigger through Gold refresh]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4.8 Microsoft Teams Webhook Setup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54659"/>
          <w:sz w:val="21"/>
          <w:szCs w:val="21"/>
        </w:rPr>
        <w:t xml:space="preserve">All Teams-connected automations require an Incoming Webhook configured for each target channel.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Steps to Create a Webhook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In Microsoft Teams, navigate to the target channel (e.g., #mcg-cold-chain-alerts)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Click the channel name → Manage channel → Connectors (or Workflows in newer Teams versions)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Search for "Incoming Webhook" and click Configure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Name the webhook (e.g., "MCG Qlik Alerts") and optionally upload the MCG logo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Click Create and copy the generated webhook URL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6.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Paste the webhook URL into the automation's Teams block configuration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7.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Also add the URL to deploy/config.json under automations.teamsWebhookUrl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Create separate webhooks for each Teams channel: one for #mcg-cold-chain-alerts (Automation 2), one for #mcg-data-engineering (Automations 3 and 5), and one for #mcg-customer-ops (Automation 4).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20"/>
                <w:szCs w:val="20"/>
              </w:rPr>
              <w:t xml:space="preserve">[Screenshot: Teams channel connector settings showing Incoming Webhook configuration]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4.9 Testing Automations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Always test with Run Now before enabling the schedule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Check the Run History tab for execution logs and block-level outputs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3.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Use the Debug panel to inspect individual block inputs and outputs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4.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For Teams blocks, verify the webhook URL by testing with a manual curl command first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5. </w:t>
      </w:r>
      <w:r>
        <w:rPr>
          <w:rFonts w:ascii="Inter" w:cs="Inter" w:eastAsia="Inter" w:hAnsi="Inter"/>
          <w:b w:val="false"/>
          <w:bCs w:val="false"/>
          <w:color w:val="454659"/>
          <w:sz w:val="21"/>
          <w:szCs w:val="21"/>
        </w:rPr>
        <w:t xml:space="preserve">Start all automations in Disabled state, test manually, then enable schedules</w:t>
      </w:r>
    </w:p>
    <w:p>
      <w:r>
        <w:br w:type="page"/>
      </w:r>
    </w:p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Part 5: Verification &amp; Troubleshooting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5.1 Complete Pipeline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Expected Status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Verification Step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CDC Pipeline 1 (inventory)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Full Load Complete, CDC Active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DMG status page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CDC Pipeline 2 (events)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Full Load Complete, CDC Active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DMG status page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CDC Pipeline 3 (shipments)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Full Load Complete, CDC Active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DMG status page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Streaming Pipeline 4 (cold chain)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Running, messages flowing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Confluent Control Center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Streaming Pipeline 5 (carrier events)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Running, messages flowing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Confluent Control Center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 Pipeline 6 (contacts)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Last sync &lt; 15 min ago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connection status in hub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 Pipeline 7 (orders)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Last sync &lt; 15 min ago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connection status in hub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 Pipeline 8 (products)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Last sync &lt; 15 min ago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connection status in hub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 Routes 1-8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All transformations completed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Data Integration &gt; Transformations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Gold Table Recipes (7)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All recipes producing output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Data Catalog for row counts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Products (7)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All registered with Trust Score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Data Marketplace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Automation 1 (Reload)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Disabled (or scheduled)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Automations &gt; Run History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Automation 2 (Cold Chain)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Disabled (test first)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Run Now &gt; verify Teams card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Automation 3 (Pipeline Health)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Disabled (test first)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Run Now &gt; verify Teams card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Automation 4 (WISMO)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Disabled (test first)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Run Now &gt; verify Teams message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Automation 5 (Address Loop)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Disabled (test first)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Run Now &gt; verify Talend trigger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5.2 Common Issues &amp; 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CDC not capturing changes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WAL level not set to logical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Set wal_level=logical in PostgreSQL config; restart container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Replication slot not active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Gateway not connected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DMG agent status; re-register if needed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Kafka messages not flowing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Consumer group offset issue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Reset consumer group offset to earliest; check topic permissions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Salesforce sync fails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Token expired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Regenerate security token in Salesforce settings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Teams card not posting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Webhook URL invalid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Recreate webhook connector in Teams channel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Automation times out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Query too slow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Increase timeout in block settings; optimize Gold table query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Talend job fails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Wrong job ID or credentials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Verify Talend API endpoint and job ID in automation block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Duplicate alerts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Missing alert_sent flag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Add update block to set alert_sent = true after sending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Gold table empty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Silver dependencies not ready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Verify all upstream Silver tables have data before running recipe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Trust Score low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Data quality issues upstream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454659"/>
                <w:sz w:val="19"/>
                <w:szCs w:val="19"/>
              </w:rPr>
              <w:t xml:space="preserve">Check Silver data profiling; resolve Bronze data quality issues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Meridian Commerce Group  •  </w:t>
    </w:r>
    <w:r>
      <w:rPr>
        <w:rFonts w:ascii="Inter" w:cs="Inter" w:eastAsia="Inter" w:hAnsi="Inter"/>
        <w:color w:val="454659"/>
        <w:sz w:val="14"/>
        <w:szCs w:val="14"/>
      </w:rPr>
      <w:t xml:space="preserve">Weena 505, 3013 AL Rotterdam, Netherlands</w:t>
    </w:r>
  </w:p>
  <w:p>
    <w:pPr>
      <w:spacing w:after="0" w:before="0"/>
      <w:jc w:val="center"/>
    </w:pPr>
    <w:r>
      <w:rPr>
        <w:rFonts w:ascii="Inter" w:cs="Inter" w:eastAsia="Inter" w:hAnsi="Inter"/>
        <w:color w:val="454659"/>
        <w:sz w:val="14"/>
        <w:szCs w:val="14"/>
      </w:rPr>
      <w:t xml:space="preserve">+31 10 798 4000  •  www.meridiancommerce.com  •  info@meridiancommerce.com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454659"/>
        <w:sz w:val="13"/>
        <w:szCs w:val="13"/>
      </w:rPr>
      <w:t xml:space="preserve">Page </w:t>
    </w:r>
    <w:r>
      <w:rPr>
        <w:rFonts w:ascii="Inter" w:cs="Inter" w:eastAsia="Inter" w:hAnsi="Inter"/>
        <w:color w:val="45465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76200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sz w:val="20"/>
        <w:szCs w:val="20"/>
      </w:rPr>
      <w:t xml:space="preserve">   </w:t>
    </w:r>
    <w:r>
      <w:rPr>
        <w:rFonts w:ascii="Inter" w:cs="Inter" w:eastAsia="Inter" w:hAnsi="Inter"/>
        <w:b/>
        <w:bCs/>
        <w:color w:val="19416C"/>
        <w:sz w:val="26"/>
        <w:szCs w:val="26"/>
      </w:rPr>
      <w:t xml:space="preserve">MERIDIAN</w:t>
    </w:r>
    <w:r>
      <w:rPr>
        <w:rFonts w:ascii="Inter" w:cs="Inter" w:eastAsia="Inter" w:hAnsi="Inter"/>
        <w:b w:val="false"/>
        <w:bCs w:val="false"/>
        <w:color w:val="19416C"/>
        <w:sz w:val="26"/>
        <w:szCs w:val="26"/>
      </w:rPr>
      <w:t xml:space="preserve"> COMMERCE </w:t>
    </w:r>
    <w:r>
      <w:rPr>
        <w:rFonts w:ascii="Inter" w:cs="Inter" w:eastAsia="Inter" w:hAnsi="Inter"/>
        <w:b/>
        <w:bCs/>
        <w:color w:val="009845"/>
        <w:sz w:val="26"/>
        <w:szCs w:val="26"/>
      </w:rPr>
      <w:t xml:space="preserve">GROUP</w:t>
    </w:r>
  </w:p>
  <w:p>
    <w:pPr>
      <w:spacing w:after="0"/>
    </w:pPr>
    <w:r>
      <w:rPr>
        <w:rFonts w:ascii="Inter" w:cs="Inter" w:eastAsia="Inter" w:hAnsi="Inter"/>
        <w:i/>
        <w:iCs/>
        <w:color w:val="454659"/>
        <w:sz w:val="16"/>
        <w:szCs w:val="16"/>
      </w:rPr>
      <w:t xml:space="preserve">The neighborhood store with global reach</w:t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CREATION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cs="Inter" w:eastAsia="Inter" w:hAnsi="Inter"/>
        <w:color w:val="454659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ubhead"/>
    <w:qFormat/>
    <w:rsid w:val="00437EFB"/>
    <w:rPr>
      <w:rFonts w:ascii="Inter" w:eastAsiaTheme="minorEastAsia" w:hAnsi="Inter"/>
      <w:color w:val="009845" w:themeColor="accent1"/>
    </w:rPr>
  </w:style>
  <w:style w:type="paragraph" w:styleId="Heading2">
    <w:name w:val="heading 2"/>
    <w:basedOn w:val="BodyP"/>
    <w:next w:val="Normal"/>
    <w:link w:val="Heading2Char"/>
    <w:uiPriority w:val="9"/>
    <w:unhideWhenUsed/>
    <w:qFormat/>
    <w:rsid w:val="00CF335B"/>
    <w:pPr>
      <w:spacing w:before="360" w:after="100" w:afterAutospacing="1" w:line="240" w:lineRule="auto"/>
      <w:outlineLvl w:val="1"/>
    </w:pPr>
    <w:rPr>
      <w:b/>
      <w:bCs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35D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413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35D2"/>
    <w:rPr>
      <w:rFonts w:eastAsiaTheme="minorEastAsia"/>
    </w:rPr>
  </w:style>
  <w:style w:type="paragraph" w:customStyle="1" w:styleId="Sectiontype">
    <w:name w:val="Section type"/>
    <w:basedOn w:val="Normal"/>
    <w:qFormat/>
    <w:rsid w:val="00E52BED"/>
    <w:pPr>
      <w:tabs>
        <w:tab w:val="right" w:pos="10080"/>
      </w:tabs>
      <w:suppressAutoHyphens/>
      <w:autoSpaceDE w:val="0"/>
      <w:autoSpaceDN w:val="0"/>
      <w:adjustRightInd w:val="0"/>
      <w:spacing w:before="600" w:after="240" w:line="480" w:lineRule="auto"/>
      <w:textAlignment w:val="center"/>
    </w:pPr>
    <w:rPr>
      <w:rFonts w:ascii="Arial" w:eastAsiaTheme="minorHAnsi" w:hAnsi="Arial" w:cs="Source Sans Pro Light"/>
      <w:b/>
      <w:noProof/>
      <w:color w:val="FFFFFF" w:themeColor="background1"/>
      <w:spacing w:val="40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1EC6"/>
    <w:pPr>
      <w:tabs>
        <w:tab w:val="right" w:pos="10080"/>
      </w:tabs>
      <w:suppressAutoHyphens/>
      <w:autoSpaceDE w:val="0"/>
      <w:autoSpaceDN w:val="0"/>
      <w:adjustRightInd w:val="0"/>
      <w:spacing w:before="240" w:line="276" w:lineRule="auto"/>
      <w:textAlignment w:val="center"/>
    </w:pPr>
    <w:rPr>
      <w:rFonts w:eastAsiaTheme="minorHAnsi" w:cs="Source Sans Pro Light"/>
      <w:color w:val="54565A"/>
      <w:kern w:val="0"/>
      <w:sz w:val="28"/>
      <w:szCs w:val="36"/>
      <w:u w:val="single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03DD4"/>
  </w:style>
  <w:style w:type="paragraph" w:customStyle="1" w:styleId="BodyP">
    <w:name w:val="Body P"/>
    <w:basedOn w:val="Normal"/>
    <w:qFormat/>
    <w:rsid w:val="00DF103C"/>
    <w:pPr>
      <w:suppressAutoHyphens/>
      <w:autoSpaceDE w:val="0"/>
      <w:autoSpaceDN w:val="0"/>
      <w:adjustRightInd w:val="0"/>
      <w:spacing w:before="200" w:after="240" w:line="360" w:lineRule="auto"/>
      <w:textAlignment w:val="center"/>
    </w:pPr>
    <w:rPr>
      <w:rFonts w:eastAsiaTheme="minorHAnsi" w:cs="Source Sans Pro"/>
      <w:color w:val="454659" w:themeColor="text1"/>
      <w:kern w:val="0"/>
      <w:sz w:val="21"/>
      <w:szCs w:val="21"/>
      <w14:ligatures w14:val="none"/>
    </w:rPr>
  </w:style>
  <w:style w:type="paragraph" w:customStyle="1" w:styleId="Bullets1">
    <w:name w:val="Bullets 1"/>
    <w:basedOn w:val="BodyP"/>
    <w:qFormat/>
    <w:rsid w:val="00DF103C"/>
    <w:pPr>
      <w:numPr>
        <w:numId w:val="1"/>
      </w:numPr>
      <w:spacing w:after="120"/>
    </w:pPr>
    <w:rPr>
      <w:szCs w:val="22"/>
    </w:rPr>
  </w:style>
  <w:style w:type="character" w:customStyle="1" w:styleId="normaltextrun">
    <w:name w:val="normaltextrun"/>
    <w:basedOn w:val="DefaultParagraphFont"/>
    <w:rsid w:val="00A72D33"/>
  </w:style>
  <w:style w:type="paragraph" w:customStyle="1" w:styleId="Intro">
    <w:name w:val="Intro"/>
    <w:basedOn w:val="Normal"/>
    <w:qFormat/>
    <w:rsid w:val="00DF103C"/>
    <w:pPr>
      <w:suppressAutoHyphens/>
      <w:autoSpaceDE w:val="0"/>
      <w:autoSpaceDN w:val="0"/>
      <w:adjustRightInd w:val="0"/>
      <w:spacing w:after="120" w:line="360" w:lineRule="auto"/>
      <w:textAlignment w:val="center"/>
    </w:pPr>
    <w:rPr>
      <w:rFonts w:eastAsiaTheme="minorHAnsi" w:cs="Times New Roman (Body CS)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703498"/>
    <w:pPr>
      <w:ind w:left="720"/>
      <w:contextualSpacing/>
    </w:pPr>
  </w:style>
  <w:style w:type="table" w:styleId="TableGrid">
    <w:name w:val="Table Grid"/>
    <w:basedOn w:val="TableNormal"/>
    <w:uiPriority w:val="59"/>
    <w:rsid w:val="007E4CE3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acer">
    <w:name w:val="spacer"/>
    <w:basedOn w:val="Normal"/>
    <w:uiPriority w:val="99"/>
    <w:qFormat/>
    <w:rsid w:val="007E4CE3"/>
    <w:pPr>
      <w:tabs>
        <w:tab w:val="center" w:pos="4680"/>
        <w:tab w:val="right" w:pos="9360"/>
      </w:tabs>
    </w:pPr>
    <w:rPr>
      <w:rFonts w:eastAsiaTheme="minorHAnsi"/>
      <w:color w:val="454659" w:themeColor="text1"/>
      <w:kern w:val="0"/>
      <w:sz w:val="2"/>
      <w:szCs w:val="2"/>
      <w14:ligatures w14:val="none"/>
    </w:rPr>
  </w:style>
  <w:style w:type="paragraph" w:customStyle="1" w:styleId="SidebarBody">
    <w:name w:val="Sidebar Body"/>
    <w:basedOn w:val="Normal"/>
    <w:link w:val="SidebarBodyChar"/>
    <w:qFormat/>
    <w:rsid w:val="007E4CE3"/>
    <w:pPr>
      <w:framePr w:hSpace="180" w:wrap="around" w:vAnchor="text" w:hAnchor="text" w:x="6840" w:y="1"/>
      <w:spacing w:after="120" w:line="240" w:lineRule="atLeast"/>
      <w:ind w:left="288" w:right="58"/>
      <w:suppressOverlap/>
    </w:pPr>
    <w:rPr>
      <w:rFonts w:eastAsiaTheme="minorHAnsi"/>
      <w:color w:val="93579C" w:themeColor="accent6"/>
      <w:kern w:val="0"/>
      <w:sz w:val="18"/>
      <w:szCs w:val="20"/>
      <w14:ligatures w14:val="none"/>
    </w:rPr>
  </w:style>
  <w:style w:type="character" w:customStyle="1" w:styleId="SidebarBodyChar">
    <w:name w:val="Sidebar Body Char"/>
    <w:basedOn w:val="DefaultParagraphFont"/>
    <w:link w:val="SidebarBody"/>
    <w:rsid w:val="007E4CE3"/>
    <w:rPr>
      <w:color w:val="93579C" w:themeColor="accent6"/>
      <w:kern w:val="0"/>
      <w:sz w:val="18"/>
      <w:szCs w:val="20"/>
      <w14:ligatures w14:val="none"/>
    </w:rPr>
  </w:style>
  <w:style w:type="paragraph" w:customStyle="1" w:styleId="SidebarHeading1">
    <w:name w:val="Sidebar Heading 1"/>
    <w:basedOn w:val="SidebarBody"/>
    <w:next w:val="SidebarBody"/>
    <w:link w:val="SidebarHeading1Char"/>
    <w:qFormat/>
    <w:rsid w:val="007E4CE3"/>
    <w:pPr>
      <w:framePr w:wrap="around"/>
      <w:spacing w:before="120" w:after="240"/>
    </w:pPr>
    <w:rPr>
      <w:rFonts w:cstheme="minorHAnsi"/>
      <w:b/>
      <w:sz w:val="24"/>
      <w:szCs w:val="24"/>
    </w:rPr>
  </w:style>
  <w:style w:type="character" w:customStyle="1" w:styleId="SidebarHeading1Char">
    <w:name w:val="Sidebar Heading 1 Char"/>
    <w:basedOn w:val="DefaultParagraphFont"/>
    <w:link w:val="SidebarHeading1"/>
    <w:rsid w:val="007E4CE3"/>
    <w:rPr>
      <w:rFonts w:cstheme="minorHAnsi"/>
      <w:b/>
      <w:color w:val="93579C" w:themeColor="accent6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F335B"/>
    <w:rPr>
      <w:rFonts w:ascii="Arial" w:hAnsi="Arial" w:cs="Source Sans Pro"/>
      <w:b/>
      <w:bCs/>
      <w:color w:val="FFFFFF" w:themeColor="background1"/>
      <w:kern w:val="0"/>
      <w:sz w:val="22"/>
      <w:szCs w:val="22"/>
      <w14:ligatures w14:val="none"/>
    </w:rPr>
  </w:style>
  <w:style w:type="paragraph" w:customStyle="1" w:styleId="SidebarListBullet">
    <w:name w:val="Sidebar List Bullet"/>
    <w:basedOn w:val="Normal"/>
    <w:next w:val="Normal"/>
    <w:link w:val="SidebarListBulletChar"/>
    <w:qFormat/>
    <w:rsid w:val="000C317D"/>
    <w:pPr>
      <w:framePr w:hSpace="180" w:wrap="around" w:vAnchor="text" w:hAnchor="text" w:x="6840" w:y="1"/>
      <w:numPr>
        <w:numId w:val="3"/>
      </w:numPr>
      <w:spacing w:before="80" w:after="80" w:line="200" w:lineRule="atLeast"/>
      <w:ind w:left="540" w:hanging="180"/>
      <w:contextualSpacing/>
      <w:suppressOverlap/>
    </w:pPr>
    <w:rPr>
      <w:rFonts w:eastAsiaTheme="minorHAnsi"/>
      <w:bCs/>
      <w:color w:val="93579C" w:themeColor="accent6"/>
      <w:kern w:val="0"/>
      <w:sz w:val="18"/>
      <w:szCs w:val="20"/>
      <w14:ligatures w14:val="none"/>
    </w:rPr>
  </w:style>
  <w:style w:type="character" w:customStyle="1" w:styleId="SidebarListBulletChar">
    <w:name w:val="Sidebar List Bullet Char"/>
    <w:basedOn w:val="DefaultParagraphFont"/>
    <w:link w:val="SidebarListBullet"/>
    <w:rsid w:val="000C317D"/>
    <w:rPr>
      <w:bCs/>
      <w:color w:val="93579C" w:themeColor="accent6"/>
      <w:kern w:val="0"/>
      <w:sz w:val="18"/>
      <w:szCs w:val="20"/>
      <w14:ligatures w14:val="none"/>
    </w:rPr>
  </w:style>
  <w:style w:type="paragraph" w:customStyle="1" w:styleId="SidebarHeading2">
    <w:name w:val="Sidebar Heading 2"/>
    <w:basedOn w:val="SidebarHeading1"/>
    <w:qFormat/>
    <w:rsid w:val="000C317D"/>
    <w:pPr>
      <w:framePr w:wrap="around"/>
      <w:spacing w:before="180" w:after="120"/>
    </w:pPr>
    <w:rPr>
      <w:sz w:val="18"/>
      <w:szCs w:val="18"/>
    </w:rPr>
  </w:style>
  <w:style w:type="paragraph" w:customStyle="1" w:styleId="SidebarQuote">
    <w:name w:val="Sidebar Quote"/>
    <w:basedOn w:val="SidebarBody"/>
    <w:qFormat/>
    <w:rsid w:val="000C317D"/>
    <w:pPr>
      <w:framePr w:wrap="around"/>
      <w:spacing w:after="0" w:line="360" w:lineRule="auto"/>
      <w:ind w:hanging="14"/>
    </w:pPr>
    <w:rPr>
      <w:color w:val="10CFC9" w:themeColor="accent2"/>
      <w:sz w:val="24"/>
      <w:szCs w:val="24"/>
    </w:rPr>
  </w:style>
  <w:style w:type="paragraph" w:customStyle="1" w:styleId="BasicParagraph">
    <w:name w:val="[Basic Paragraph]"/>
    <w:basedOn w:val="Normal"/>
    <w:uiPriority w:val="99"/>
    <w:rsid w:val="0063694C"/>
    <w:pPr>
      <w:suppressAutoHyphens/>
      <w:autoSpaceDE w:val="0"/>
      <w:autoSpaceDN w:val="0"/>
      <w:adjustRightInd w:val="0"/>
      <w:spacing w:line="384" w:lineRule="atLeast"/>
      <w:textAlignment w:val="center"/>
    </w:pPr>
    <w:rPr>
      <w:rFonts w:ascii="Source Sans Pro" w:eastAsiaTheme="minorHAnsi" w:hAnsi="Source Sans Pro" w:cs="Source Sans Pro"/>
      <w:color w:val="0C2332"/>
      <w:kern w:val="0"/>
      <w:sz w:val="22"/>
      <w:lang w:bidi="gu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3694C"/>
    <w:pPr>
      <w:widowControl w:val="0"/>
      <w:autoSpaceDE w:val="0"/>
      <w:autoSpaceDN w:val="0"/>
    </w:pPr>
    <w:rPr>
      <w:rFonts w:eastAsia="Inter" w:cs="Inter"/>
      <w:color w:val="auto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3694C"/>
    <w:rPr>
      <w:rFonts w:ascii="Inter" w:eastAsia="Inter" w:hAnsi="Inter" w:cs="Inter"/>
      <w:kern w:val="0"/>
      <w:sz w:val="20"/>
      <w:szCs w:val="20"/>
      <w14:ligatures w14:val="none"/>
    </w:rPr>
  </w:style>
  <w:style w:type="character" w:customStyle="1" w:styleId="CopySmall">
    <w:name w:val="Copy Small"/>
    <w:basedOn w:val="DefaultParagraphFont"/>
    <w:uiPriority w:val="99"/>
    <w:rsid w:val="0063694C"/>
    <w:rPr>
      <w:rFonts w:ascii="Inter" w:hAnsi="Inter" w:cs="Inter"/>
      <w:outline/>
      <w:spacing w:val="-2"/>
      <w:sz w:val="18"/>
      <w:szCs w:val="18"/>
    </w:rPr>
  </w:style>
  <w:style w:type="character" w:customStyle="1" w:styleId="Footnotes">
    <w:name w:val="Footnotes"/>
    <w:basedOn w:val="DefaultParagraphFont"/>
    <w:uiPriority w:val="99"/>
    <w:rsid w:val="0063694C"/>
    <w:rPr>
      <w:rFonts w:ascii="Inter" w:hAnsi="Inter" w:cs="Inter"/>
      <w:outline/>
      <w:spacing w:val="0"/>
      <w:sz w:val="10"/>
      <w:szCs w:val="10"/>
    </w:rPr>
  </w:style>
  <w:style w:type="character" w:styleId="Hyperlink">
    <w:name w:val="Hyperlink"/>
    <w:basedOn w:val="DefaultParagraphFont"/>
    <w:uiPriority w:val="99"/>
    <w:unhideWhenUsed/>
    <w:rsid w:val="001D12C4"/>
    <w:rPr>
      <w:color w:val="00984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2C4"/>
    <w:rPr>
      <w:color w:val="605E5C"/>
      <w:shd w:val="clear" w:color="auto" w:fill="E1DFDD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df9435ca988fd40276d8768db82a6e2917dd79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2026-06-18T14:35:44.354Z</dcterms:created>
  <dcterms:modified xsi:type="dcterms:W3CDTF">2026-06-18T14:35:44.354Z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