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an 11-step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Deploy UI landing page at localhost:3939 showing the MCG Deployment Wizard with 11 setup steps listed on the left navigation panel]</w:t>
            </w:r>
          </w:p>
        </w:tc>
      </w:tr>
    </w:tbl>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Authentication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the local Kafka/PostgreSQL/simulator stack (optional DMG)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 &amp; Infrastructure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shared and managed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PostgreSQL, Kafka, and Salesforce connections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declarative pipeline projects (batch + streaming): tasks, connection bindings, prepare, start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analytics apps and apply the MCG theme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Documents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Deploy Teams alerting automation templates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The two data products with their gold dataset attachment and marketplace publish toggles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Import business glossary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pPr>
        <w:spacing w:after="120" w:before="280"/>
      </w:pPr>
      <w:r>
        <w:rPr>
          <w:rFonts w:ascii="Inter" w:cs="Inter" w:eastAsia="Inter" w:hAnsi="Inter"/>
          <w:b/>
          <w:bCs/>
          <w:color w:val="006580"/>
          <w:sz w:val="26"/>
          <w:szCs w:val="26"/>
        </w:rPr>
        <w:t xml:space="preserve">3.7 Register the Data Movement Gateway in Qlik Cloud</w:t>
      </w:r>
    </w:p>
    <w:p>
      <w:pPr>
        <w:spacing w:after="120"/>
        <w:jc w:val="left"/>
      </w:pPr>
      <w:r>
        <w:rPr>
          <w:rFonts w:ascii="Inter" w:cs="Inter" w:eastAsia="Inter" w:hAnsi="Inter"/>
          <w:b w:val="false"/>
          <w:bCs w:val="false"/>
          <w:i w:val="false"/>
          <w:iCs w:val="false"/>
          <w:color w:val="454659"/>
          <w:sz w:val="21"/>
          <w:szCs w:val="21"/>
        </w:rPr>
        <w:t xml:space="preserve">The Data Movement Gateway runs inside the local container but must be registered to your Qlik Cloud tenant before any Postgres, MySQL, SQL Server, or Kafka source connection can bind to it. Registration is a one-time, token-based step. Qlik Cloud generates nothing automatically — you retrieve a registration token from the running container and paste it into the tenant's admin console.</w:t>
      </w:r>
    </w:p>
    <w:p>
      <w:pPr>
        <w:spacing w:after="120"/>
        <w:jc w:val="left"/>
      </w:pPr>
      <w:r>
        <w:rPr>
          <w:rFonts w:ascii="Inter" w:cs="Inter" w:eastAsia="Inter" w:hAnsi="Inter"/>
          <w:b w:val="false"/>
          <w:bCs w:val="false"/>
          <w:i w:val="false"/>
          <w:iCs w:val="false"/>
          <w:color w:val="454659"/>
          <w:sz w:val="21"/>
          <w:szCs w:val="21"/>
        </w:rPr>
        <w:t xml:space="preserve">Easiest path — use the deploy UI (recommended):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MCG Deploy UI and switch to the Local Stack &amp; Gateway view.</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Under Data Movement Gateway, click Register Gateway / Get Token.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The console prints the registration token directly — copy the entire JSON token string.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Register Gateway / Get Token button lives in Local Stack &amp; Gateway, not in the Tenant Deployment wizard. It targets the running mcg-qlik-dmg container and prints the token to the local console. If the gateway is still initializing, wait a few seconds and click again.</w:t>
            </w:r>
          </w:p>
        </w:tc>
      </w:tr>
    </w:tbl>
    <w:p>
      <w:pPr>
        <w:spacing w:after="120"/>
        <w:jc w:val="left"/>
      </w:pPr>
      <w:r>
        <w:rPr>
          <w:rFonts w:ascii="Inter" w:cs="Inter" w:eastAsia="Inter" w:hAnsi="Inter"/>
          <w:b w:val="false"/>
          <w:bCs w:val="false"/>
          <w:i w:val="false"/>
          <w:iCs w:val="false"/>
          <w:color w:val="454659"/>
          <w:sz w:val="21"/>
          <w:szCs w:val="21"/>
        </w:rPr>
        <w:t xml:space="preserve">Manual path — retrieve the token from the container terminal: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Docker Desktop and locate the gateway container (it appears as mcg-qlik-dmg).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that container's terminal (Docker Desktop → Containers → mcg-qlik-dmg → Exec / Terminal tab), or run the command below from any shell.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Run the registration command to print the token:</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docker exec -it mcg-qlik-dmg bash -lc "cd /opt/qlik/gateway/movement/bin &amp;&amp; ./agentctl qcs get_registration"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Copy the JSON token string it outputs (it begins with {"agentType"...}).</w:t>
      </w:r>
    </w:p>
    <w:p>
      <w:pPr>
        <w:spacing w:after="120"/>
        <w:jc w:val="left"/>
      </w:pPr>
      <w:r>
        <w:rPr>
          <w:rFonts w:ascii="Inter" w:cs="Inter" w:eastAsia="Inter" w:hAnsi="Inter"/>
          <w:b w:val="false"/>
          <w:bCs w:val="false"/>
          <w:i w:val="false"/>
          <w:iCs w:val="false"/>
          <w:color w:val="454659"/>
          <w:sz w:val="21"/>
          <w:szCs w:val="21"/>
        </w:rPr>
        <w:t xml:space="preserve">Register the token in your tenant: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go to Administration → Data Gateways.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paste the token, give the gateway a name, and confirm.</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the gateway status to change to Connected (it may take a minute).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Connected, your database source connections (PostgreSQL, MySQL, SQL Server) can select this gateway to reach the local databases — see section 3.8.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Full step-by-step gateway setup documentation: https://help.qlik.com/en-US/cloud-services/Subsystems/Hub/Content/Sense_Hub/Gateways/dm-gateway-setting-up.htm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Administration → Data Gateways page showing the registered gateway with a 'Connected' status]</w:t>
            </w:r>
          </w:p>
        </w:tc>
      </w:tr>
    </w:tbl>
    <w:p>
      <w:pPr>
        <w:spacing w:after="120" w:before="280"/>
      </w:pPr>
      <w:r>
        <w:rPr>
          <w:rFonts w:ascii="Inter" w:cs="Inter" w:eastAsia="Inter" w:hAnsi="Inter"/>
          <w:b/>
          <w:bCs/>
          <w:color w:val="006580"/>
          <w:sz w:val="26"/>
          <w:szCs w:val="26"/>
        </w:rPr>
        <w:t xml:space="preserve">3.8 Create the Source Connections (Data Integration project)</w:t>
      </w:r>
    </w:p>
    <w:p>
      <w:pPr>
        <w:spacing w:after="120"/>
        <w:jc w:val="left"/>
      </w:pPr>
      <w:r>
        <w:rPr>
          <w:rFonts w:ascii="Inter" w:cs="Inter" w:eastAsia="Inter" w:hAnsi="Inter"/>
          <w:b w:val="false"/>
          <w:bCs w:val="false"/>
          <w:i w:val="false"/>
          <w:iCs w:val="false"/>
          <w:color w:val="454659"/>
          <w:sz w:val="21"/>
          <w:szCs w:val="21"/>
        </w:rPr>
        <w:t xml:space="preserve">With the gateway Connected, create the database source connections inside a Qlik Talend Data Integration project. The connection selects the gateway so Qlik Cloud can reach the databases running locally in the mcg-qlik-dmg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Important: a Data Movement gateway connection cannot be created through the public REST API — it is created here in the Data Integration UI by selecting the gateway. The MCG deploy script intentionally skips these database/Kafka sources and prints this same guidance instead of creating a non-functional connection.</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open Data Integration and create (or open) a data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connection and choose the source type: PostgreSQL, MySQL, or SQL Server.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the Data gateway field, select the registered gateway (mcg-qlik-dmg).</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Enter the host, port, database, and credentials for the source (see section 3.3 Default Credentials). Inside the gateway container the databases are reachable on localhost at their standard ports (PostgreSQL 5432, MySQL 3306, SQL Server 1433).</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Test the connection, then save it. Repeat for each database source you want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Integration → Create connection dialog with PostgreSQL selected and the mcg-qlik-dmg Data Movement gateway chosen in the Data gateway dropdown]</w:t>
            </w:r>
          </w:p>
        </w:tc>
      </w:tr>
    </w:tbl>
    <w:p>
      <w:pPr>
        <w:spacing w:after="120"/>
        <w:jc w:val="left"/>
      </w:pPr>
      <w:r>
        <w:rPr>
          <w:rFonts w:ascii="Inter" w:cs="Inter" w:eastAsia="Inter" w:hAnsi="Inter"/>
          <w:b w:val="false"/>
          <w:bCs w:val="false"/>
          <w:i w:val="false"/>
          <w:iCs w:val="false"/>
          <w:color w:val="454659"/>
          <w:sz w:val="21"/>
          <w:szCs w:val="21"/>
        </w:rPr>
        <w:t xml:space="preserve">Kafka and credentialed cloud connectors are set up separately: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Kafka (IoT telemetry) as a source requires a Data Gateway - Streaming — a different gateway type from Data Movement. Register a Streaming gateway, then create the Kafka source in the Data Integration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Salesforce, Amazon S3, and Amazon Athena are credentialed connectors — create them in Qlik Cloud (Data → Create connection) and supply their OAuth/IAM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Gateway types overview (Direct Access vs. Data Movement vs. Streaming): https://help.qlik.com/en-US/cloud-services/Subsystems/Hub/Content/Sense_Hub/Gateways/setting-up-gateways.htm</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Salesforce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Salesforce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Salesforce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MCG-Salesforce-CRM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your-salesforce-username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Security token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From Salesforce: Settings → Personal → Reset Security Token</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Salesforce objects: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MCG_Order__c (custom object)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MCG_Product__c (custom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Salesforce connector configuration in Qlik Cloud showing the object selection screen with Contact, MCG_Order__c, and MCG_Product__c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MCG_Order__c and MCG_Product__c custom objects must exist in your Salesforce org. If you are using a fresh Developer Edition, run the Salesforce setup script first: npm run sf:setup</w:t>
            </w:r>
          </w:p>
        </w:tc>
      </w:tr>
    </w:tbl>
    <w:p>
      <w:pPr>
        <w:spacing w:after="120" w:before="280"/>
      </w:pPr>
      <w:r>
        <w:rPr>
          <w:rFonts w:ascii="Inter" w:cs="Inter" w:eastAsia="Inter" w:hAnsi="Inter"/>
          <w:b/>
          <w:bCs/>
          <w:color w:val="006580"/>
          <w:sz w:val="26"/>
          <w:szCs w:val="26"/>
        </w:rPr>
        <w:t xml:space="preserve">7.4 Amazon Athena Connection (Analytics Reads —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destination for all pipeline data; the analytics apps read it back through Amazon Athena. Athena queries the lakehouse's Iceberg tables via the AWS Glue catalog, exposed as databases bronze, silver, and gold. Both app load scripts LIB CONNECT TO this connection by name.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Amazon Athena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Lakehouse (Athena) — must match the QVS LIB CONNECT name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AWS 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 (the lakehouse region)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Catalog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AwsDataCatalog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Workgroup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primary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 output location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s3://your-athena-results-bucket/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Authentication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IAM access key + secret (entered here in the UI)</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the connection — the bronze, silver, and gold databases should be visible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npm run deploy creates this connection by name (Step 4) so the apps' load scripts resolve; complete the IAM credentials here afterwards. The IAM principal needs athena:* on the workgroup, glue:Get* on the catalog, and s3:GetObject/PutObject on the lakehouse and results buckets.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Deploy the Pipelines (Declarative Import — Primary Method)</w:t>
      </w:r>
    </w:p>
    <w:p>
      <w:pPr>
        <w:spacing w:after="120"/>
        <w:jc w:val="left"/>
      </w:pPr>
      <w:r>
        <w:rPr>
          <w:rFonts w:ascii="Inter" w:cs="Inter" w:eastAsia="Inter" w:hAnsi="Inter"/>
          <w:b w:val="false"/>
          <w:bCs w:val="false"/>
          <w:i w:val="false"/>
          <w:iCs w:val="false"/>
          <w:color w:val="454659"/>
          <w:sz w:val="21"/>
          <w:szCs w:val="21"/>
        </w:rPr>
        <w:t xml:space="preserve">This is the primary way to deploy the MCG pipelines. Two Open Lakehouse projects are defined as version-controlled YAML under deploy/pipelines/ (QTCP declarative pipelines preview): mcg-batch-pipeline (WMS CDC + Salesforce CRM → silver → gold) and mcg-streaming-pipeline (Kafka IoT → silver). Both import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Schedules are declared in each project's YAML (qtcp_tasks/*/schedule.yaml, one schedule per task): the CRM landing syncs every 15 minutes, the silver transform is event-triggered by its landings, and the gold datamart runs daily at 06:00 UTC. CDC and streaming landings run continuously once started.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one import ZIP per project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pPr>
        <w:spacing w:after="120"/>
        <w:jc w:val="left"/>
      </w:pPr>
      <w:r>
        <w:rPr>
          <w:rFonts w:ascii="Inter" w:cs="Inter" w:eastAsia="Inter" w:hAnsi="Inter"/>
          <w:b w:val="false"/>
          <w:bCs w:val="false"/>
          <w:i w:val="false"/>
          <w:iCs w:val="false"/>
          <w:color w:val="454659"/>
          <w:sz w:val="21"/>
          <w:szCs w:val="21"/>
        </w:rPr>
        <w:t xml:space="preserve">Sections 8.3–8.5 document what the declarative import creates — layer by layer. Use them as a reference, to demonstrate the build interactively, or to customize beyond what the YAML defines.</w:t>
      </w:r>
    </w:p>
    <w:p>
      <w:pPr>
        <w:spacing w:after="120" w:before="280"/>
      </w:pPr>
      <w:r>
        <w:rPr>
          <w:rFonts w:ascii="Inter" w:cs="Inter" w:eastAsia="Inter" w:hAnsi="Inter"/>
          <w:b/>
          <w:bCs/>
          <w:color w:val="006580"/>
          <w:sz w:val="26"/>
          <w:szCs w:val="26"/>
        </w:rPr>
        <w:t xml:space="preserve">8.3 Bronze Layer Reference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The declarative import creates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API Pipelines (Salesforce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Salesforce data on a schedule. A rename rule maps the Salesforce objects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MCG_Order__c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MCG_Product__c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8.4 Silver Layer Reference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The declarative import creates these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8.5 Gold Layer Reference (2 Data Products)</w:t>
      </w:r>
    </w:p>
    <w:p>
      <w:pPr>
        <w:spacing w:after="120"/>
        <w:jc w:val="left"/>
      </w:pPr>
      <w:r>
        <w:rPr>
          <w:rFonts w:ascii="Inter" w:cs="Inter" w:eastAsia="Inter" w:hAnsi="Inter"/>
          <w:b w:val="false"/>
          <w:bCs w:val="false"/>
          <w:i w:val="false"/>
          <w:iCs w:val="false"/>
          <w:color w:val="454659"/>
          <w:sz w:val="21"/>
          <w:szCs w:val="21"/>
        </w:rPr>
        <w:t xml:space="preserve">The gold layer contains the two business-ready, governed data products the pipeline creates — one per analytics domain app. Both ship in the declarative project as custom-SQL datamart datasets: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Primary path: npm run deploy provisions both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gold.inventory_health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Alert when WISMO rate exceeds 40% for any carrier or region combination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Cold Chain Exceedance (Spoilage Risk)</w:t>
      </w:r>
    </w:p>
    <w:p>
      <w:pPr>
        <w:spacing w:after="120"/>
        <w:jc w:val="left"/>
      </w:pPr>
      <w:r>
        <w:rPr>
          <w:rFonts w:ascii="Inter" w:cs="Inter" w:eastAsia="Inter" w:hAnsi="Inter"/>
          <w:b w:val="false"/>
          <w:bCs w:val="false"/>
          <w:i w:val="false"/>
          <w:iCs w:val="false"/>
          <w:color w:val="454659"/>
          <w:sz w:val="21"/>
          <w:szCs w:val="21"/>
        </w:rPr>
        <w:t xml:space="preserve">Both models train on the silver datasets the declarative pipelines land in the Open Lakehouse — picked from the catalog (read via the Athena/lakehouse layer), so training data carries the same lineage and Trust Score as the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Cold Chain Exceedance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alert_flag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temperature_c, battery_low, gps_gap, route_id, warehouse_id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performance metrics (accuracy, precision, recall, AUC) and feature importance — temperature_c and battery_low lead, with route_id = GRU-BA surfacing the TransFrio fleet issue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Late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Late Delivery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delivered_late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carrier_code, fulfillment_method, tracking_missing, delivery_attempts, exception_code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 — tracking_missing is the #2 predictor after carrier_code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Campaigns</w:t>
      </w:r>
    </w:p>
    <w:p>
      <w:pPr>
        <w:spacing w:after="120"/>
        <w:jc w:val="left"/>
      </w:pPr>
      <w:r>
        <w:rPr>
          <w:rFonts w:ascii="Inter" w:cs="Inter" w:eastAsia="Inter" w:hAnsi="Inter"/>
          <w:b w:val="false"/>
          <w:bCs w:val="false"/>
          <w:i w:val="false"/>
          <w:iCs w:val="false"/>
          <w:color w:val="454659"/>
          <w:sz w:val="21"/>
          <w:szCs w:val="21"/>
        </w:rPr>
        <w:t xml:space="preserve">Stewardship campaigns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Campaigns</w:t>
      </w:r>
    </w:p>
    <w:p>
      <w:pPr>
        <w:spacing w:after="120"/>
        <w:jc w:val="left"/>
      </w:pPr>
      <w:r>
        <w:rPr>
          <w:rFonts w:ascii="Inter" w:cs="Inter" w:eastAsia="Inter" w:hAnsi="Inter"/>
          <w:b w:val="false"/>
          <w:bCs w:val="false"/>
          <w:i w:val="false"/>
          <w:iCs w:val="false"/>
          <w:color w:val="454659"/>
          <w:sz w:val="21"/>
          <w:szCs w:val="21"/>
        </w:rPr>
        <w:t xml:space="preserve">Create four stewardship campaigns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Campaign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Campaign Setup Steps</w:t>
      </w:r>
    </w:p>
    <w:p>
      <w:pPr>
        <w:spacing w:after="120"/>
        <w:jc w:val="left"/>
      </w:pPr>
      <w:r>
        <w:rPr>
          <w:rFonts w:ascii="Inter" w:cs="Inter" w:eastAsia="Inter" w:hAnsi="Inter"/>
          <w:b w:val="false"/>
          <w:bCs w:val="false"/>
          <w:i w:val="false"/>
          <w:iCs w:val="false"/>
          <w:color w:val="454659"/>
          <w:sz w:val="21"/>
          <w:szCs w:val="21"/>
        </w:rPr>
        <w:t xml:space="preserve">For each campaign: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Campaign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campaign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campaign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campaign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campaign before the demo to show the workflow. Aim for 5-10 resolved records per campaign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campaigns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campaigns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2026-06-18T14:35:43.878Z</dcterms:created>
  <dcterms:modified xsi:type="dcterms:W3CDTF">2026-06-18T14:35:43.878Z</dcterms:modified>
</cp:coreProperties>
</file>

<file path=docProps/custom.xml><?xml version="1.0" encoding="utf-8"?>
<Properties xmlns="http://schemas.openxmlformats.org/officeDocument/2006/custom-properties" xmlns:vt="http://schemas.openxmlformats.org/officeDocument/2006/docPropsVTypes"/>
</file>