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6580" w:sz="2" w:space="4"/>
        </w:pBdr>
        <w:spacing w:after="160" w:before="360"/>
      </w:pPr>
      <w:r>
        <w:rPr>
          <w:rFonts w:ascii="Inter" w:cs="Inter" w:eastAsia="Inter" w:hAnsi="Inter"/>
          <w:b/>
          <w:bCs/>
          <w:color w:val="19416C"/>
          <w:sz w:val="30"/>
          <w:szCs w:val="30"/>
        </w:rPr>
        <w:t xml:space="preserve">Module 13: Discovery Agent, MCP Server &amp; Agentic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Duration</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12-15 minutes</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Checklist Phase</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Phase 11 + 12</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Nightmares</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#1 (Phantom Inventory), #4 (Silent Pipelines), #6 (Carrier Data Black Hole)</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Components</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Discovery Agent, Qlik MCP Server, Claude Desktop/Code, Agentic Analytics</w:t>
            </w:r>
          </w:p>
        </w:tc>
      </w:tr>
    </w:tbl>
    <w:p>
      <w:pPr>
        <w:spacing w:after="120" w:before="80"/>
      </w:pPr>
      <w:r>
        <w:rPr>
          <w:rFonts w:ascii="Inter" w:cs="Inter" w:eastAsia="Inter" w:hAnsi="Inter"/>
          <w:b/>
          <w:bCs/>
          <w:color w:val="006580"/>
          <w:sz w:val="20"/>
          <w:szCs w:val="20"/>
        </w:rPr>
        <w:t xml:space="preserve">Project Qlarity context:  </w:t>
      </w:r>
      <w:r>
        <w:rPr>
          <w:rFonts w:ascii="Inter" w:cs="Inter" w:eastAsia="Inter" w:hAnsi="Inter"/>
          <w:i/>
          <w:iCs/>
          <w:color w:val="454659"/>
          <w:sz w:val="20"/>
          <w:szCs w:val="20"/>
        </w:rPr>
        <w:t xml:space="preserve">Project Qlarity Phase 3 (AI &amp; Conversational) — the capstone. The Discovery Agent and MCP server are Qlarity's proactive, agentic layer: anomalies find you, and AI agents query the same governed data and documents that earlier phases built.</w:t>
      </w:r>
    </w:p>
    <w:p>
      <w:pPr>
        <w:spacing w:after="120" w:before="280"/>
      </w:pPr>
      <w:r>
        <w:rPr>
          <w:rFonts w:ascii="Inter" w:cs="Inter" w:eastAsia="Inter" w:hAnsi="Inter"/>
          <w:b/>
          <w:bCs/>
          <w:color w:val="006580"/>
          <w:sz w:val="26"/>
          <w:szCs w:val="26"/>
        </w:rPr>
        <w:t xml:space="preserve">Overview</w:t>
      </w:r>
    </w:p>
    <w:p>
      <w:pPr>
        <w:spacing w:after="120"/>
        <w:jc w:val="left"/>
      </w:pPr>
      <w:r>
        <w:rPr>
          <w:rFonts w:ascii="Inter" w:cs="Inter" w:eastAsia="Inter" w:hAnsi="Inter"/>
          <w:b w:val="false"/>
          <w:bCs w:val="false"/>
          <w:i w:val="false"/>
          <w:iCs w:val="false"/>
          <w:color w:val="454659"/>
          <w:sz w:val="21"/>
          <w:szCs w:val="21"/>
        </w:rPr>
        <w:t xml:space="preserve">The Discovery Agent proactively monitors data products for anomalies and alerts users before problems escalate. The MCP Server connects Qlik data to AI agents (Claude), enabling natural language queries that combine structured data with document intelligence. Together, they represent the AI-driven future of data analytics.</w:t>
      </w:r>
    </w:p>
    <w:p>
      <w:pPr>
        <w:spacing w:after="120" w:before="280"/>
      </w:pPr>
      <w:r>
        <w:rPr>
          <w:rFonts w:ascii="Inter" w:cs="Inter" w:eastAsia="Inter" w:hAnsi="Inter"/>
          <w:b/>
          <w:bCs/>
          <w:color w:val="006580"/>
          <w:sz w:val="26"/>
          <w:szCs w:val="26"/>
        </w:rPr>
        <w:t xml:space="preserve">Demo Methodology: Tell → Show → Tell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19416C" w:val="solid"/>
          </w:tcPr>
          <w:p>
            <w:pPr>
              <w:spacing w:after="0"/>
            </w:pPr>
            <w:r>
              <w:rPr>
                <w:sz w:val="10"/>
                <w:szCs w:val="10"/>
              </w:rPr>
              <w:t xml:space="preserve"> </w:t>
            </w:r>
          </w:p>
        </w:tc>
        <w:tc>
          <w:tcPr>
            <w:tcW w:type="pct" w:w="98%"/>
            <w:shd w:color="E3EAF3" w:val="solid"/>
            <w:tcMar>
              <w:top w:type="dxa" w:w="60"/>
              <w:left w:type="dxa" w:w="120"/>
              <w:bottom w:type="dxa" w:w="60"/>
              <w:right w:type="dxa" w:w="120"/>
            </w:tcMar>
          </w:tcPr>
          <w:p>
            <w:pPr>
              <w:spacing w:after="40"/>
            </w:pPr>
            <w:r>
              <w:rPr>
                <w:rFonts w:ascii="Inter" w:cs="Inter" w:eastAsia="Inter" w:hAnsi="Inter"/>
                <w:b/>
                <w:bCs/>
                <w:color w:val="19416C"/>
                <w:sz w:val="18"/>
                <w:szCs w:val="18"/>
              </w:rPr>
              <w:t xml:space="preserve">Limbic Opening  (Problem/Consequence)</w:t>
            </w:r>
          </w:p>
          <w:p>
            <w:pPr>
              <w:spacing w:after="0"/>
            </w:pPr>
            <w:r>
              <w:rPr>
                <w:rFonts w:ascii="Inter" w:cs="Inter" w:eastAsia="Inter" w:hAnsi="Inter"/>
                <w:i/>
                <w:iCs/>
                <w:color w:val="454659"/>
                <w:sz w:val="20"/>
                <w:szCs w:val="20"/>
              </w:rPr>
              <w:t xml:space="preserve">Everything we've shown so far requires a human to ask a question or look at a dashboard. But what if the data found you? What if an AI agent noticed that spoilage rates were climbing, correlated it with a fleet change, estimated the financial exposure, and alerted the right person — all before a single box of product spoiled? That's not future vision. That's what the Discovery Agent does today.</w:t>
            </w:r>
          </w:p>
        </w:tc>
      </w:tr>
    </w:tbl>
    <w:p>
      <w:pPr>
        <w:spacing w:after="80" w:before="80"/>
      </w:pPr>
      <w:r>
        <w:rPr>
          <w:rFonts w:ascii="Inter" w:cs="Inter" w:eastAsia="Inter" w:hAnsi="Inter"/>
          <w:b/>
          <w:bCs/>
          <w:color w:val="10CFC9"/>
          <w:sz w:val="20"/>
          <w:szCs w:val="20"/>
        </w:rPr>
        <w:t xml:space="preserve">Ask the audience: </w:t>
      </w:r>
      <w:r>
        <w:rPr>
          <w:rFonts w:ascii="Inter" w:cs="Inter" w:eastAsia="Inter" w:hAnsi="Inter"/>
          <w:i/>
          <w:iCs/>
          <w:color w:val="454659"/>
          <w:sz w:val="20"/>
          <w:szCs w:val="20"/>
        </w:rPr>
        <w:t xml:space="preserve">"What if your data could proactively find problems and tell you before anyone asks — how would that change your team's operating model?"</w:t>
      </w:r>
    </w:p>
    <w:p>
      <w:pPr>
        <w:pBdr>
          <w:bottom w:val="single" w:color="006580" w:sz="2" w:space="4"/>
        </w:pBdr>
        <w:spacing w:after="200" w:before="200"/>
      </w:pPr>
      <w:r>
        <w:rPr>
          <w:sz w:val="4"/>
          <w:szCs w:val="4"/>
        </w:rPr>
        <w:t xml:space="preserve"/>
      </w:r>
    </w:p>
    <w:p>
      <w:pPr>
        <w:spacing w:after="120" w:before="280"/>
      </w:pPr>
      <w:r>
        <w:rPr>
          <w:rFonts w:ascii="Inter" w:cs="Inter" w:eastAsia="Inter" w:hAnsi="Inter"/>
          <w:b/>
          <w:bCs/>
          <w:color w:val="006580"/>
          <w:sz w:val="26"/>
          <w:szCs w:val="26"/>
        </w:rPr>
        <w:t xml:space="preserve">Part A: Discovery Agent</w:t>
      </w:r>
    </w:p>
    <w:p>
      <w:pPr>
        <w:spacing w:after="100" w:before="200"/>
      </w:pPr>
      <w:r>
        <w:rPr>
          <w:rFonts w:ascii="Inter" w:cs="Inter" w:eastAsia="Inter" w:hAnsi="Inter"/>
          <w:b/>
          <w:bCs/>
          <w:color w:val="19416C"/>
          <w:sz w:val="22"/>
          <w:szCs w:val="22"/>
        </w:rPr>
        <w:t xml:space="preserve">Setup</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Enable Discovery Agent on Gold data products: Supply Chain Health, Last Mile Performance</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Configure alert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Threshold</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Value</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Purpose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Trust Score drop</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Below 0.70</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Data quality degradation</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Sync lag</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Exceeds 60 minutes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Pipeline failure detection</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Volume anomaly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Spike or drop &gt; 50%</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Source system issues</w:t>
            </w:r>
          </w:p>
        </w:tc>
      </w:tr>
    </w:tbl>
    <w:p>
      <w:pPr>
        <w:spacing w:after="100" w:before="200"/>
      </w:pPr>
      <w:r>
        <w:rPr>
          <w:rFonts w:ascii="Inter" w:cs="Inter" w:eastAsia="Inter" w:hAnsi="Inter"/>
          <w:b/>
          <w:bCs/>
          <w:color w:val="19416C"/>
          <w:sz w:val="22"/>
          <w:szCs w:val="22"/>
        </w:rPr>
        <w:t xml:space="preserve">Demo Scenario: TransFrio Spoilage Detection</w:t>
      </w:r>
    </w:p>
    <w:p>
      <w:pPr>
        <w:spacing w:after="120" w:before="80"/>
      </w:pPr>
      <w:r>
        <w:rPr>
          <w:rFonts w:ascii="Inter" w:cs="Inter" w:eastAsia="Inter" w:hAnsi="Inter"/>
          <w:b/>
          <w:bCs/>
          <w:color w:val="006580"/>
          <w:sz w:val="20"/>
          <w:szCs w:val="20"/>
        </w:rPr>
        <w:t xml:space="preserve">Project Qlarity context:  </w:t>
      </w:r>
      <w:r>
        <w:rPr>
          <w:rFonts w:ascii="Inter" w:cs="Inter" w:eastAsia="Inter" w:hAnsi="Inter"/>
          <w:i/>
          <w:iCs/>
          <w:color w:val="454659"/>
          <w:sz w:val="20"/>
          <w:szCs w:val="20"/>
        </w:rPr>
        <w:t xml:space="preserve">Project Qlarity Phase 3 Discovery Agent acting on the Phase 2 spoilage signal — proactively catching the TransFrio fleet change behind Nightmare #6 (Carrier Data Black Hole).</w:t>
      </w:r>
    </w:p>
    <w:p>
      <w:pPr>
        <w:spacing w:after="120"/>
        <w:jc w:val="left"/>
      </w:pPr>
      <w:r>
        <w:rPr>
          <w:rFonts w:ascii="Inter" w:cs="Inter" w:eastAsia="Inter" w:hAnsi="Inter"/>
          <w:b w:val="false"/>
          <w:bCs w:val="false"/>
          <w:i w:val="false"/>
          <w:iCs w:val="false"/>
          <w:color w:val="454659"/>
          <w:sz w:val="21"/>
          <w:szCs w:val="21"/>
        </w:rPr>
        <w:t xml:space="preserve">The Discovery Agent monitors silver.iot_normalized and detects an anomaly pattern:</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Temperature exceedance rate on GRU-BA route spiked from 2.1% to 8.8% over 3 weeks</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Agent correlates: fleet metadata shows 6 truck replacements in the same period</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Agent generates alert: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Temperature exceedance on GRU-BA route. Spoilage rate increased 4x since fleet change on July 7. 12 active shipments at risk. Estimated $180K exposure. Click to view Cold Chain Dashboard.</w:t>
            </w:r>
          </w:p>
        </w:tc>
      </w:tr>
    </w:tbl>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Agent links to: Qlik Analytics dashboard, carrier contract (CARRIER-TF-2024), incident report (INC-2025-05102)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Talking point: The Discovery Agent found a pattern that took human analysts 3 weeks to notice. It connected fleet metadata changes to temperature anomalies across multiple data products — something no single dashboard could show.</w:t>
            </w:r>
          </w:p>
        </w:tc>
      </w:tr>
    </w:tbl>
    <w:p>
      <w:pPr>
        <w:pBdr>
          <w:bottom w:val="single" w:color="006580" w:sz="2" w:space="4"/>
        </w:pBdr>
        <w:spacing w:after="200" w:before="200"/>
      </w:pPr>
      <w:r>
        <w:rPr>
          <w:sz w:val="4"/>
          <w:szCs w:val="4"/>
        </w:rPr>
        <w:t xml:space="preserve"/>
      </w:r>
    </w:p>
    <w:p>
      <w:pPr>
        <w:spacing w:after="120" w:before="280"/>
      </w:pPr>
      <w:r>
        <w:rPr>
          <w:rFonts w:ascii="Inter" w:cs="Inter" w:eastAsia="Inter" w:hAnsi="Inter"/>
          <w:b/>
          <w:bCs/>
          <w:color w:val="006580"/>
          <w:sz w:val="26"/>
          <w:szCs w:val="26"/>
        </w:rPr>
        <w:t xml:space="preserve">Part B: MCP Server</w:t>
      </w:r>
    </w:p>
    <w:p>
      <w:pPr>
        <w:spacing w:after="100" w:before="200"/>
      </w:pPr>
      <w:r>
        <w:rPr>
          <w:rFonts w:ascii="Inter" w:cs="Inter" w:eastAsia="Inter" w:hAnsi="Inter"/>
          <w:b/>
          <w:bCs/>
          <w:color w:val="19416C"/>
          <w:sz w:val="22"/>
          <w:szCs w:val="22"/>
        </w:rPr>
        <w:t xml:space="preserve">Setup</w:t>
      </w:r>
    </w:p>
    <w:p>
      <w:pPr>
        <w:spacing w:after="120"/>
        <w:jc w:val="left"/>
      </w:pPr>
      <w:r>
        <w:rPr>
          <w:rFonts w:ascii="Inter" w:cs="Inter" w:eastAsia="Inter" w:hAnsi="Inter"/>
          <w:b w:val="false"/>
          <w:bCs w:val="false"/>
          <w:i w:val="false"/>
          <w:iCs w:val="false"/>
          <w:color w:val="454659"/>
          <w:sz w:val="21"/>
          <w:szCs w:val="21"/>
        </w:rPr>
        <w:t xml:space="preserve">The Qlik MCP Server is cloud-hosted — no local installation required. It runs at your tenant URL and is accessed via the SSE (Server-Sent Events) transport. No npm package exists; the server is built into Qlik Cloud.</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Generate an API key: Qlik Cloud Profile &gt; API Keys &gt; Generate new key</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Add the Qlik MCP server to Claude Desktop config (claude_desktop_config.json):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Claude Desktop Config (claude_desktop_config.json)</w:t>
            </w:r>
          </w:p>
          <w:p>
            <w:pPr>
              <w:spacing w:after="0"/>
            </w:pPr>
            <w:r>
              <w:rPr>
                <w:rFonts w:ascii="Consolas" w:cs="Consolas" w:eastAsia="Consolas" w:hAnsi="Consolas"/>
                <w:color w:val="454659"/>
                <w:sz w:val="20"/>
                <w:szCs w:val="20"/>
              </w:rPr>
              <w:t xml:space="preserve">{
  "mcpServers": {
    "qlik": {
      "url": "https://your-tenant.us.qlikcloud.com/api/ai/mcp",
      "headers": {
        "Authorization": "Bearer YOUR_API_KEY_HERE"
      }
    }
  }
}</w:t>
            </w:r>
          </w:p>
        </w:tc>
      </w:tr>
    </w:tbl>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Restart Claude Desktop — the Qlik MCP server connects automatically over SSE</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Test: Ask Claude "Search my Qlik tenant for supply chain apps"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Key talking point: The Qlik MCP Server exposes 71 tools across 11 categories — App Discovery, Bookmarks, Business Glossary, Datasets &amp; Data Quality, Data Exploration, Data Products, Lineage, Master Items, Selections, Visualization &amp; Sheets. These are live Qlik Cloud capabilities, not simulated responses.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MCP Tool Category</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Key Tools</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MCG Demo Use Case</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App Discovery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qlik_search, qlik_describe_app, qlik_list_apps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Find supply chain and delivery apps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Data Products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qlik_list_data_products, qlik_get_data_product</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Browse the two Gold data products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Business Glossary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qlik_list_terms, qlik_get_term</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Look up 'phantom inventory', 'WISMO'</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Data Exploration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qlik_get_fields, qlik_evaluate_expression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Query gold.supply_chain_health</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Lineage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qlik_get_lineage</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Trace phantom inventory to source CDC pipeline</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Datasets &amp; Data Quality</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qlik_list_datasets, qlik_get_trust_score</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Check Trust Scores across all data products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Visualization &amp; Sheets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qlik_list_sheets, qlik_get_visualization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Navigate Supply Chain Operations app sheets</w:t>
            </w:r>
          </w:p>
        </w:tc>
      </w:tr>
    </w:tbl>
    <w:p>
      <w:pPr>
        <w:spacing w:after="100" w:before="200"/>
      </w:pPr>
      <w:r>
        <w:rPr>
          <w:rFonts w:ascii="Inter" w:cs="Inter" w:eastAsia="Inter" w:hAnsi="Inter"/>
          <w:b/>
          <w:bCs/>
          <w:color w:val="19416C"/>
          <w:sz w:val="22"/>
          <w:szCs w:val="22"/>
        </w:rPr>
        <w:t xml:space="preserve">MCP Demo Scenario 1: Rotterdam Inventory</w:t>
      </w:r>
    </w:p>
    <w:p>
      <w:pPr>
        <w:spacing w:after="120" w:before="80"/>
      </w:pPr>
      <w:r>
        <w:rPr>
          <w:rFonts w:ascii="Inter" w:cs="Inter" w:eastAsia="Inter" w:hAnsi="Inter"/>
          <w:b/>
          <w:bCs/>
          <w:color w:val="006580"/>
          <w:sz w:val="20"/>
          <w:szCs w:val="20"/>
        </w:rPr>
        <w:t xml:space="preserve">Project Qlarity context:  </w:t>
      </w:r>
      <w:r>
        <w:rPr>
          <w:rFonts w:ascii="Inter" w:cs="Inter" w:eastAsia="Inter" w:hAnsi="Inter"/>
          <w:i/>
          <w:iCs/>
          <w:color w:val="454659"/>
          <w:sz w:val="20"/>
          <w:szCs w:val="20"/>
        </w:rPr>
        <w:t xml:space="preserve">Project Qlarity Phase 3 MCP querying Phase 1 monitoring outputs — phantom inventory (Nightmare #1) from the Rotterdam silent pipeline failure (Nightmare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Ask Claude</w:t>
            </w:r>
          </w:p>
          <w:p>
            <w:pPr>
              <w:spacing w:after="0"/>
            </w:pPr>
            <w:r>
              <w:rPr>
                <w:rFonts w:ascii="Consolas" w:cs="Consolas" w:eastAsia="Consolas" w:hAnsi="Consolas"/>
                <w:color w:val="454659"/>
                <w:sz w:val="20"/>
                <w:szCs w:val="20"/>
              </w:rPr>
              <w:t xml:space="preserve">What is the current inventory accuracy rate at Rotterdam DC, and what is causing the issues?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Claude uses MCP to query gold.supply_chain_health filtered by dc = DC-RTD-01. Gets: IRA = 74%, phantom_units = 847, pipeline_status = RECOVERED. Then queries silver.order_delivery_timeline for affected orders. Finally pulls context from INC-2025-04872 (Rotterdam Pipeline Failure) via Qlik Answers.
Response: Rotterdam DC IRA is 74%, significantly below the 97% target. Root cause: silent pipeline failure INC-2025-04872 where WMS-to-SAP CDC sync stopped for 72 hours due to an expired TLS certificate. Created 847 phantom units across 143 SKUs, costing EUR 30,500. Pipeline recovered; Project Qlarity Phase 1 will extend monitoring to all 28 DCs.</w:t>
            </w:r>
          </w:p>
        </w:tc>
      </w:tr>
    </w:tbl>
    <w:p>
      <w:pPr>
        <w:spacing w:after="100" w:before="200"/>
      </w:pPr>
      <w:r>
        <w:rPr>
          <w:rFonts w:ascii="Inter" w:cs="Inter" w:eastAsia="Inter" w:hAnsi="Inter"/>
          <w:b/>
          <w:bCs/>
          <w:color w:val="19416C"/>
          <w:sz w:val="22"/>
          <w:szCs w:val="22"/>
        </w:rPr>
        <w:t xml:space="preserve">MCP Demo Scenario 2: Cold Chain Risk</w:t>
      </w:r>
    </w:p>
    <w:p>
      <w:pPr>
        <w:spacing w:after="120" w:before="80"/>
      </w:pPr>
      <w:r>
        <w:rPr>
          <w:rFonts w:ascii="Inter" w:cs="Inter" w:eastAsia="Inter" w:hAnsi="Inter"/>
          <w:b/>
          <w:bCs/>
          <w:color w:val="006580"/>
          <w:sz w:val="20"/>
          <w:szCs w:val="20"/>
        </w:rPr>
        <w:t xml:space="preserve">Project Qlarity context:  </w:t>
      </w:r>
      <w:r>
        <w:rPr>
          <w:rFonts w:ascii="Inter" w:cs="Inter" w:eastAsia="Inter" w:hAnsi="Inter"/>
          <w:i/>
          <w:iCs/>
          <w:color w:val="454659"/>
          <w:sz w:val="20"/>
          <w:szCs w:val="20"/>
        </w:rPr>
        <w:t xml:space="preserve">Project Qlarity Phase 3 MCP combining the Phase 2 spoilage prediction with live IoT data — the cold-chain carrier risk of Nightmare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Ask Claude</w:t>
            </w:r>
          </w:p>
          <w:p>
            <w:pPr>
              <w:spacing w:after="0"/>
            </w:pPr>
            <w:r>
              <w:rPr>
                <w:rFonts w:ascii="Consolas" w:cs="Consolas" w:eastAsia="Consolas" w:hAnsi="Consolas"/>
                <w:color w:val="454659"/>
                <w:sz w:val="20"/>
                <w:szCs w:val="20"/>
              </w:rPr>
              <w:t xml:space="preserve">What is the current spoilage risk for active TransFrio shipments on the Sao Paulo to Buenos Aires route?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Claude queries silver.iot_normalized for route=GRU-BA and carrier=TransFrio with active shipments. Returns: 4 active shipments, 2 with exceedance_minutes &gt; 30. Pulls INC-2025-05102 for context about the fleet change and TRN-2025-002 for the Thermo King X4 7500 startup procedure.</w:t>
            </w:r>
          </w:p>
        </w:tc>
      </w:tr>
    </w:tbl>
    <w:p>
      <w:pPr>
        <w:spacing w:after="100" w:before="200"/>
      </w:pPr>
      <w:r>
        <w:rPr>
          <w:rFonts w:ascii="Inter" w:cs="Inter" w:eastAsia="Inter" w:hAnsi="Inter"/>
          <w:b/>
          <w:bCs/>
          <w:color w:val="19416C"/>
          <w:sz w:val="22"/>
          <w:szCs w:val="22"/>
        </w:rPr>
        <w:t xml:space="preserve">MCP Demo Scenario 3: Carrier SLA Analysis</w:t>
      </w:r>
    </w:p>
    <w:p>
      <w:pPr>
        <w:spacing w:after="120" w:before="80"/>
      </w:pPr>
      <w:r>
        <w:rPr>
          <w:rFonts w:ascii="Inter" w:cs="Inter" w:eastAsia="Inter" w:hAnsi="Inter"/>
          <w:b/>
          <w:bCs/>
          <w:color w:val="006580"/>
          <w:sz w:val="20"/>
          <w:szCs w:val="20"/>
        </w:rPr>
        <w:t xml:space="preserve">Project Qlarity context:  </w:t>
      </w:r>
      <w:r>
        <w:rPr>
          <w:rFonts w:ascii="Inter" w:cs="Inter" w:eastAsia="Inter" w:hAnsi="Inter"/>
          <w:i/>
          <w:iCs/>
          <w:color w:val="454659"/>
          <w:sz w:val="20"/>
          <w:szCs w:val="20"/>
        </w:rPr>
        <w:t xml:space="preserve">Project Qlarity Phase 3 MCP across the canonicalized carrier data — resolving Nightmare #6 (Carrier Data Black Hole) into a single APAC SLA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Ask Claude</w:t>
            </w:r>
          </w:p>
          <w:p>
            <w:pPr>
              <w:spacing w:after="0"/>
            </w:pPr>
            <w:r>
              <w:rPr>
                <w:rFonts w:ascii="Consolas" w:cs="Consolas" w:eastAsia="Consolas" w:hAnsi="Consolas"/>
                <w:color w:val="454659"/>
                <w:sz w:val="20"/>
                <w:szCs w:val="20"/>
              </w:rPr>
              <w:t xml:space="preserve">Compare carrier on-time delivery performance across APAC. Which carrier is worst and why?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Claude queries gold.last_mile_performance filtered by destination_region=APAC. Returns: NinjaVan at 69% on-time (worst), vs FedEx 94%, DHL 91%. Pulls CARRIER-NV-2025 for context: AMD3 reclassification effective Oct 1 changed 5-10 kg parcels from 2-day to 3-day delivery. 14,000 customers/month affected.</w:t>
            </w:r>
          </w:p>
        </w:tc>
      </w:tr>
    </w:tbl>
    <w:p>
      <w:pPr>
        <w:spacing w:after="100" w:before="200"/>
      </w:pPr>
      <w:r>
        <w:rPr>
          <w:rFonts w:ascii="Inter" w:cs="Inter" w:eastAsia="Inter" w:hAnsi="Inter"/>
          <w:b/>
          <w:bCs/>
          <w:color w:val="19416C"/>
          <w:sz w:val="22"/>
          <w:szCs w:val="22"/>
        </w:rPr>
        <w:t xml:space="preserve">MCP Demo Scenario 4: Customer WISMO Impact</w:t>
      </w:r>
    </w:p>
    <w:p>
      <w:pPr>
        <w:spacing w:after="120" w:before="80"/>
      </w:pPr>
      <w:r>
        <w:rPr>
          <w:rFonts w:ascii="Inter" w:cs="Inter" w:eastAsia="Inter" w:hAnsi="Inter"/>
          <w:b/>
          <w:bCs/>
          <w:color w:val="006580"/>
          <w:sz w:val="20"/>
          <w:szCs w:val="20"/>
        </w:rPr>
        <w:t xml:space="preserve">Project Qlarity context:  </w:t>
      </w:r>
      <w:r>
        <w:rPr>
          <w:rFonts w:ascii="Inter" w:cs="Inter" w:eastAsia="Inter" w:hAnsi="Inter"/>
          <w:i/>
          <w:iCs/>
          <w:color w:val="454659"/>
          <w:sz w:val="20"/>
          <w:szCs w:val="20"/>
        </w:rPr>
        <w:t xml:space="preserve">Project Qlarity Phase 3: WISMO deflection — quantifying the carrier-visibility cost (Nightmare #6) the conversational layer is designed to reduce.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Ask Claude</w:t>
            </w:r>
          </w:p>
          <w:p>
            <w:pPr>
              <w:spacing w:after="0"/>
            </w:pPr>
            <w:r>
              <w:rPr>
                <w:rFonts w:ascii="Consolas" w:cs="Consolas" w:eastAsia="Consolas" w:hAnsi="Consolas"/>
                <w:color w:val="454659"/>
                <w:sz w:val="20"/>
                <w:szCs w:val="20"/>
              </w:rPr>
              <w:t xml:space="preserve">What is our WISMO rate and how much is it costing us?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Claude queries gold.last_mile_performance filtered by wismo_flag=TRUE. Returns: overall WISMO rate 41%, cost per inquiry $2.30. Singapore worst at 52% (up from 30% pre-October). Annual WISMO cost: ~$4.2M. Pulls SOP-CS-001 for the current handling procedure and suggests process improvements.</w:t>
            </w:r>
          </w:p>
        </w:tc>
      </w:tr>
    </w:tbl>
    <w:p>
      <w:pPr>
        <w:spacing w:after="100" w:before="200"/>
      </w:pPr>
      <w:r>
        <w:rPr>
          <w:rFonts w:ascii="Inter" w:cs="Inter" w:eastAsia="Inter" w:hAnsi="Inter"/>
          <w:b/>
          <w:bCs/>
          <w:color w:val="19416C"/>
          <w:sz w:val="22"/>
          <w:szCs w:val="22"/>
        </w:rPr>
        <w:t xml:space="preserve">MCP Demo Scenario 5: Compliance Audit</w:t>
      </w:r>
    </w:p>
    <w:p>
      <w:pPr>
        <w:spacing w:after="120" w:before="80"/>
      </w:pPr>
      <w:r>
        <w:rPr>
          <w:rFonts w:ascii="Inter" w:cs="Inter" w:eastAsia="Inter" w:hAnsi="Inter"/>
          <w:b/>
          <w:bCs/>
          <w:color w:val="006580"/>
          <w:sz w:val="20"/>
          <w:szCs w:val="20"/>
        </w:rPr>
        <w:t xml:space="preserve">Project Qlarity context:  </w:t>
      </w:r>
      <w:r>
        <w:rPr>
          <w:rFonts w:ascii="Inter" w:cs="Inter" w:eastAsia="Inter" w:hAnsi="Inter"/>
          <w:i/>
          <w:iCs/>
          <w:color w:val="454659"/>
          <w:sz w:val="20"/>
          <w:szCs w:val="20"/>
        </w:rPr>
        <w:t xml:space="preserve">Project Qlarity Phase 3 MCP closing Nightmare #7 (Compliance Traceability Gap) — instant NVWA audit readiness from the governed lot-capture and recall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6580" w:val="solid"/>
          </w:tcPr>
          <w:p>
            <w:pPr>
              <w:spacing w:after="0"/>
            </w:pPr>
            <w:r>
              <w:rPr>
                <w:sz w:val="10"/>
                <w:szCs w:val="10"/>
              </w:rPr>
              <w:t xml:space="preserve"> </w:t>
            </w:r>
          </w:p>
        </w:tc>
        <w:tc>
          <w:tcPr>
            <w:tcW w:type="pct" w:w="98%"/>
            <w:shd w:color="E0F2F5" w:val="solid"/>
            <w:tcMar>
              <w:top w:type="dxa" w:w="60"/>
              <w:left w:type="dxa" w:w="120"/>
              <w:bottom w:type="dxa" w:w="60"/>
              <w:right w:type="dxa" w:w="120"/>
            </w:tcMar>
          </w:tcPr>
          <w:p>
            <w:pPr>
              <w:spacing w:after="40"/>
            </w:pPr>
            <w:r>
              <w:rPr>
                <w:rFonts w:ascii="Inter" w:cs="Inter" w:eastAsia="Inter" w:hAnsi="Inter"/>
                <w:b/>
                <w:bCs/>
                <w:color w:val="006580"/>
                <w:sz w:val="18"/>
                <w:szCs w:val="18"/>
              </w:rPr>
              <w:t xml:space="preserve">Ask Claude</w:t>
            </w:r>
          </w:p>
          <w:p>
            <w:pPr>
              <w:spacing w:after="0"/>
            </w:pPr>
            <w:r>
              <w:rPr>
                <w:rFonts w:ascii="Consolas" w:cs="Consolas" w:eastAsia="Consolas" w:hAnsi="Consolas"/>
                <w:color w:val="454659"/>
                <w:sz w:val="20"/>
                <w:szCs w:val="20"/>
              </w:rPr>
              <w:t xml:space="preserve">How ready are we for the next NVWA food safety audit? What are our biggest gaps?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Claude queries silver.inventory_reconciled filtered by nvwa_applicable=TRUE. Returns: 85% lot capture rate (target 100%), 30% of lettuce records missing trace_complete. Pulls COMP-2025-NVWA for the 5 findings from the last audit and RCL-2025-003 for the recall timeline. Recommends prioritizing lot number capture for perishables.</w:t>
            </w:r>
          </w:p>
        </w:tc>
      </w:tr>
    </w:tbl>
    <w:p>
      <w:pPr>
        <w:pBdr>
          <w:bottom w:val="single" w:color="006580" w:sz="2" w:space="4"/>
        </w:pBdr>
        <w:spacing w:after="200" w:before="200"/>
      </w:pPr>
      <w:r>
        <w:rPr>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9845" w:sz="1"/>
              <w:left w:val="single" w:color="009845" w:sz="6"/>
              <w:bottom w:val="single" w:color="009845" w:sz="1"/>
              <w:right w:val="none"/>
            </w:tcBorders>
            <w:shd w:color="E0F5EA" w:val="solid"/>
            <w:tcMar>
              <w:top w:type="dxa" w:w="40"/>
              <w:left w:type="dxa" w:w="120"/>
              <w:bottom w:type="dxa" w:w="40"/>
              <w:right w:type="dxa" w:w="120"/>
            </w:tcMar>
          </w:tcPr>
          <w:p>
            <w:pPr>
              <w:spacing w:after="30"/>
            </w:pPr>
            <w:r>
              <w:rPr>
                <w:rFonts w:ascii="Inter" w:cs="Inter" w:eastAsia="Inter" w:hAnsi="Inter"/>
                <w:b/>
                <w:bCs/>
                <w:color w:val="009845"/>
                <w:sz w:val="16"/>
                <w:szCs w:val="16"/>
              </w:rPr>
              <w:t xml:space="preserve">TELL (after showing)</w:t>
            </w:r>
          </w:p>
          <w:p>
            <w:pPr>
              <w:spacing w:after="0"/>
            </w:pPr>
            <w:r>
              <w:rPr>
                <w:rFonts w:ascii="Inter" w:cs="Inter" w:eastAsia="Inter" w:hAnsi="Inter"/>
                <w:i/>
                <w:iCs/>
                <w:color w:val="454659"/>
                <w:sz w:val="18"/>
                <w:szCs w:val="18"/>
              </w:rPr>
              <w:t xml:space="preserve">Two AI capabilities that complete the picture: the Discovery Agent proactively monitors your data products and finds anomalies before anyone asks. The MCP Server lets AI agents like Claude query your real-time Qlik data and documents in a single conversation. Together, they shift your operating model from 'search for problems' to 'problems find you.'</w:t>
            </w:r>
          </w:p>
        </w:tc>
      </w:tr>
    </w:tbl>
    <w:p>
      <w:pPr>
        <w:spacing w:after="80" w:before="80"/>
      </w:pPr>
      <w:r>
        <w:rPr>
          <w:rFonts w:ascii="Inter" w:cs="Inter" w:eastAsia="Inter" w:hAnsi="Inter"/>
          <w:b/>
          <w:bCs/>
          <w:color w:val="10CFC9"/>
          <w:sz w:val="20"/>
          <w:szCs w:val="20"/>
        </w:rPr>
        <w:t xml:space="preserve">Ask the audience: </w:t>
      </w:r>
      <w:r>
        <w:rPr>
          <w:rFonts w:ascii="Inter" w:cs="Inter" w:eastAsia="Inter" w:hAnsi="Inter"/>
          <w:i/>
          <w:iCs/>
          <w:color w:val="454659"/>
          <w:sz w:val="20"/>
          <w:szCs w:val="20"/>
        </w:rPr>
        <w:t xml:space="preserve">"If an AI agent could monitor all of your data products 24/7 and alert you to anomalies — what would you stop doing manually?"</w:t>
      </w:r>
    </w:p>
    <w:p>
      <w:pPr>
        <w:spacing w:after="100" w:before="60"/>
      </w:pPr>
      <w:r>
        <w:rPr>
          <w:rFonts w:ascii="Inter" w:cs="Inter" w:eastAsia="Inter" w:hAnsi="Inter"/>
          <w:color w:val="454659"/>
          <w:sz w:val="20"/>
          <w:szCs w:val="20"/>
        </w:rPr>
        <w:t xml:space="preserve">Deploy AI agents that proactively monitor data quality and operational metrics</w:t>
      </w:r>
      <w:r>
        <w:rPr>
          <w:rFonts w:ascii="Inter" w:cs="Inter" w:eastAsia="Inter" w:hAnsi="Inter"/>
          <w:b/>
          <w:bCs/>
          <w:color w:val="009845"/>
          <w:sz w:val="20"/>
          <w:szCs w:val="20"/>
        </w:rPr>
        <w:t xml:space="preserve">  →  so you can  </w:t>
      </w:r>
      <w:r>
        <w:rPr>
          <w:rFonts w:ascii="Inter" w:cs="Inter" w:eastAsia="Inter" w:hAnsi="Inter"/>
          <w:color w:val="454659"/>
          <w:sz w:val="20"/>
          <w:szCs w:val="20"/>
        </w:rPr>
        <w:t xml:space="preserve">combine structured data with document intelligence in natural language conversations</w:t>
      </w:r>
      <w:r>
        <w:rPr>
          <w:rFonts w:ascii="Inter" w:cs="Inter" w:eastAsia="Inter" w:hAnsi="Inter"/>
          <w:b/>
          <w:bCs/>
          <w:color w:val="009845"/>
          <w:sz w:val="20"/>
          <w:szCs w:val="20"/>
        </w:rPr>
        <w:t xml:space="preserve">  →  so you can  </w:t>
      </w:r>
      <w:r>
        <w:rPr>
          <w:rFonts w:ascii="Inter" w:cs="Inter" w:eastAsia="Inter" w:hAnsi="Inter"/>
          <w:color w:val="454659"/>
          <w:sz w:val="20"/>
          <w:szCs w:val="20"/>
        </w:rPr>
        <w:t xml:space="preserve">shift from reactive analytics to proactive, AI-driven operational intelligence</w:t>
      </w:r>
    </w:p>
    <w:p>
      <w:pPr>
        <w:spacing w:after="120" w:before="280"/>
      </w:pPr>
      <w:r>
        <w:rPr>
          <w:rFonts w:ascii="Inter" w:cs="Inter" w:eastAsia="Inter" w:hAnsi="Inter"/>
          <w:b/>
          <w:bCs/>
          <w:color w:val="006580"/>
          <w:sz w:val="26"/>
          <w:szCs w:val="26"/>
        </w:rPr>
        <w:t xml:space="preserve">Talking Points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Discovery Agent is proactive AI — it finds anomalies you didn't know to look for</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MCP turns Claude into a data analyst that queries real-time Qlik data, not just general knowledge</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Claude combines structured data (Lakehouse queries) with document intelligence (Answers) in one response</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Every MCP response is traceable: which data products were queried, which documents were cited</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This is the vision: AI agents that understand your entire data landscape, not just one dashboard</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845" w:sz="4" w:space="4"/>
      </w:pBdr>
      <w:spacing w:before="0"/>
    </w:pPr>
    <w:r>
      <w:rPr>
        <w:sz w:val="4"/>
        <w:szCs w:val="4"/>
      </w:rPr>
      <w:t xml:space="preserve"/>
    </w:r>
  </w:p>
  <w:p>
    <w:pPr>
      <w:spacing w:after="0" w:before="0"/>
      <w:jc w:val="center"/>
    </w:pPr>
    <w:r>
      <w:rPr>
        <w:rFonts w:ascii="Inter" w:cs="Inter" w:eastAsia="Inter" w:hAnsi="Inter"/>
        <w:color w:val="454659"/>
        <w:sz w:val="14"/>
        <w:szCs w:val="14"/>
      </w:rPr>
      <w:t xml:space="preserve">Meridian Commerce Group  •  </w:t>
    </w:r>
    <w:r>
      <w:rPr>
        <w:rFonts w:ascii="Inter" w:cs="Inter" w:eastAsia="Inter" w:hAnsi="Inter"/>
        <w:color w:val="454659"/>
        <w:sz w:val="14"/>
        <w:szCs w:val="14"/>
      </w:rPr>
      <w:t xml:space="preserve">Weena 505, 3013 AL Rotterdam, Netherlands</w:t>
    </w:r>
  </w:p>
  <w:p>
    <w:pPr>
      <w:spacing w:after="0" w:before="0"/>
      <w:jc w:val="center"/>
    </w:pPr>
    <w:r>
      <w:rPr>
        <w:rFonts w:ascii="Inter" w:cs="Inter" w:eastAsia="Inter" w:hAnsi="Inter"/>
        <w:color w:val="454659"/>
        <w:sz w:val="14"/>
        <w:szCs w:val="14"/>
      </w:rPr>
      <w:t xml:space="preserve">+31 10 798 4000  •  www.meridiancommerce.com  •  info@meridiancommerce.com</w:t>
    </w:r>
  </w:p>
  <w:p>
    <w:pPr>
      <w:spacing w:after="0" w:before="40"/>
      <w:jc w:val="center"/>
    </w:pPr>
    <w:r>
      <w:rPr>
        <w:rFonts w:ascii="Inter" w:cs="Inter" w:eastAsia="Inter" w:hAnsi="Inter"/>
        <w:b/>
        <w:bCs/>
        <w:color w:val="009845"/>
        <w:sz w:val="13"/>
        <w:szCs w:val="13"/>
      </w:rPr>
      <w:t xml:space="preserve">CONFIDENTIAL — </w:t>
    </w:r>
    <w:r>
      <w:rPr>
        <w:rFonts w:ascii="Inter" w:cs="Inter" w:eastAsia="Inter" w:hAnsi="Inter"/>
        <w:color w:val="454659"/>
        <w:sz w:val="13"/>
        <w:szCs w:val="13"/>
      </w:rPr>
      <w:t xml:space="preserve">Page </w:t>
    </w:r>
    <w:r>
      <w:rPr>
        <w:rFonts w:ascii="Inter" w:cs="Inter" w:eastAsia="Inter" w:hAnsi="Inter"/>
        <w:color w:val="45465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76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33375"/>
                  </a:xfrm>
                  <a:prstGeom prst="rect">
                    <a:avLst/>
                  </a:prstGeom>
                </pic:spPr>
              </pic:pic>
            </a:graphicData>
          </a:graphic>
        </wp:inline>
      </w:drawing>
    </w:r>
    <w:r>
      <w:rPr>
        <w:rFonts w:ascii="Inter" w:cs="Inter" w:eastAsia="Inter" w:hAnsi="Inter"/>
        <w:sz w:val="20"/>
        <w:szCs w:val="20"/>
      </w:rPr>
      <w:t xml:space="preserve">   </w:t>
    </w:r>
    <w:r>
      <w:rPr>
        <w:rFonts w:ascii="Inter" w:cs="Inter" w:eastAsia="Inter" w:hAnsi="Inter"/>
        <w:b/>
        <w:bCs/>
        <w:color w:val="19416C"/>
        <w:sz w:val="26"/>
        <w:szCs w:val="26"/>
      </w:rPr>
      <w:t xml:space="preserve">MERIDIAN</w:t>
    </w:r>
    <w:r>
      <w:rPr>
        <w:rFonts w:ascii="Inter" w:cs="Inter" w:eastAsia="Inter" w:hAnsi="Inter"/>
        <w:b w:val="false"/>
        <w:bCs w:val="false"/>
        <w:color w:val="19416C"/>
        <w:sz w:val="26"/>
        <w:szCs w:val="26"/>
      </w:rPr>
      <w:t xml:space="preserve"> COMMERCE </w:t>
    </w:r>
    <w:r>
      <w:rPr>
        <w:rFonts w:ascii="Inter" w:cs="Inter" w:eastAsia="Inter" w:hAnsi="Inter"/>
        <w:b/>
        <w:bCs/>
        <w:color w:val="009845"/>
        <w:sz w:val="26"/>
        <w:szCs w:val="26"/>
      </w:rPr>
      <w:t xml:space="preserve">GROUP</w:t>
    </w:r>
  </w:p>
  <w:p>
    <w:pPr>
      <w:spacing w:after="0"/>
    </w:pPr>
    <w:r>
      <w:rPr>
        <w:rFonts w:ascii="Inter" w:cs="Inter" w:eastAsia="Inter" w:hAnsi="Inter"/>
        <w:i/>
        <w:iCs/>
        <w:color w:val="454659"/>
        <w:sz w:val="16"/>
        <w:szCs w:val="16"/>
      </w:rPr>
      <w:t xml:space="preserve">The neighborhood store with global reach</w:t>
    </w:r>
  </w:p>
  <w:p>
    <w:pPr>
      <w:pBdr>
        <w:bottom w:val="single" w:color="009845" w:sz="8" w:space="4"/>
      </w:pBdr>
      <w:spacing w:after="0"/>
    </w:pPr>
    <w:r>
      <w:rPr>
        <w:sz w:val="4"/>
        <w:szCs w:val="4"/>
      </w:rPr>
      <w:t xml:space="preserve"/>
    </w:r>
  </w:p>
  <w:p>
    <w:pPr>
      <w:spacing w:after="0" w:before="60"/>
      <w:jc w:val="right"/>
    </w:pPr>
    <w:r>
      <w:rPr>
        <w:rFonts w:ascii="Inter" w:cs="Inter" w:eastAsia="Inter" w:hAnsi="Inter"/>
        <w:b/>
        <w:bCs/>
        <w:caps/>
        <w:color w:val="009845"/>
        <w:sz w:val="18"/>
        <w:szCs w:val="18"/>
      </w:rPr>
      <w:t xml:space="preserve">Project Qlarity Demo Walkthrough — Module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cs="Inter" w:eastAsia="Inter" w:hAnsi="Inter"/>
        <w:color w:val="454659"/>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Inter" w:cs="Inter" w:eastAsia="Inter" w:hAnsi="Inter"/>
      <w:b/>
      <w:bCs/>
      <w:color w:val="19416C"/>
      <w:sz w:val="32"/>
      <w:szCs w:val="32"/>
    </w:rPr>
  </w:style>
  <w:style w:type="paragraph" w:styleId="Heading2">
    <w:name w:val="Heading 2"/>
    <w:basedOn w:val="Normal"/>
    <w:next w:val="Normal"/>
    <w:qFormat/>
    <w:pPr>
      <w:spacing w:after="160" w:before="300"/>
    </w:pPr>
    <w:rPr>
      <w:rFonts w:ascii="Inter" w:cs="Inter" w:eastAsia="Inter" w:hAnsi="Inter"/>
      <w:b/>
      <w:bCs/>
      <w:color w:val="006580"/>
      <w:sz w:val="26"/>
      <w:szCs w:val="26"/>
    </w:rPr>
  </w:style>
  <w:style w:type="paragraph" w:styleId="Heading3">
    <w:name w:val="Heading 3"/>
    <w:basedOn w:val="Normal"/>
    <w:next w:val="Normal"/>
    <w:qFormat/>
    <w:pPr>
      <w:spacing w:after="120" w:before="240"/>
    </w:pPr>
    <w:rPr>
      <w:rFonts w:ascii="Inter" w:cs="Inter" w:eastAsia="Inter" w:hAnsi="Inter"/>
      <w:b/>
      <w:bCs/>
      <w:color w:val="19416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ubhead"/>
    <w:qFormat/>
    <w:rsid w:val="00437EFB"/>
    <w:rPr>
      <w:rFonts w:ascii="Inter" w:eastAsiaTheme="minorEastAsia" w:hAnsi="Inter"/>
      <w:color w:val="009845" w:themeColor="accent1"/>
    </w:rPr>
  </w:style>
  <w:style w:type="paragraph" w:styleId="Heading2">
    <w:name w:val="heading 2"/>
    <w:basedOn w:val="BodyP"/>
    <w:next w:val="Normal"/>
    <w:link w:val="Heading2Char"/>
    <w:uiPriority w:val="9"/>
    <w:unhideWhenUsed/>
    <w:qFormat/>
    <w:rsid w:val="00CF335B"/>
    <w:pPr>
      <w:spacing w:before="360" w:after="100" w:afterAutospacing="1" w:line="240" w:lineRule="auto"/>
      <w:outlineLvl w:val="1"/>
    </w:pPr>
    <w:rPr>
      <w:b/>
      <w:bCs/>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5D2"/>
    <w:pPr>
      <w:tabs>
        <w:tab w:val="center" w:pos="4680"/>
        <w:tab w:val="right" w:pos="9360"/>
      </w:tabs>
    </w:pPr>
  </w:style>
  <w:style w:type="character" w:customStyle="1" w:styleId="HeaderChar">
    <w:name w:val="Header Char"/>
    <w:basedOn w:val="DefaultParagraphFont"/>
    <w:link w:val="Header"/>
    <w:uiPriority w:val="99"/>
    <w:rsid w:val="004135D2"/>
    <w:rPr>
      <w:rFonts w:eastAsiaTheme="minorEastAsia"/>
    </w:rPr>
  </w:style>
  <w:style w:type="paragraph" w:styleId="Footer">
    <w:name w:val="footer"/>
    <w:basedOn w:val="Normal"/>
    <w:link w:val="FooterChar"/>
    <w:uiPriority w:val="99"/>
    <w:unhideWhenUsed/>
    <w:rsid w:val="004135D2"/>
    <w:pPr>
      <w:tabs>
        <w:tab w:val="center" w:pos="4680"/>
        <w:tab w:val="right" w:pos="9360"/>
      </w:tabs>
    </w:pPr>
  </w:style>
  <w:style w:type="character" w:customStyle="1" w:styleId="FooterChar">
    <w:name w:val="Footer Char"/>
    <w:basedOn w:val="DefaultParagraphFont"/>
    <w:link w:val="Footer"/>
    <w:uiPriority w:val="99"/>
    <w:rsid w:val="004135D2"/>
    <w:rPr>
      <w:rFonts w:eastAsiaTheme="minorEastAsia"/>
    </w:rPr>
  </w:style>
  <w:style w:type="paragraph" w:customStyle="1" w:styleId="Sectiontype">
    <w:name w:val="Section type"/>
    <w:basedOn w:val="Normal"/>
    <w:qFormat/>
    <w:rsid w:val="00E52BED"/>
    <w:pPr>
      <w:tabs>
        <w:tab w:val="right" w:pos="10080"/>
      </w:tabs>
      <w:suppressAutoHyphens/>
      <w:autoSpaceDE w:val="0"/>
      <w:autoSpaceDN w:val="0"/>
      <w:adjustRightInd w:val="0"/>
      <w:spacing w:before="600" w:after="240" w:line="480" w:lineRule="auto"/>
      <w:textAlignment w:val="center"/>
    </w:pPr>
    <w:rPr>
      <w:rFonts w:ascii="Arial" w:eastAsiaTheme="minorHAnsi" w:hAnsi="Arial" w:cs="Source Sans Pro Light"/>
      <w:b/>
      <w:noProof/>
      <w:color w:val="FFFFFF" w:themeColor="background1"/>
      <w:spacing w:val="40"/>
      <w:kern w:val="0"/>
      <w:sz w:val="20"/>
      <w:szCs w:val="20"/>
      <w14:ligatures w14:val="none"/>
    </w:rPr>
  </w:style>
  <w:style w:type="paragraph" w:styleId="TOC1">
    <w:name w:val="toc 1"/>
    <w:basedOn w:val="Normal"/>
    <w:next w:val="Normal"/>
    <w:autoRedefine/>
    <w:uiPriority w:val="39"/>
    <w:unhideWhenUsed/>
    <w:rsid w:val="00B41EC6"/>
    <w:pPr>
      <w:tabs>
        <w:tab w:val="right" w:pos="10080"/>
      </w:tabs>
      <w:suppressAutoHyphens/>
      <w:autoSpaceDE w:val="0"/>
      <w:autoSpaceDN w:val="0"/>
      <w:adjustRightInd w:val="0"/>
      <w:spacing w:before="240" w:line="276" w:lineRule="auto"/>
      <w:textAlignment w:val="center"/>
    </w:pPr>
    <w:rPr>
      <w:rFonts w:eastAsiaTheme="minorHAnsi" w:cs="Source Sans Pro Light"/>
      <w:color w:val="54565A"/>
      <w:kern w:val="0"/>
      <w:sz w:val="28"/>
      <w:szCs w:val="36"/>
      <w:u w:val="single"/>
      <w14:ligatures w14:val="none"/>
    </w:rPr>
  </w:style>
  <w:style w:type="character" w:styleId="PageNumber">
    <w:name w:val="page number"/>
    <w:basedOn w:val="DefaultParagraphFont"/>
    <w:uiPriority w:val="99"/>
    <w:semiHidden/>
    <w:unhideWhenUsed/>
    <w:rsid w:val="00003DD4"/>
  </w:style>
  <w:style w:type="paragraph" w:customStyle="1" w:styleId="BodyP">
    <w:name w:val="Body P"/>
    <w:basedOn w:val="Normal"/>
    <w:qFormat/>
    <w:rsid w:val="00DF103C"/>
    <w:pPr>
      <w:suppressAutoHyphens/>
      <w:autoSpaceDE w:val="0"/>
      <w:autoSpaceDN w:val="0"/>
      <w:adjustRightInd w:val="0"/>
      <w:spacing w:before="200" w:after="240" w:line="360" w:lineRule="auto"/>
      <w:textAlignment w:val="center"/>
    </w:pPr>
    <w:rPr>
      <w:rFonts w:eastAsiaTheme="minorHAnsi" w:cs="Source Sans Pro"/>
      <w:color w:val="454659" w:themeColor="text1"/>
      <w:kern w:val="0"/>
      <w:sz w:val="21"/>
      <w:szCs w:val="21"/>
      <w14:ligatures w14:val="none"/>
    </w:rPr>
  </w:style>
  <w:style w:type="paragraph" w:customStyle="1" w:styleId="Bullets1">
    <w:name w:val="Bullets 1"/>
    <w:basedOn w:val="BodyP"/>
    <w:qFormat/>
    <w:rsid w:val="00DF103C"/>
    <w:pPr>
      <w:numPr>
        <w:numId w:val="1"/>
      </w:numPr>
      <w:spacing w:after="120"/>
    </w:pPr>
    <w:rPr>
      <w:szCs w:val="22"/>
    </w:rPr>
  </w:style>
  <w:style w:type="character" w:customStyle="1" w:styleId="normaltextrun">
    <w:name w:val="normaltextrun"/>
    <w:basedOn w:val="DefaultParagraphFont"/>
    <w:rsid w:val="00A72D33"/>
  </w:style>
  <w:style w:type="paragraph" w:customStyle="1" w:styleId="Intro">
    <w:name w:val="Intro"/>
    <w:basedOn w:val="Normal"/>
    <w:qFormat/>
    <w:rsid w:val="00DF103C"/>
    <w:pPr>
      <w:suppressAutoHyphens/>
      <w:autoSpaceDE w:val="0"/>
      <w:autoSpaceDN w:val="0"/>
      <w:adjustRightInd w:val="0"/>
      <w:spacing w:after="120" w:line="360" w:lineRule="auto"/>
      <w:textAlignment w:val="center"/>
    </w:pPr>
    <w:rPr>
      <w:rFonts w:eastAsiaTheme="minorHAnsi" w:cs="Times New Roman (Body CS)"/>
      <w:b/>
      <w:bCs/>
      <w:kern w:val="0"/>
      <w:sz w:val="36"/>
      <w:szCs w:val="36"/>
      <w14:ligatures w14:val="none"/>
    </w:rPr>
  </w:style>
  <w:style w:type="paragraph" w:styleId="ListParagraph">
    <w:name w:val="List Paragraph"/>
    <w:basedOn w:val="Normal"/>
    <w:uiPriority w:val="34"/>
    <w:qFormat/>
    <w:rsid w:val="00703498"/>
    <w:pPr>
      <w:ind w:left="720"/>
      <w:contextualSpacing/>
    </w:pPr>
  </w:style>
  <w:style w:type="table" w:styleId="TableGrid">
    <w:name w:val="Table Grid"/>
    <w:basedOn w:val="TableNormal"/>
    <w:uiPriority w:val="59"/>
    <w:rsid w:val="007E4CE3"/>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r">
    <w:name w:val="spacer"/>
    <w:basedOn w:val="Normal"/>
    <w:uiPriority w:val="99"/>
    <w:qFormat/>
    <w:rsid w:val="007E4CE3"/>
    <w:pPr>
      <w:tabs>
        <w:tab w:val="center" w:pos="4680"/>
        <w:tab w:val="right" w:pos="9360"/>
      </w:tabs>
    </w:pPr>
    <w:rPr>
      <w:rFonts w:eastAsiaTheme="minorHAnsi"/>
      <w:color w:val="454659" w:themeColor="text1"/>
      <w:kern w:val="0"/>
      <w:sz w:val="2"/>
      <w:szCs w:val="2"/>
      <w14:ligatures w14:val="none"/>
    </w:rPr>
  </w:style>
  <w:style w:type="paragraph" w:customStyle="1" w:styleId="SidebarBody">
    <w:name w:val="Sidebar Body"/>
    <w:basedOn w:val="Normal"/>
    <w:link w:val="SidebarBodyChar"/>
    <w:qFormat/>
    <w:rsid w:val="007E4CE3"/>
    <w:pPr>
      <w:framePr w:hSpace="180" w:wrap="around" w:vAnchor="text" w:hAnchor="text" w:x="6840" w:y="1"/>
      <w:spacing w:after="120" w:line="240" w:lineRule="atLeast"/>
      <w:ind w:left="288" w:right="58"/>
      <w:suppressOverlap/>
    </w:pPr>
    <w:rPr>
      <w:rFonts w:eastAsiaTheme="minorHAnsi"/>
      <w:color w:val="93579C" w:themeColor="accent6"/>
      <w:kern w:val="0"/>
      <w:sz w:val="18"/>
      <w:szCs w:val="20"/>
      <w14:ligatures w14:val="none"/>
    </w:rPr>
  </w:style>
  <w:style w:type="character" w:customStyle="1" w:styleId="SidebarBodyChar">
    <w:name w:val="Sidebar Body Char"/>
    <w:basedOn w:val="DefaultParagraphFont"/>
    <w:link w:val="SidebarBody"/>
    <w:rsid w:val="007E4CE3"/>
    <w:rPr>
      <w:color w:val="93579C" w:themeColor="accent6"/>
      <w:kern w:val="0"/>
      <w:sz w:val="18"/>
      <w:szCs w:val="20"/>
      <w14:ligatures w14:val="none"/>
    </w:rPr>
  </w:style>
  <w:style w:type="paragraph" w:customStyle="1" w:styleId="SidebarHeading1">
    <w:name w:val="Sidebar Heading 1"/>
    <w:basedOn w:val="SidebarBody"/>
    <w:next w:val="SidebarBody"/>
    <w:link w:val="SidebarHeading1Char"/>
    <w:qFormat/>
    <w:rsid w:val="007E4CE3"/>
    <w:pPr>
      <w:framePr w:wrap="around"/>
      <w:spacing w:before="120" w:after="240"/>
    </w:pPr>
    <w:rPr>
      <w:rFonts w:cstheme="minorHAnsi"/>
      <w:b/>
      <w:sz w:val="24"/>
      <w:szCs w:val="24"/>
    </w:rPr>
  </w:style>
  <w:style w:type="character" w:customStyle="1" w:styleId="SidebarHeading1Char">
    <w:name w:val="Sidebar Heading 1 Char"/>
    <w:basedOn w:val="DefaultParagraphFont"/>
    <w:link w:val="SidebarHeading1"/>
    <w:rsid w:val="007E4CE3"/>
    <w:rPr>
      <w:rFonts w:cstheme="minorHAnsi"/>
      <w:b/>
      <w:color w:val="93579C" w:themeColor="accent6"/>
      <w:kern w:val="0"/>
      <w14:ligatures w14:val="none"/>
    </w:rPr>
  </w:style>
  <w:style w:type="character" w:customStyle="1" w:styleId="Heading2Char">
    <w:name w:val="Heading 2 Char"/>
    <w:basedOn w:val="DefaultParagraphFont"/>
    <w:link w:val="Heading2"/>
    <w:uiPriority w:val="9"/>
    <w:rsid w:val="00CF335B"/>
    <w:rPr>
      <w:rFonts w:ascii="Arial" w:hAnsi="Arial" w:cs="Source Sans Pro"/>
      <w:b/>
      <w:bCs/>
      <w:color w:val="FFFFFF" w:themeColor="background1"/>
      <w:kern w:val="0"/>
      <w:sz w:val="22"/>
      <w:szCs w:val="22"/>
      <w14:ligatures w14:val="none"/>
    </w:rPr>
  </w:style>
  <w:style w:type="paragraph" w:customStyle="1" w:styleId="SidebarListBullet">
    <w:name w:val="Sidebar List Bullet"/>
    <w:basedOn w:val="Normal"/>
    <w:next w:val="Normal"/>
    <w:link w:val="SidebarListBulletChar"/>
    <w:qFormat/>
    <w:rsid w:val="000C317D"/>
    <w:pPr>
      <w:framePr w:hSpace="180" w:wrap="around" w:vAnchor="text" w:hAnchor="text" w:x="6840" w:y="1"/>
      <w:numPr>
        <w:numId w:val="3"/>
      </w:numPr>
      <w:spacing w:before="80" w:after="80" w:line="200" w:lineRule="atLeast"/>
      <w:ind w:left="540" w:hanging="180"/>
      <w:contextualSpacing/>
      <w:suppressOverlap/>
    </w:pPr>
    <w:rPr>
      <w:rFonts w:eastAsiaTheme="minorHAnsi"/>
      <w:bCs/>
      <w:color w:val="93579C" w:themeColor="accent6"/>
      <w:kern w:val="0"/>
      <w:sz w:val="18"/>
      <w:szCs w:val="20"/>
      <w14:ligatures w14:val="none"/>
    </w:rPr>
  </w:style>
  <w:style w:type="character" w:customStyle="1" w:styleId="SidebarListBulletChar">
    <w:name w:val="Sidebar List Bullet Char"/>
    <w:basedOn w:val="DefaultParagraphFont"/>
    <w:link w:val="SidebarListBullet"/>
    <w:rsid w:val="000C317D"/>
    <w:rPr>
      <w:bCs/>
      <w:color w:val="93579C" w:themeColor="accent6"/>
      <w:kern w:val="0"/>
      <w:sz w:val="18"/>
      <w:szCs w:val="20"/>
      <w14:ligatures w14:val="none"/>
    </w:rPr>
  </w:style>
  <w:style w:type="paragraph" w:customStyle="1" w:styleId="SidebarHeading2">
    <w:name w:val="Sidebar Heading 2"/>
    <w:basedOn w:val="SidebarHeading1"/>
    <w:qFormat/>
    <w:rsid w:val="000C317D"/>
    <w:pPr>
      <w:framePr w:wrap="around"/>
      <w:spacing w:before="180" w:after="120"/>
    </w:pPr>
    <w:rPr>
      <w:sz w:val="18"/>
      <w:szCs w:val="18"/>
    </w:rPr>
  </w:style>
  <w:style w:type="paragraph" w:customStyle="1" w:styleId="SidebarQuote">
    <w:name w:val="Sidebar Quote"/>
    <w:basedOn w:val="SidebarBody"/>
    <w:qFormat/>
    <w:rsid w:val="000C317D"/>
    <w:pPr>
      <w:framePr w:wrap="around"/>
      <w:spacing w:after="0" w:line="360" w:lineRule="auto"/>
      <w:ind w:hanging="14"/>
    </w:pPr>
    <w:rPr>
      <w:color w:val="10CFC9" w:themeColor="accent2"/>
      <w:sz w:val="24"/>
      <w:szCs w:val="24"/>
    </w:rPr>
  </w:style>
  <w:style w:type="paragraph" w:customStyle="1" w:styleId="BasicParagraph">
    <w:name w:val="[Basic Paragraph]"/>
    <w:basedOn w:val="Normal"/>
    <w:uiPriority w:val="99"/>
    <w:rsid w:val="0063694C"/>
    <w:pPr>
      <w:suppressAutoHyphens/>
      <w:autoSpaceDE w:val="0"/>
      <w:autoSpaceDN w:val="0"/>
      <w:adjustRightInd w:val="0"/>
      <w:spacing w:line="384" w:lineRule="atLeast"/>
      <w:textAlignment w:val="center"/>
    </w:pPr>
    <w:rPr>
      <w:rFonts w:ascii="Source Sans Pro" w:eastAsiaTheme="minorHAnsi" w:hAnsi="Source Sans Pro" w:cs="Source Sans Pro"/>
      <w:color w:val="0C2332"/>
      <w:kern w:val="0"/>
      <w:sz w:val="22"/>
      <w:lang w:bidi="gu-IN"/>
      <w14:ligatures w14:val="none"/>
    </w:rPr>
  </w:style>
  <w:style w:type="paragraph" w:styleId="BodyText">
    <w:name w:val="Body Text"/>
    <w:basedOn w:val="Normal"/>
    <w:link w:val="BodyTextChar"/>
    <w:uiPriority w:val="1"/>
    <w:qFormat/>
    <w:rsid w:val="0063694C"/>
    <w:pPr>
      <w:widowControl w:val="0"/>
      <w:autoSpaceDE w:val="0"/>
      <w:autoSpaceDN w:val="0"/>
    </w:pPr>
    <w:rPr>
      <w:rFonts w:eastAsia="Inter" w:cs="Inter"/>
      <w:color w:val="auto"/>
      <w:kern w:val="0"/>
      <w:sz w:val="20"/>
      <w:szCs w:val="20"/>
      <w14:ligatures w14:val="none"/>
    </w:rPr>
  </w:style>
  <w:style w:type="character" w:customStyle="1" w:styleId="BodyTextChar">
    <w:name w:val="Body Text Char"/>
    <w:basedOn w:val="DefaultParagraphFont"/>
    <w:link w:val="BodyText"/>
    <w:uiPriority w:val="1"/>
    <w:rsid w:val="0063694C"/>
    <w:rPr>
      <w:rFonts w:ascii="Inter" w:eastAsia="Inter" w:hAnsi="Inter" w:cs="Inter"/>
      <w:kern w:val="0"/>
      <w:sz w:val="20"/>
      <w:szCs w:val="20"/>
      <w14:ligatures w14:val="none"/>
    </w:rPr>
  </w:style>
  <w:style w:type="character" w:customStyle="1" w:styleId="CopySmall">
    <w:name w:val="Copy Small"/>
    <w:basedOn w:val="DefaultParagraphFont"/>
    <w:uiPriority w:val="99"/>
    <w:rsid w:val="0063694C"/>
    <w:rPr>
      <w:rFonts w:ascii="Inter" w:hAnsi="Inter" w:cs="Inter"/>
      <w:outline/>
      <w:spacing w:val="-2"/>
      <w:sz w:val="18"/>
      <w:szCs w:val="18"/>
    </w:rPr>
  </w:style>
  <w:style w:type="character" w:customStyle="1" w:styleId="Footnotes">
    <w:name w:val="Footnotes"/>
    <w:basedOn w:val="DefaultParagraphFont"/>
    <w:uiPriority w:val="99"/>
    <w:rsid w:val="0063694C"/>
    <w:rPr>
      <w:rFonts w:ascii="Inter" w:hAnsi="Inter" w:cs="Inter"/>
      <w:outline/>
      <w:spacing w:val="0"/>
      <w:sz w:val="10"/>
      <w:szCs w:val="10"/>
    </w:rPr>
  </w:style>
  <w:style w:type="character" w:styleId="Hyperlink">
    <w:name w:val="Hyperlink"/>
    <w:basedOn w:val="DefaultParagraphFont"/>
    <w:uiPriority w:val="99"/>
    <w:unhideWhenUsed/>
    <w:rsid w:val="001D12C4"/>
    <w:rPr>
      <w:color w:val="009845" w:themeColor="hyperlink"/>
      <w:u w:val="single"/>
    </w:rPr>
  </w:style>
  <w:style w:type="character" w:styleId="UnresolvedMention">
    <w:name w:val="Unresolved Mention"/>
    <w:basedOn w:val="DefaultParagraphFont"/>
    <w:uiPriority w:val="99"/>
    <w:semiHidden/>
    <w:unhideWhenUsed/>
    <w:rsid w:val="001D12C4"/>
    <w:rPr>
      <w:color w:val="605E5C"/>
      <w:shd w:val="clear" w:color="auto" w:fill="E1DFDD"/>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df9435ca988fd40276d8768db82a6e2917dd79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2026-06-18T14:35:43.554Z</dcterms:created>
  <dcterms:modified xsi:type="dcterms:W3CDTF">2026-06-18T14:35:43.554Z</dcterms:modified>
</cp:coreProperties>
</file>

<file path=docProps/custom.xml><?xml version="1.0" encoding="utf-8"?>
<Properties xmlns="http://schemas.openxmlformats.org/officeDocument/2006/custom-properties" xmlns:vt="http://schemas.openxmlformats.org/officeDocument/2006/docPropsVTypes"/>
</file>