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MCG-POL-012: Cold Chain Management Policy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Policy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MCG-POL-012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2.3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April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Thomas Brennan, VP Supply Chain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Approved By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Marcus Chen, CIO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References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SOP-SC-002, MCG-POL-007, INC-2025-05102, TRN-2025-002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policy mandates the requirements for maintaining cold chain integrity across MCG's perishable product supply chain, from supplier origin through warehouse storage and last-mile delivery to the customer. Cold chain failures cost MCG over $48M annually in spoilage losses, with the Q3 2025 LATAM corridor alone contributing $2.48M in a single quarter.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Temperature Standards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Storage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Transport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Max Exceedance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Sensor Required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 (leafy, berries)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1-5°C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1-5°C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 min &gt; 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Root vegetables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4-10°C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4-10°C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Dairy (milk, cheese, yogurt)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2-6°C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2-6°C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min &gt; 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-25 to -18°C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-22 to -18°C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ZERO tolerance &gt; -15°C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ZERO tolerance outside range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Sensitech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Chilled beverages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3-7°C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3-7°C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Eggs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Regional (EU only)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IoT Monitoring Coverage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Coverage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 (FY2026)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Provider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Interval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Known Issues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None significant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Americas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+ Sensitech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Fahrenheit data contamination Jul-Sep 2025 (47K readings)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APAC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Higher intervals due to data costs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LATAM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Border crossing connectivity gaps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Africa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Lagos DC: 6-hour daily connectivity blackout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Known Data Quality Issues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AMERICAS FAHRENHEIT CONTAMINATION: Between July and September 2025, Tive sensors in Americas were configured to report in Fahrenheit without a unit indicator. A reading of '41' could mean 41°F (5°C, fine) or 41°C (catastrophic). Approximately 47,000 readings affected. Data remediation in progress. All sensors reconfigured to Celsius as of October 2025.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LAGOS DC CONNECTIVITY: Daily 6-hour internet blackout (typically 11:00-17:00 WAT). Sensors buffer locally and upload when connectivity resumes. Temperature exceedances may go undetected for up to 6 hours. Manual checks every 30 minutes required during blackout. Satellite backup (Starlink) budgeted for Q2 2026.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Carrier Requirements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carriers transporting MCG temperature-sensitive products must: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Pre-cool transport units to 0°C BEFORE loading (tightened from 2°C after TransFrio incident). Reefer must show target temp for 15 minutes before doors open.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Maintain continuous temperature logging throughout transport.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Share real-time telemetry with MCG (API preferred; SFTP daily file minimum).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NOT turn off refrigeration during rest stops, refueling, or border waits. Carriers on routes with extended border crossings must have auxiliary power units (APUs).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Report any temperature exceedance to MCG within 1 hour of detection.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1"/>
          <w:szCs w:val="21"/>
        </w:rPr>
        <w:t xml:space="preserve">Reference: INC-2025-05102 (TransFrio LATAM spoilage) — $2.48M losses from carrier refrigeration gap and border crossing delays.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Product Disposition Decision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Exceedance Duration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15 min, minor (within +2°C)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Accept with monitoring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produce, 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 for assessment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(no thaw detected)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Accept with documentation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produce, 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do not accept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thaw above -15°C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immediate disposal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exceedance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return to supplier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 + Compliance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2022-06-01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2024-09-01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IoT coverage targets; pharmaceutical requirements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2025-04-01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Post-TransFrio: tightened pre-cooling to 0°C; APU requirement; Lagos blackout documentation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CORPORATE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2026-06-18T14:35:39.298Z</dcterms:created>
  <dcterms:modified xsi:type="dcterms:W3CDTF">2026-06-18T14:35:39.298Z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