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Project Qlarity: Business Case for Qlik Platform Implementation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Document ID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PROJ-CLARITY-2025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2.0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15 October 2025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Author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Priya Ramanathan, Chief Data Officer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Sponsor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Ingrid van der Berg, CEO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Pending CIO Approval — Review: 31 October 2025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Investment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$12.4M over 24 months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Expected Benefit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$52.7M–$87.9M annually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1. Executive Summary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Meridian Commerce Group's data quality crisis costs an estimated $127M annually across seven identified problem areas. Project Qlarity proposes a $12.4M investment in the Qlik data platform to create a unified, governed, trusted data foundation. Conservative projections show $52.7M in annual benefits, yielding a 952% 3-year ROI.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2. The Problem: Seven Data Quality Nightmares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Nightmare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Annual Cost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Key Metric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Phantom Inventory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$48.0M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IRA: 74% (target 97%)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Address Data Catastrophe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$3.1M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4.7% first-delivery rejection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Product Master Mess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$8.2M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8,200 SKUs missing weight data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4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Silent Pipeline Failures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$12.0M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4.3-day avg detection time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5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Timestamp Tower of Babel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$6.5M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14 timezones, no standards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6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Carrier Data Black Hole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$14.8M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42% missing tracking numbers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7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Compliance Traceability Gap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$4.2M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11-day recall trace (24h target)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Total Annual Impact: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$127.0M (conservative estimate, based on directly attributable costs)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3. Proposed Solution: Qlik Platform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Component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Purpose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Qlik Talend Cloud — Data Integration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CDC pipelines from SAP, WMS, Salesforce, IoT; replaces fragile batch jobs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Qlik Talend Cloud — Data Quality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Automated profiling, address standardization, supplier deduplication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Qlik Talend Cloud — Data Stewardship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Workflow for resolving data quality issues with SLA tracking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Qlik Open Lakehouse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Unified Bronze/Silver/Gold data architecture on Apache Iceberg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Qlik Analytics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Interactive dashboards for supply chain, inventory, cold chain monitoring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Qlik AutoML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Predictive models for demand forecasting, spoilage risk, delivery SLA prediction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Qlik Answers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Conversational AI over unstructured documents (SOPs, policies, contracts)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Qlik Discovery Agent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AI agent for automated data exploration and root cause analysis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4. Implementation Phases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0D7C8F"/>
          <w:sz w:val="26"/>
          <w:szCs w:val="26"/>
        </w:rPr>
        <w:t xml:space="preserve">4.1 Phase 1: Foundation (Months 1-8)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Budget: $5.2M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CDC pipelines from SAP, Oracle WMS, Manhattan WMS, Salesforce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Open Lakehouse Bronze and Silver tiers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4 priority transformation routes: Timestamp Normalizer, Inventory Reconciliation, Carrier Status Normalizer, IoT Telemetry Pipeline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Pipeline health monitoring and alerting (addresses Nightmare #4)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Inventory accuracy and cold chain dashboards in Qlik Analytics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0D7C8F"/>
          <w:sz w:val="26"/>
          <w:szCs w:val="26"/>
        </w:rPr>
        <w:t xml:space="preserve">4.2 Phase 2: Analytics &amp; Quality (Months 6-16)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Budget: $4.8M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Remaining 4 transformation routes: Address Standardization, Product Master Harmonizer, Supplier Identity Resolution, Order Enrichment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Enterprise data quality monitoring with Trust Score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Data stewardship workflows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AutoML models for demand and spoilage prediction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Gold tier data products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0D7C8F"/>
          <w:sz w:val="26"/>
          <w:szCs w:val="26"/>
        </w:rPr>
        <w:t xml:space="preserve">4.3 Phase 3: AI &amp; Conversational (Months 14-24)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Budget: $2.4M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Qlik Answers knowledge base with all SOPs, policies, and operational documents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Discovery Agent for automated root cause analysis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MCP Server for AI agent integration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Conversational analytics for store managers and customer service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5. Financial Model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Benefit Category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Conservative (60%)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Expected (80%)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Optimistic (100%)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Phantom inventory reduction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$28.8M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$38.4M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$48.0M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Carrier cost optimization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$8.9M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$11.8M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$14.8M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Pipeline failure prevention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$7.2M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$9.6M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$12.0M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Address quality improvement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$1.9M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$2.5M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$3.1M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Product master clean-up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$4.9M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$6.6M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$8.2M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Compliance risk reduction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$1.0M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$2.0M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$4.2M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Total Annual Benefit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$52.7M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$70.9M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$87.9M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3-Year ROI (Conservative):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952%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Payback Period: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&lt; 4 months from Phase 1 completion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6. Risk Factors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Risk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Probability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Impact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Mitigation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CDC performance impact on production ERP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Low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High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Agentless CDC; proven on SAP S/4HANA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User adoption of new dashboards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Medium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Medium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Phased rollout with training program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Data quality improvement slower than projected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Medium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Medium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Conservative 60% realization in financial model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Scope creep from 47 source systems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High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Medium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Phase 1 limited to 4 critical sources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7. Approval Requested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Approval is requested for $12.4M total investment over 24 months, with Phase 1 funding of $5.2M to begin Q1 2026.</w:t>
      </w:r>
    </w:p>
    <w:p>
      <w:pPr>
        <w:spacing w:after="0" w:before="400"/>
      </w:pPr>
    </w:p>
    <w:p>
      <w:pPr>
        <w:pBdr>
          <w:bottom w:val="single" w:color="6B7280" w:sz="1" w:space="1"/>
        </w:pBdr>
        <w:spacing w:after="0"/>
      </w:pPr>
      <w:r>
        <w:rPr>
          <w:sz w:val="20"/>
          <w:szCs w:val="20"/>
        </w:rPr>
        <w:t xml:space="preserve">                                                          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Priya Ramanathan</w:t>
      </w:r>
    </w:p>
    <w:p>
      <w:pPr>
        <w:spacing w:after="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Chief Data Officer</w:t>
      </w:r>
    </w:p>
    <w:p>
      <w:pPr>
        <w:spacing w:after="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Project Sponsor</w:t>
      </w:r>
    </w:p>
    <w:p>
      <w:pPr>
        <w:spacing w:after="0" w:before="400"/>
      </w:pPr>
    </w:p>
    <w:p>
      <w:pPr>
        <w:pBdr>
          <w:bottom w:val="single" w:color="6B7280" w:sz="1" w:space="1"/>
        </w:pBdr>
        <w:spacing w:after="0"/>
      </w:pPr>
      <w:r>
        <w:rPr>
          <w:sz w:val="20"/>
          <w:szCs w:val="20"/>
        </w:rPr>
        <w:t xml:space="preserve">                                                          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Ingrid van der Berg</w:t>
      </w:r>
    </w:p>
    <w:p>
      <w:pPr>
        <w:spacing w:after="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Chief Executive Officer</w:t>
      </w:r>
    </w:p>
    <w:p>
      <w:pPr>
        <w:spacing w:after="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Executive Sponsor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D7C8F" w:sz="3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Meridian Commerce Group  •  </w:t>
    </w:r>
    <w:r>
      <w:rPr>
        <w:rFonts w:ascii="Calibri" w:cs="Calibri" w:eastAsia="Calibri" w:hAnsi="Calibri"/>
        <w:color w:val="6B7280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Calibri" w:cs="Calibri" w:eastAsia="Calibri" w:hAnsi="Calibri"/>
        <w:b/>
        <w:bCs/>
        <w:color w:val="C4922E"/>
        <w:sz w:val="13"/>
        <w:szCs w:val="13"/>
      </w:rPr>
      <w:t xml:space="preserve">CONFIDENTIAL — </w:t>
    </w:r>
    <w:r>
      <w:rPr>
        <w:rFonts w:ascii="Calibri" w:cs="Calibri" w:eastAsia="Calibri" w:hAnsi="Calibri"/>
        <w:color w:val="6B7280"/>
        <w:sz w:val="13"/>
        <w:szCs w:val="13"/>
      </w:rPr>
      <w:t xml:space="preserve">Page </w:t>
    </w:r>
    <w:r>
      <w:rPr>
        <w:rFonts w:ascii="Calibri" w:cs="Calibri" w:eastAsia="Calibri" w:hAnsi="Calibri"/>
        <w:color w:val="6B7280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rPr>
        <w:rFonts w:ascii="Calibri" w:cs="Calibri" w:eastAsia="Calibri" w:hAnsi="Calibri"/>
        <w:b/>
        <w:bCs/>
        <w:color w:val="1B2A4A"/>
        <w:sz w:val="28"/>
        <w:szCs w:val="28"/>
      </w:rPr>
      <w:t xml:space="preserve">MERIDIAN</w:t>
    </w:r>
    <w:r>
      <w:rPr>
        <w:rFonts w:ascii="Calibri" w:cs="Calibri" w:eastAsia="Calibri" w:hAnsi="Calibri"/>
        <w:b w:val="false"/>
        <w:bCs w:val="false"/>
        <w:color w:val="1B2A4A"/>
        <w:sz w:val="28"/>
        <w:szCs w:val="28"/>
      </w:rPr>
      <w:t xml:space="preserve"> COMMERCE </w:t>
    </w:r>
    <w:r>
      <w:rPr>
        <w:rFonts w:ascii="Calibri" w:cs="Calibri" w:eastAsia="Calibri" w:hAnsi="Calibri"/>
        <w:b/>
        <w:bCs/>
        <w:color w:val="0D7C8F"/>
        <w:sz w:val="28"/>
        <w:szCs w:val="28"/>
      </w:rPr>
      <w:t xml:space="preserve">GROUP</w:t>
    </w:r>
  </w:p>
  <w:p>
    <w:pPr>
      <w:spacing w:after="0"/>
    </w:pPr>
    <w:r>
      <w:rPr>
        <w:rFonts w:ascii="Calibri" w:cs="Calibri" w:eastAsia="Calibri" w:hAnsi="Calibri"/>
        <w:i/>
        <w:iCs/>
        <w:color w:val="6B7280"/>
        <w:sz w:val="16"/>
        <w:szCs w:val="16"/>
      </w:rPr>
      <w:t xml:space="preserve">The neighborhood store with global reach</w:t>
    </w:r>
  </w:p>
  <w:p>
    <w:pPr>
      <w:pBdr>
        <w:bottom w:val="single" w:color="0D7C8F" w:sz="6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Calibri" w:cs="Calibri" w:eastAsia="Calibri" w:hAnsi="Calibri"/>
        <w:b/>
        <w:bCs/>
        <w:caps/>
        <w:color w:val="C4922E"/>
        <w:sz w:val="18"/>
        <w:szCs w:val="18"/>
      </w:rPr>
      <w:t xml:space="preserve">PROJECT BUSINESS CASE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Calibri" w:cs="Calibri" w:eastAsia="Calibri" w:hAnsi="Calibri"/>
      <w:b/>
      <w:bCs/>
      <w:color w:val="1B2A4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Calibri" w:cs="Calibri" w:eastAsia="Calibri" w:hAnsi="Calibri"/>
      <w:b/>
      <w:bCs/>
      <w:color w:val="0D7C8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1B2A4A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2026-06-18T14:35:41.792Z</dcterms:created>
  <dcterms:modified xsi:type="dcterms:W3CDTF">2026-06-18T14:35:41.792Z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