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Quarterly Supplier Performance Review: Fresh Direct NL B.V.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SUPP-2025-FreshDirect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 Period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Q3 2025 (July — September)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Fresh Direct NL B.V.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Supplier Code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SUPP-NL-0089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Fresh Produce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MCG Reviewer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Anna Bakker, Category Manager Fresh Produce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Supplier Contact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Jan de Groot, Sales Director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 — Needs Improvement ⚠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Previous Rating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 — Acceptable (Q2 2025)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Q1 2025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Q2 2025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Q3 2025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Trend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On-time delivery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98%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97%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96%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91%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↓ Declining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Quality acceptance rate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99%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98.1%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97.6%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95.2%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↓ Declining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Quality rejection rate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&lt; 1%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1.9%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2.4%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4.8%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↑ Worsening ⚠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Lot number compliance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100%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97%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95%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91%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↓ Declining ⚠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Temperature compliance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100%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99.5%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99%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97%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↓ Declining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Order fill rate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99%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99%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98%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94%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↓ Declining ⚠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1B2A4A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2F4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Overall rating downgraded from B (Acceptable) to C (Needs Improvement). Three consecutive quarters of declining performance across all 6 metrics. If Q4 does not show improvement, rating will fall to D (Unacceptable) triggering automatic contract review.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Critical Issues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D7C8F"/>
          <w:sz w:val="26"/>
          <w:szCs w:val="26"/>
        </w:rPr>
        <w:t xml:space="preserve">2.1 Lettuce Recall Connection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Fresh Direct NL was the primary supplier for the organic butter lettuce involved in recall RCL-2025-003 (Listeria monocytogenes contamination, 14 June 2025). Investigation revealed that Fresh Direct was sourcing from an undisclosed backup farm (FARM-NL-0042) near Breda that was not in MCG's approved supplier register.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Impact of the recall: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12,400 units recalled across 210 stores in NL, DE, BE, FR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€85,125 total financial impact to MCG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11-day traceability effort (65 person-hours)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NVWA citation NVWA-2025-CIT-04412 specifically referenced this supplier gap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1B2A4A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2F4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Sub-tier visibility gap: MCG's supplier management system does not require disclosure of sub-tier suppliers for fresh produce. This meant the contaminated farm was unknown to MCG until the recall investigation. Fresh Direct has since disclosed 3 additional backup farms.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D7C8F"/>
          <w:sz w:val="26"/>
          <w:szCs w:val="26"/>
        </w:rPr>
        <w:t xml:space="preserve">2.2 Lot Number Non-Compliance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91% lot number compliance means 9% of Fresh Direct deliveries arrive without proper lot identification. For food products subject to EU Regulation (EC) No 178/2002 traceability requirements, this represents a direct compliance risk. NVWA Finding F1 specifically cited inconsistent lot capture at goods receipt.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Root cause analysis indicates Fresh Direct uses manual handwritten lot labels on approximately 15% of deliveries (smaller farms). These labels are often illegible, smudged, or absent. MCG receiving clerks cannot scan these and must enter lot numbers manually — or skip them when under time pressure.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Corrective Action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Deadline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Disclose all sub-tier supplier farms with addresses and certifications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30 Sep 2025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Overdue ⚠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Procurement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Achieve 100% lot number compliance (machine-readable barcodes on all deliveries)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01 Nov 2025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 progress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Warehouse Ops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Implement pre-shipment temperature logging with Tive IoT sensor or equivalent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01 Dec 2025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Not started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Quality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Submit root cause analysis for Q3 quality rejection rate increase (4.8%)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15 Oct 2025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 progress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Quality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Provide monthly sub-tier sourcing report showing farm-to-lot mapping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Ongoing from Nov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Not started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Procurement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Contract Status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Fresh Direct NL Master Supply Agreement (MSA-2024-FD-NL-001) renewal is CONDITIONAL on meeting all corrective action deadlines. If sub-tier disclosure and lot number compliance targets are not met by 01 December 2025, MCG reserves the right to terminate per Section 14.2 of the MSA.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Annual spend with Fresh Direct NL: €4.2M (FY2024). Alternative suppliers identified: GreenHarvest B.V. and BioFresh Holland B.V. Transition plan drafted but not activated.</w:t>
      </w:r>
    </w:p>
    <w:p>
      <w:pPr>
        <w:spacing w:after="0" w:before="400"/>
      </w:pPr>
    </w:p>
    <w:p>
      <w:pPr>
        <w:pBdr>
          <w:bottom w:val="single" w:color="6B7280" w:sz="1" w:space="1"/>
        </w:pBdr>
        <w:spacing w:after="0"/>
      </w:pPr>
      <w:r>
        <w:rPr>
          <w:sz w:val="20"/>
          <w:szCs w:val="20"/>
        </w:rPr>
        <w:t xml:space="preserve">                                                          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Anna Bakker</w:t>
      </w:r>
    </w:p>
    <w:p>
      <w:pPr>
        <w:spacing w:after="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Category Manager, Fresh Produce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Procurement Division</w:t>
      </w:r>
    </w:p>
    <w:p>
      <w:pPr>
        <w:spacing w:after="0" w:before="400"/>
      </w:pPr>
    </w:p>
    <w:p>
      <w:pPr>
        <w:pBdr>
          <w:bottom w:val="single" w:color="6B7280" w:sz="1" w:space="1"/>
        </w:pBdr>
        <w:spacing w:after="0"/>
      </w:pPr>
      <w:r>
        <w:rPr>
          <w:sz w:val="20"/>
          <w:szCs w:val="20"/>
        </w:rPr>
        <w:t xml:space="preserve">                                                          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Thomas Brennan</w:t>
      </w:r>
    </w:p>
    <w:p>
      <w:pPr>
        <w:spacing w:after="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VP Supply Chain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Global Supply Chain Division</w:t>
      </w:r>
    </w:p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C8F" w:sz="3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Meridian Commerce Group  •  </w:t>
    </w:r>
    <w:r>
      <w:rPr>
        <w:rFonts w:ascii="Calibri" w:cs="Calibri" w:eastAsia="Calibri" w:hAnsi="Calibri"/>
        <w:color w:val="6B7280"/>
        <w:sz w:val="14"/>
        <w:szCs w:val="14"/>
      </w:rPr>
      <w:t xml:space="preserve">Weena 505, 3013 AL Rotterdam, Netherlands</w:t>
    </w:r>
  </w:p>
  <w:p>
    <w:pPr>
      <w:spacing w:after="0" w:before="0"/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+31 10 798 4000  •  www.meridiancommerce.com  •  info@meridiancommerce.com</w:t>
    </w:r>
  </w:p>
  <w:p>
    <w:pPr>
      <w:spacing w:after="0" w:before="40"/>
      <w:jc w:val="center"/>
    </w:pPr>
    <w:r>
      <w:rPr>
        <w:rFonts w:ascii="Calibri" w:cs="Calibri" w:eastAsia="Calibri" w:hAnsi="Calibri"/>
        <w:b/>
        <w:bCs/>
        <w:color w:val="C4922E"/>
        <w:sz w:val="13"/>
        <w:szCs w:val="13"/>
      </w:rPr>
      <w:t xml:space="preserve">CONFIDENTIAL — </w:t>
    </w:r>
    <w:r>
      <w:rPr>
        <w:rFonts w:ascii="Calibri" w:cs="Calibri" w:eastAsia="Calibri" w:hAnsi="Calibri"/>
        <w:color w:val="6B7280"/>
        <w:sz w:val="13"/>
        <w:szCs w:val="13"/>
      </w:rPr>
      <w:t xml:space="preserve">Page </w:t>
    </w:r>
    <w:r>
      <w:rPr>
        <w:rFonts w:ascii="Calibri" w:cs="Calibri" w:eastAsia="Calibri" w:hAnsi="Calibri"/>
        <w:color w:val="6B728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1B2A4A"/>
        <w:sz w:val="28"/>
        <w:szCs w:val="28"/>
      </w:rPr>
      <w:t xml:space="preserve">MERIDIAN</w:t>
    </w:r>
    <w:r>
      <w:rPr>
        <w:rFonts w:ascii="Calibri" w:cs="Calibri" w:eastAsia="Calibri" w:hAnsi="Calibri"/>
        <w:b w:val="false"/>
        <w:bCs w:val="false"/>
        <w:color w:val="1B2A4A"/>
        <w:sz w:val="28"/>
        <w:szCs w:val="28"/>
      </w:rPr>
      <w:t xml:space="preserve"> COMMERCE </w:t>
    </w:r>
    <w:r>
      <w:rPr>
        <w:rFonts w:ascii="Calibri" w:cs="Calibri" w:eastAsia="Calibri" w:hAnsi="Calibri"/>
        <w:b/>
        <w:bCs/>
        <w:color w:val="0D7C8F"/>
        <w:sz w:val="28"/>
        <w:szCs w:val="28"/>
      </w:rPr>
      <w:t xml:space="preserve">GROUP</w:t>
    </w:r>
  </w:p>
  <w:p>
    <w:pPr>
      <w:spacing w:after="0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The neighborhood store with global reach</w:t>
    </w:r>
  </w:p>
  <w:p>
    <w:pPr>
      <w:pBdr>
        <w:bottom w:val="single" w:color="0D7C8F" w:sz="6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Calibri" w:cs="Calibri" w:eastAsia="Calibri" w:hAnsi="Calibri"/>
        <w:b/>
        <w:bCs/>
        <w:caps/>
        <w:color w:val="C4922E"/>
        <w:sz w:val="18"/>
        <w:szCs w:val="18"/>
      </w:rPr>
      <w:t xml:space="preserve">SUPPLIER PERFORMANCE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0D7C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B2A4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2026-06-18T14:35:41.186Z</dcterms:created>
  <dcterms:modified xsi:type="dcterms:W3CDTF">2026-06-18T14:35:41.186Z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