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6580" w:sz="2" w:space="4"/>
        </w:pBdr>
        <w:spacing w:after="160" w:before="360"/>
      </w:pPr>
      <w:r>
        <w:rPr>
          <w:rFonts w:ascii="Inter" w:cs="Inter" w:eastAsia="Inter" w:hAnsi="Inter"/>
          <w:b/>
          <w:bCs/>
          <w:color w:val="19416C"/>
          <w:sz w:val="30"/>
          <w:szCs w:val="30"/>
        </w:rPr>
        <w:t xml:space="preserve">Module 2: Qlik Cloud Connections &amp; Spaces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color="19416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pct" w:w="70%"/>
            <w:shd w:color="F6F7F8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20"/>
                <w:szCs w:val="20"/>
              </w:rPr>
              <w:t xml:space="preserve">10-15 minutes</w:t>
            </w:r>
          </w:p>
        </w:tc>
      </w:tr>
      <w:tr>
        <w:tc>
          <w:tcPr>
            <w:tcW w:type="pct" w:w="30%"/>
            <w:shd w:color="19416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Checklist Phase</w:t>
            </w:r>
          </w:p>
        </w:tc>
        <w:tc>
          <w:tcPr>
            <w:tcW w:type="pct" w:w="70%"/>
            <w:shd w:color="F6F7F8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pct" w:w="30%"/>
            <w:shd w:color="19416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Nightmares</w:t>
            </w:r>
          </w:p>
        </w:tc>
        <w:tc>
          <w:tcPr>
            <w:tcW w:type="pct" w:w="70%"/>
            <w:shd w:color="F6F7F8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20"/>
                <w:szCs w:val="20"/>
              </w:rPr>
              <w:t xml:space="preserve">#4 (Silent Pipeline Failures), #6 (Carrier Data Black Hole)</w:t>
            </w:r>
          </w:p>
        </w:tc>
      </w:tr>
      <w:tr>
        <w:tc>
          <w:tcPr>
            <w:tcW w:type="pct" w:w="30%"/>
            <w:shd w:color="19416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  <w:tc>
          <w:tcPr>
            <w:tcW w:type="pct" w:w="70%"/>
            <w:shd w:color="F6F7F8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20"/>
                <w:szCs w:val="20"/>
              </w:rPr>
              <w:t xml:space="preserve">Qlik Cloud Administration, Data Integration connectors</w:t>
            </w:r>
          </w:p>
        </w:tc>
      </w:tr>
    </w:tbl>
    <w:p>
      <w:pPr>
        <w:spacing w:after="120" w:before="280"/>
      </w:pPr>
      <w:r>
        <w:rPr>
          <w:rFonts w:ascii="Inter" w:cs="Inter" w:eastAsia="Inter" w:hAnsi="Inter"/>
          <w:b/>
          <w:bCs/>
          <w:color w:val="006580"/>
          <w:sz w:val="26"/>
          <w:szCs w:val="26"/>
        </w:rPr>
        <w:t xml:space="preserve">Overview</w:t>
      </w:r>
    </w:p>
    <w:p>
      <w:p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This module establishes the Qlik Cloud workspace and connects to all three MCG data sources. The space architecture separates development, production analytics, and data governance — a best practice for enterprise Qlik deployments.</w:t>
      </w:r>
    </w:p>
    <w:p>
      <w:pPr>
        <w:spacing w:after="120" w:before="280"/>
      </w:pPr>
      <w:r>
        <w:rPr>
          <w:rFonts w:ascii="Inter" w:cs="Inter" w:eastAsia="Inter" w:hAnsi="Inter"/>
          <w:b/>
          <w:bCs/>
          <w:color w:val="006580"/>
          <w:sz w:val="26"/>
          <w:szCs w:val="26"/>
        </w:rPr>
        <w:t xml:space="preserve">Prerequisites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1.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Qlik Cloud tenant provisioned with admin user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2.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API key generated (Profile &gt; API Keys)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3.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All three data sources running (Module 1 complete)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4.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Data Movement Gateway installed (for PostgreSQL CDC)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5.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Remote Engine Gen2 installed (for Kafka streaming)</w:t>
      </w:r>
    </w:p>
    <w:p>
      <w:pPr>
        <w:spacing w:after="120" w:before="280"/>
      </w:pPr>
      <w:r>
        <w:rPr>
          <w:rFonts w:ascii="Inter" w:cs="Inter" w:eastAsia="Inter" w:hAnsi="Inter"/>
          <w:b/>
          <w:bCs/>
          <w:color w:val="006580"/>
          <w:sz w:val="26"/>
          <w:szCs w:val="26"/>
        </w:rPr>
        <w:t xml:space="preserve">Demo Methodology: Tell → Show → Tell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%"/>
            <w:tcBorders>
              <w:top w:val="none"/>
              <w:left w:val="none"/>
              <w:bottom w:val="none"/>
              <w:right w:val="none"/>
            </w:tcBorders>
            <w:shd w:color="19416C" w:val="solid"/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pct" w:w="98%"/>
            <w:shd w:color="E3EAF3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19416C"/>
                <w:sz w:val="18"/>
                <w:szCs w:val="18"/>
              </w:rPr>
              <w:t xml:space="preserve">Limbic Opening  (Case Study)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i/>
                <w:iCs/>
                <w:color w:val="454659"/>
                <w:sz w:val="20"/>
                <w:szCs w:val="20"/>
              </w:rPr>
              <w:t xml:space="preserve">MCG had a data engineer who spent 3 days debugging a broken pipeline — only to discover it was feeding the wrong Kafka topic to the wrong team's dashboard. No governance, no separation, no audit trail. That single incident delayed a product launch by two weeks.</w:t>
            </w:r>
          </w:p>
        </w:tc>
      </w:tr>
    </w:tbl>
    <w:p>
      <w:pPr>
        <w:spacing w:after="80" w:before="80"/>
      </w:pPr>
      <w:r>
        <w:rPr>
          <w:rFonts w:ascii="Inter" w:cs="Inter" w:eastAsia="Inter" w:hAnsi="Inter"/>
          <w:b/>
          <w:bCs/>
          <w:color w:val="10CFC9"/>
          <w:sz w:val="20"/>
          <w:szCs w:val="20"/>
        </w:rPr>
        <w:t xml:space="preserve">Ask the audience: </w:t>
      </w:r>
      <w:r>
        <w:rPr>
          <w:rFonts w:ascii="Inter" w:cs="Inter" w:eastAsia="Inter" w:hAnsi="Inter"/>
          <w:i/>
          <w:iCs/>
          <w:color w:val="454659"/>
          <w:sz w:val="20"/>
          <w:szCs w:val="20"/>
        </w:rPr>
        <w:t xml:space="preserve">"How do you currently separate development data from production analytics?"</w:t>
      </w:r>
    </w:p>
    <w:p>
      <w:pPr>
        <w:spacing w:after="120" w:before="280"/>
      </w:pPr>
      <w:r>
        <w:rPr>
          <w:rFonts w:ascii="Inter" w:cs="Inter" w:eastAsia="Inter" w:hAnsi="Inter"/>
          <w:b/>
          <w:bCs/>
          <w:color w:val="006580"/>
          <w:sz w:val="26"/>
          <w:szCs w:val="26"/>
        </w:rPr>
        <w:t xml:space="preserve">Demo Walk-Through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006580" w:sz="1"/>
              <w:left w:val="single" w:color="006580" w:sz="6"/>
              <w:bottom w:val="single" w:color="006580" w:sz="1"/>
              <w:right w:val="none"/>
            </w:tcBorders>
            <w:shd w:color="E0F2F5" w:val="solid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/>
                <w:bCs/>
                <w:color w:val="006580"/>
                <w:sz w:val="16"/>
                <w:szCs w:val="16"/>
              </w:rPr>
              <w:t xml:space="preserve">TELL (before showing)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i/>
                <w:iCs/>
                <w:color w:val="454659"/>
                <w:sz w:val="18"/>
                <w:szCs w:val="18"/>
              </w:rPr>
              <w:t xml:space="preserve">What I'm about to show you is how Qlik Cloud organizes the entire data landscape — separate spaces for development and production, with connections that handle CDC, streaming, and API sources all from one console.</w:t>
            </w:r>
          </w:p>
        </w:tc>
      </w:tr>
    </w:tbl>
    <w:p>
      <w:pPr>
        <w:spacing w:after="100" w:before="200"/>
      </w:pPr>
      <w:r>
        <w:rPr>
          <w:rFonts w:ascii="Inter" w:cs="Inter" w:eastAsia="Inter" w:hAnsi="Inter"/>
          <w:b/>
          <w:bCs/>
          <w:color w:val="19416C"/>
          <w:sz w:val="22"/>
          <w:szCs w:val="22"/>
        </w:rPr>
        <w:t xml:space="preserve">Step 1: Create Spaces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1.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Navigate to Qlik Cloud Hub &gt; Spaces &gt; Create Space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2.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Create shared space: "MCG Demo - Development"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3.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Create managed space: "MCG Demo - Published"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4.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Create data space: "MCG Data - Lakehouse" (optional, for data separation)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%"/>
            <w:tcBorders>
              <w:top w:val="none"/>
              <w:left w:val="none"/>
              <w:bottom w:val="none"/>
              <w:right w:val="none"/>
            </w:tcBorders>
            <w:shd w:color="006580" w:val="solid"/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pct" w:w="99%"/>
            <w:shd w:color="F6F7F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20"/>
                <w:szCs w:val="20"/>
              </w:rPr>
              <w:t xml:space="preserve">Talking point: The shared space is where analysts build and iterate. The managed space is where governed, published content lives. This separation ensures data consumers always see approved, quality-checked analytics.</w:t>
            </w:r>
          </w:p>
        </w:tc>
      </w:tr>
    </w:tbl>
    <w:p>
      <w:pPr>
        <w:spacing w:after="100" w:before="200"/>
      </w:pPr>
      <w:r>
        <w:rPr>
          <w:rFonts w:ascii="Inter" w:cs="Inter" w:eastAsia="Inter" w:hAnsi="Inter"/>
          <w:b/>
          <w:bCs/>
          <w:color w:val="19416C"/>
          <w:sz w:val="22"/>
          <w:szCs w:val="22"/>
        </w:rPr>
        <w:t xml:space="preserve">Step 2: PostgreSQL Connection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1.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Navigate to Data Integration &gt; Connections &gt; Add Connection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2.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Select PostgreSQL connector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3.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Configure connection: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00658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Setting</w:t>
            </w:r>
          </w:p>
        </w:tc>
        <w:tc>
          <w:tcPr>
            <w:shd w:color="00658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Name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MCG WMS Database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Host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your-postgres-host (or localhost for Docker)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Port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5432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Database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mcg_wms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Username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qlik_reader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Schema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public</w:t>
            </w:r>
          </w:p>
        </w:tc>
      </w:tr>
    </w:tbl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4.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Test connection — should succeed and show 3 tables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5.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Verify tables visible: inventory_positions, warehouse_events, shipments</w:t>
      </w:r>
    </w:p>
    <w:p>
      <w:pPr>
        <w:spacing w:after="100" w:before="200"/>
      </w:pPr>
      <w:r>
        <w:rPr>
          <w:rFonts w:ascii="Inter" w:cs="Inter" w:eastAsia="Inter" w:hAnsi="Inter"/>
          <w:b/>
          <w:bCs/>
          <w:color w:val="19416C"/>
          <w:sz w:val="22"/>
          <w:szCs w:val="22"/>
        </w:rPr>
        <w:t xml:space="preserve">Step 3: Kafka Connection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1.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Select Apache Kafka connector via Remote Engine Gen2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2.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Configure bootstrap servers: localhost:9092 (Docker) or your-broker:9092 (external)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3.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Test connection — should show 2 topics: mcg.iot.cold-chain, mcg.iot.carrier-events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%"/>
            <w:tcBorders>
              <w:top w:val="none"/>
              <w:left w:val="none"/>
              <w:bottom w:val="none"/>
              <w:right w:val="none"/>
            </w:tcBorders>
            <w:shd w:color="006580" w:val="solid"/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pct" w:w="99%"/>
            <w:shd w:color="F6F7F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20"/>
                <w:szCs w:val="20"/>
              </w:rPr>
              <w:t xml:space="preserve">Talking point: Kafka streaming data flows continuously — no batch windows, no stale data. Temperature readings arrive every 5 seconds. This is how you catch a cold chain exceedance before product spoils.</w:t>
            </w:r>
          </w:p>
        </w:tc>
      </w:tr>
    </w:tbl>
    <w:p>
      <w:pPr>
        <w:spacing w:after="100" w:before="200"/>
      </w:pPr>
      <w:r>
        <w:rPr>
          <w:rFonts w:ascii="Inter" w:cs="Inter" w:eastAsia="Inter" w:hAnsi="Inter"/>
          <w:b/>
          <w:bCs/>
          <w:color w:val="19416C"/>
          <w:sz w:val="22"/>
          <w:szCs w:val="22"/>
        </w:rPr>
        <w:t xml:space="preserve">Step 4: Salesforce Connection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1.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Select Salesforce Standard connector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2.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Authenticate via OAuth or username/password + security token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3.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Test connection — should show Contact, MCG_Order__c, MCG_Product__c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009845" w:sz="1"/>
              <w:left w:val="single" w:color="009845" w:sz="6"/>
              <w:bottom w:val="single" w:color="009845" w:sz="1"/>
              <w:right w:val="none"/>
            </w:tcBorders>
            <w:shd w:color="E0F5EA" w:val="solid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/>
                <w:bCs/>
                <w:color w:val="009845"/>
                <w:sz w:val="16"/>
                <w:szCs w:val="16"/>
              </w:rPr>
              <w:t xml:space="preserve">TELL (after showing)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i/>
                <w:iCs/>
                <w:color w:val="454659"/>
                <w:sz w:val="18"/>
                <w:szCs w:val="18"/>
              </w:rPr>
              <w:t xml:space="preserve">What you just saw is the foundation: governed spaces with clear dev/prod separation, and three very different data sources — database CDC, real-time streaming, and API — all connected from one console. No custom ETL code, no middleware, no integration tax.</w:t>
            </w:r>
          </w:p>
        </w:tc>
      </w:tr>
    </w:tbl>
    <w:p>
      <w:pPr>
        <w:spacing w:after="80" w:before="80"/>
      </w:pPr>
      <w:r>
        <w:rPr>
          <w:rFonts w:ascii="Inter" w:cs="Inter" w:eastAsia="Inter" w:hAnsi="Inter"/>
          <w:b/>
          <w:bCs/>
          <w:color w:val="10CFC9"/>
          <w:sz w:val="20"/>
          <w:szCs w:val="20"/>
        </w:rPr>
        <w:t xml:space="preserve">Ask the audience: </w:t>
      </w:r>
      <w:r>
        <w:rPr>
          <w:rFonts w:ascii="Inter" w:cs="Inter" w:eastAsia="Inter" w:hAnsi="Inter"/>
          <w:i/>
          <w:iCs/>
          <w:color w:val="454659"/>
          <w:sz w:val="20"/>
          <w:szCs w:val="20"/>
        </w:rPr>
        <w:t xml:space="preserve">"Which of these connector types would be most relevant for your environment?"</w:t>
      </w:r>
    </w:p>
    <w:p>
      <w:pPr>
        <w:spacing w:after="100" w:before="60"/>
      </w:pPr>
      <w:r>
        <w:rPr>
          <w:rFonts w:ascii="Inter" w:cs="Inter" w:eastAsia="Inter" w:hAnsi="Inter"/>
          <w:color w:val="454659"/>
          <w:sz w:val="20"/>
          <w:szCs w:val="20"/>
        </w:rPr>
        <w:t xml:space="preserve">Connect all three data source types from one platform</w:t>
      </w:r>
      <w:r>
        <w:rPr>
          <w:rFonts w:ascii="Inter" w:cs="Inter" w:eastAsia="Inter" w:hAnsi="Inter"/>
          <w:b/>
          <w:bCs/>
          <w:color w:val="009845"/>
          <w:sz w:val="20"/>
          <w:szCs w:val="20"/>
        </w:rPr>
        <w:t xml:space="preserve">  →  so you can  </w:t>
      </w:r>
      <w:r>
        <w:rPr>
          <w:rFonts w:ascii="Inter" w:cs="Inter" w:eastAsia="Inter" w:hAnsi="Inter"/>
          <w:color w:val="454659"/>
          <w:sz w:val="20"/>
          <w:szCs w:val="20"/>
        </w:rPr>
        <w:t xml:space="preserve">eliminate the middleware and custom integration layer</w:t>
      </w:r>
      <w:r>
        <w:rPr>
          <w:rFonts w:ascii="Inter" w:cs="Inter" w:eastAsia="Inter" w:hAnsi="Inter"/>
          <w:b/>
          <w:bCs/>
          <w:color w:val="009845"/>
          <w:sz w:val="20"/>
          <w:szCs w:val="20"/>
        </w:rPr>
        <w:t xml:space="preserve">  →  so you can  </w:t>
      </w:r>
      <w:r>
        <w:rPr>
          <w:rFonts w:ascii="Inter" w:cs="Inter" w:eastAsia="Inter" w:hAnsi="Inter"/>
          <w:color w:val="454659"/>
          <w:sz w:val="20"/>
          <w:szCs w:val="20"/>
        </w:rPr>
        <w:t xml:space="preserve">give your data team back the 40% of time they currently spend on plumbing</w:t>
      </w:r>
    </w:p>
    <w:p>
      <w:pPr>
        <w:spacing w:after="120" w:before="280"/>
      </w:pPr>
      <w:r>
        <w:rPr>
          <w:rFonts w:ascii="Inter" w:cs="Inter" w:eastAsia="Inter" w:hAnsi="Inter"/>
          <w:b/>
          <w:bCs/>
          <w:color w:val="006580"/>
          <w:sz w:val="26"/>
          <w:szCs w:val="26"/>
        </w:rPr>
        <w:t xml:space="preserve">Talking Points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9416C"/>
          <w:sz w:val="21"/>
          <w:szCs w:val="21"/>
        </w:rPr>
        <w:t xml:space="preserve">Three different connector types: CDC (PostgreSQL), streaming (Kafka), standard API (Salesforce)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9416C"/>
          <w:sz w:val="21"/>
          <w:szCs w:val="21"/>
        </w:rPr>
        <w:t xml:space="preserve">Each connector type handles change tracking differently — CDC captures row-level changes, streaming is continuous, API is polling-based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9416C"/>
          <w:sz w:val="21"/>
          <w:szCs w:val="21"/>
        </w:rPr>
        <w:t xml:space="preserve">Data Movement Gateway runs on-premises for secure PostgreSQL access without opening firewall ports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9416C"/>
          <w:sz w:val="21"/>
          <w:szCs w:val="21"/>
        </w:rPr>
        <w:t xml:space="preserve">Space architecture follows Qlik best practices: dev/prod separation with governed publishing</w:t>
      </w:r>
    </w:p>
    <w:p>
      <w:pPr>
        <w:spacing w:after="120" w:before="280"/>
      </w:pPr>
      <w:r>
        <w:rPr>
          <w:rFonts w:ascii="Inter" w:cs="Inter" w:eastAsia="Inter" w:hAnsi="Inter"/>
          <w:b/>
          <w:bCs/>
          <w:color w:val="006580"/>
          <w:sz w:val="26"/>
          <w:szCs w:val="26"/>
        </w:rPr>
        <w:t xml:space="preserve">Troubleshooting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0658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Issue</w:t>
            </w:r>
          </w:p>
        </w:tc>
        <w:tc>
          <w:tcPr>
            <w:shd w:color="00658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Cause</w:t>
            </w:r>
          </w:p>
        </w:tc>
        <w:tc>
          <w:tcPr>
            <w:shd w:color="00658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Connection test fails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Firewall blocking port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Ensure outbound access to data source from Gateway/Engine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Gateway not paired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Pairing token expired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Generate new token in Administration &gt; Gateways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Salesforce auth fails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IP restriction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Add Qlik Cloud IP ranges to Salesforce trusted IPs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Topics not visible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Wrong bootstrap server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Verify broker address and port; check Remote Engine logs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727" w:right="1440" w:bottom="1152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9845" w:sz="4" w:space="4"/>
      </w:pBdr>
      <w:spacing w:before="0"/>
    </w:pPr>
    <w:r>
      <w:rPr>
        <w:sz w:val="4"/>
        <w:szCs w:val="4"/>
      </w:rPr>
      <w:t xml:space="preserve"/>
    </w:r>
  </w:p>
  <w:p>
    <w:pPr>
      <w:spacing w:after="0" w:before="0"/>
      <w:jc w:val="center"/>
    </w:pPr>
    <w:r>
      <w:rPr>
        <w:rFonts w:ascii="Inter" w:cs="Inter" w:eastAsia="Inter" w:hAnsi="Inter"/>
        <w:color w:val="454659"/>
        <w:sz w:val="14"/>
        <w:szCs w:val="14"/>
      </w:rPr>
      <w:t xml:space="preserve">Meridian Commerce Group  •  </w:t>
    </w:r>
    <w:r>
      <w:rPr>
        <w:rFonts w:ascii="Inter" w:cs="Inter" w:eastAsia="Inter" w:hAnsi="Inter"/>
        <w:color w:val="454659"/>
        <w:sz w:val="14"/>
        <w:szCs w:val="14"/>
      </w:rPr>
      <w:t xml:space="preserve">Weena 505, 3013 AL Rotterdam, Netherlands</w:t>
    </w:r>
  </w:p>
  <w:p>
    <w:pPr>
      <w:spacing w:after="0" w:before="0"/>
      <w:jc w:val="center"/>
    </w:pPr>
    <w:r>
      <w:rPr>
        <w:rFonts w:ascii="Inter" w:cs="Inter" w:eastAsia="Inter" w:hAnsi="Inter"/>
        <w:color w:val="454659"/>
        <w:sz w:val="14"/>
        <w:szCs w:val="14"/>
      </w:rPr>
      <w:t xml:space="preserve">+31 10 798 4000  •  www.meridiancommerce.com  •  info@meridiancommerce.com</w:t>
    </w:r>
  </w:p>
  <w:p>
    <w:pPr>
      <w:spacing w:after="0" w:before="40"/>
      <w:jc w:val="center"/>
    </w:pPr>
    <w:r>
      <w:rPr>
        <w:rFonts w:ascii="Inter" w:cs="Inter" w:eastAsia="Inter" w:hAnsi="Inter"/>
        <w:b/>
        <w:bCs/>
        <w:color w:val="009845"/>
        <w:sz w:val="13"/>
        <w:szCs w:val="13"/>
      </w:rPr>
      <w:t xml:space="preserve">CONFIDENTIAL — </w:t>
    </w:r>
    <w:r>
      <w:rPr>
        <w:rFonts w:ascii="Inter" w:cs="Inter" w:eastAsia="Inter" w:hAnsi="Inter"/>
        <w:color w:val="454659"/>
        <w:sz w:val="13"/>
        <w:szCs w:val="13"/>
      </w:rPr>
      <w:t xml:space="preserve">Page </w:t>
    </w:r>
    <w:r>
      <w:rPr>
        <w:rFonts w:ascii="Inter" w:cs="Inter" w:eastAsia="Inter" w:hAnsi="Inter"/>
        <w:color w:val="454659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drawing>
        <wp:inline distT="0" distB="0" distL="0" distR="0">
          <wp:extent cx="762000" cy="3333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333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Inter" w:cs="Inter" w:eastAsia="Inter" w:hAnsi="Inter"/>
        <w:sz w:val="20"/>
        <w:szCs w:val="20"/>
      </w:rPr>
      <w:t xml:space="preserve">   </w:t>
    </w:r>
    <w:r>
      <w:rPr>
        <w:rFonts w:ascii="Inter" w:cs="Inter" w:eastAsia="Inter" w:hAnsi="Inter"/>
        <w:b/>
        <w:bCs/>
        <w:color w:val="19416C"/>
        <w:sz w:val="26"/>
        <w:szCs w:val="26"/>
      </w:rPr>
      <w:t xml:space="preserve">MERIDIAN</w:t>
    </w:r>
    <w:r>
      <w:rPr>
        <w:rFonts w:ascii="Inter" w:cs="Inter" w:eastAsia="Inter" w:hAnsi="Inter"/>
        <w:b w:val="false"/>
        <w:bCs w:val="false"/>
        <w:color w:val="19416C"/>
        <w:sz w:val="26"/>
        <w:szCs w:val="26"/>
      </w:rPr>
      <w:t xml:space="preserve"> COMMERCE </w:t>
    </w:r>
    <w:r>
      <w:rPr>
        <w:rFonts w:ascii="Inter" w:cs="Inter" w:eastAsia="Inter" w:hAnsi="Inter"/>
        <w:b/>
        <w:bCs/>
        <w:color w:val="009845"/>
        <w:sz w:val="26"/>
        <w:szCs w:val="26"/>
      </w:rPr>
      <w:t xml:space="preserve">GROUP</w:t>
    </w:r>
  </w:p>
  <w:p>
    <w:pPr>
      <w:spacing w:after="0"/>
    </w:pPr>
    <w:r>
      <w:rPr>
        <w:rFonts w:ascii="Inter" w:cs="Inter" w:eastAsia="Inter" w:hAnsi="Inter"/>
        <w:i/>
        <w:iCs/>
        <w:color w:val="454659"/>
        <w:sz w:val="16"/>
        <w:szCs w:val="16"/>
      </w:rPr>
      <w:t xml:space="preserve">The neighborhood store with global reach</w:t>
    </w:r>
  </w:p>
  <w:p>
    <w:pPr>
      <w:pBdr>
        <w:bottom w:val="single" w:color="009845" w:sz="8" w:space="4"/>
      </w:pBdr>
      <w:spacing w:after="0"/>
    </w:pPr>
    <w:r>
      <w:rPr>
        <w:sz w:val="4"/>
        <w:szCs w:val="4"/>
      </w:rPr>
      <w:t xml:space="preserve"/>
    </w:r>
  </w:p>
  <w:p>
    <w:pPr>
      <w:spacing w:after="0" w:before="60"/>
      <w:jc w:val="right"/>
    </w:pPr>
    <w:r>
      <w:rPr>
        <w:rFonts w:ascii="Inter" w:cs="Inter" w:eastAsia="Inter" w:hAnsi="Inter"/>
        <w:b/>
        <w:bCs/>
        <w:caps/>
        <w:color w:val="009845"/>
        <w:sz w:val="18"/>
        <w:szCs w:val="18"/>
      </w:rPr>
      <w:t xml:space="preserve">DEMO SCRIPT — Module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Inter" w:cs="Inter" w:eastAsia="Inter" w:hAnsi="Inter"/>
        <w:color w:val="454659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Inter" w:cs="Inter" w:eastAsia="Inter" w:hAnsi="Inter"/>
      <w:b/>
      <w:bCs/>
      <w:color w:val="19416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</w:pPr>
    <w:rPr>
      <w:rFonts w:ascii="Inter" w:cs="Inter" w:eastAsia="Inter" w:hAnsi="Inter"/>
      <w:b/>
      <w:bCs/>
      <w:color w:val="00658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Inter" w:cs="Inter" w:eastAsia="Inter" w:hAnsi="Inter"/>
      <w:b/>
      <w:bCs/>
      <w:color w:val="19416C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Subhead"/>
    <w:qFormat/>
    <w:rsid w:val="00437EFB"/>
    <w:rPr>
      <w:rFonts w:ascii="Inter" w:eastAsiaTheme="minorEastAsia" w:hAnsi="Inter"/>
      <w:color w:val="009845" w:themeColor="accent1"/>
    </w:rPr>
  </w:style>
  <w:style w:type="paragraph" w:styleId="Heading2">
    <w:name w:val="heading 2"/>
    <w:basedOn w:val="BodyP"/>
    <w:next w:val="Normal"/>
    <w:link w:val="Heading2Char"/>
    <w:uiPriority w:val="9"/>
    <w:unhideWhenUsed/>
    <w:qFormat/>
    <w:rsid w:val="00CF335B"/>
    <w:pPr>
      <w:spacing w:before="360" w:after="100" w:afterAutospacing="1" w:line="240" w:lineRule="auto"/>
      <w:outlineLvl w:val="1"/>
    </w:pPr>
    <w:rPr>
      <w:b/>
      <w:bCs/>
      <w:color w:val="FFFFFF" w:themeColor="background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135D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35D2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4135D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35D2"/>
    <w:rPr>
      <w:rFonts w:eastAsiaTheme="minorEastAsia"/>
    </w:rPr>
  </w:style>
  <w:style w:type="paragraph" w:customStyle="1" w:styleId="Sectiontype">
    <w:name w:val="Section type"/>
    <w:basedOn w:val="Normal"/>
    <w:qFormat/>
    <w:rsid w:val="00E52BED"/>
    <w:pPr>
      <w:tabs>
        <w:tab w:val="right" w:pos="10080"/>
      </w:tabs>
      <w:suppressAutoHyphens/>
      <w:autoSpaceDE w:val="0"/>
      <w:autoSpaceDN w:val="0"/>
      <w:adjustRightInd w:val="0"/>
      <w:spacing w:before="600" w:after="240" w:line="480" w:lineRule="auto"/>
      <w:textAlignment w:val="center"/>
    </w:pPr>
    <w:rPr>
      <w:rFonts w:ascii="Arial" w:eastAsiaTheme="minorHAnsi" w:hAnsi="Arial" w:cs="Source Sans Pro Light"/>
      <w:b/>
      <w:noProof/>
      <w:color w:val="FFFFFF" w:themeColor="background1"/>
      <w:spacing w:val="40"/>
      <w:kern w:val="0"/>
      <w:sz w:val="20"/>
      <w:szCs w:val="2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41EC6"/>
    <w:pPr>
      <w:tabs>
        <w:tab w:val="right" w:pos="10080"/>
      </w:tabs>
      <w:suppressAutoHyphens/>
      <w:autoSpaceDE w:val="0"/>
      <w:autoSpaceDN w:val="0"/>
      <w:adjustRightInd w:val="0"/>
      <w:spacing w:before="240" w:line="276" w:lineRule="auto"/>
      <w:textAlignment w:val="center"/>
    </w:pPr>
    <w:rPr>
      <w:rFonts w:eastAsiaTheme="minorHAnsi" w:cs="Source Sans Pro Light"/>
      <w:color w:val="54565A"/>
      <w:kern w:val="0"/>
      <w:sz w:val="28"/>
      <w:szCs w:val="36"/>
      <w:u w:val="single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003DD4"/>
  </w:style>
  <w:style w:type="paragraph" w:customStyle="1" w:styleId="BodyP">
    <w:name w:val="Body P"/>
    <w:basedOn w:val="Normal"/>
    <w:qFormat/>
    <w:rsid w:val="00DF103C"/>
    <w:pPr>
      <w:suppressAutoHyphens/>
      <w:autoSpaceDE w:val="0"/>
      <w:autoSpaceDN w:val="0"/>
      <w:adjustRightInd w:val="0"/>
      <w:spacing w:before="200" w:after="240" w:line="360" w:lineRule="auto"/>
      <w:textAlignment w:val="center"/>
    </w:pPr>
    <w:rPr>
      <w:rFonts w:eastAsiaTheme="minorHAnsi" w:cs="Source Sans Pro"/>
      <w:color w:val="454659" w:themeColor="text1"/>
      <w:kern w:val="0"/>
      <w:sz w:val="21"/>
      <w:szCs w:val="21"/>
      <w14:ligatures w14:val="none"/>
    </w:rPr>
  </w:style>
  <w:style w:type="paragraph" w:customStyle="1" w:styleId="Bullets1">
    <w:name w:val="Bullets 1"/>
    <w:basedOn w:val="BodyP"/>
    <w:qFormat/>
    <w:rsid w:val="00DF103C"/>
    <w:pPr>
      <w:numPr>
        <w:numId w:val="1"/>
      </w:numPr>
      <w:spacing w:after="120"/>
    </w:pPr>
    <w:rPr>
      <w:szCs w:val="22"/>
    </w:rPr>
  </w:style>
  <w:style w:type="character" w:customStyle="1" w:styleId="normaltextrun">
    <w:name w:val="normaltextrun"/>
    <w:basedOn w:val="DefaultParagraphFont"/>
    <w:rsid w:val="00A72D33"/>
  </w:style>
  <w:style w:type="paragraph" w:customStyle="1" w:styleId="Intro">
    <w:name w:val="Intro"/>
    <w:basedOn w:val="Normal"/>
    <w:qFormat/>
    <w:rsid w:val="00DF103C"/>
    <w:pPr>
      <w:suppressAutoHyphens/>
      <w:autoSpaceDE w:val="0"/>
      <w:autoSpaceDN w:val="0"/>
      <w:adjustRightInd w:val="0"/>
      <w:spacing w:after="120" w:line="360" w:lineRule="auto"/>
      <w:textAlignment w:val="center"/>
    </w:pPr>
    <w:rPr>
      <w:rFonts w:eastAsiaTheme="minorHAnsi" w:cs="Times New Roman (Body CS)"/>
      <w:b/>
      <w:bCs/>
      <w:kern w:val="0"/>
      <w:sz w:val="36"/>
      <w:szCs w:val="36"/>
      <w14:ligatures w14:val="none"/>
    </w:rPr>
  </w:style>
  <w:style w:type="paragraph" w:styleId="ListParagraph">
    <w:name w:val="List Paragraph"/>
    <w:basedOn w:val="Normal"/>
    <w:uiPriority w:val="34"/>
    <w:qFormat/>
    <w:rsid w:val="00703498"/>
    <w:pPr>
      <w:ind w:left="720"/>
      <w:contextualSpacing/>
    </w:pPr>
  </w:style>
  <w:style w:type="table" w:styleId="TableGrid">
    <w:name w:val="Table Grid"/>
    <w:basedOn w:val="TableNormal"/>
    <w:uiPriority w:val="59"/>
    <w:rsid w:val="007E4CE3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pacer">
    <w:name w:val="spacer"/>
    <w:basedOn w:val="Normal"/>
    <w:uiPriority w:val="99"/>
    <w:qFormat/>
    <w:rsid w:val="007E4CE3"/>
    <w:pPr>
      <w:tabs>
        <w:tab w:val="center" w:pos="4680"/>
        <w:tab w:val="right" w:pos="9360"/>
      </w:tabs>
    </w:pPr>
    <w:rPr>
      <w:rFonts w:eastAsiaTheme="minorHAnsi"/>
      <w:color w:val="454659" w:themeColor="text1"/>
      <w:kern w:val="0"/>
      <w:sz w:val="2"/>
      <w:szCs w:val="2"/>
      <w14:ligatures w14:val="none"/>
    </w:rPr>
  </w:style>
  <w:style w:type="paragraph" w:customStyle="1" w:styleId="SidebarBody">
    <w:name w:val="Sidebar Body"/>
    <w:basedOn w:val="Normal"/>
    <w:link w:val="SidebarBodyChar"/>
    <w:qFormat/>
    <w:rsid w:val="007E4CE3"/>
    <w:pPr>
      <w:framePr w:hSpace="180" w:wrap="around" w:vAnchor="text" w:hAnchor="text" w:x="6840" w:y="1"/>
      <w:spacing w:after="120" w:line="240" w:lineRule="atLeast"/>
      <w:ind w:left="288" w:right="58"/>
      <w:suppressOverlap/>
    </w:pPr>
    <w:rPr>
      <w:rFonts w:eastAsiaTheme="minorHAnsi"/>
      <w:color w:val="93579C" w:themeColor="accent6"/>
      <w:kern w:val="0"/>
      <w:sz w:val="18"/>
      <w:szCs w:val="20"/>
      <w14:ligatures w14:val="none"/>
    </w:rPr>
  </w:style>
  <w:style w:type="character" w:customStyle="1" w:styleId="SidebarBodyChar">
    <w:name w:val="Sidebar Body Char"/>
    <w:basedOn w:val="DefaultParagraphFont"/>
    <w:link w:val="SidebarBody"/>
    <w:rsid w:val="007E4CE3"/>
    <w:rPr>
      <w:color w:val="93579C" w:themeColor="accent6"/>
      <w:kern w:val="0"/>
      <w:sz w:val="18"/>
      <w:szCs w:val="20"/>
      <w14:ligatures w14:val="none"/>
    </w:rPr>
  </w:style>
  <w:style w:type="paragraph" w:customStyle="1" w:styleId="SidebarHeading1">
    <w:name w:val="Sidebar Heading 1"/>
    <w:basedOn w:val="SidebarBody"/>
    <w:next w:val="SidebarBody"/>
    <w:link w:val="SidebarHeading1Char"/>
    <w:qFormat/>
    <w:rsid w:val="007E4CE3"/>
    <w:pPr>
      <w:framePr w:wrap="around"/>
      <w:spacing w:before="120" w:after="240"/>
    </w:pPr>
    <w:rPr>
      <w:rFonts w:cstheme="minorHAnsi"/>
      <w:b/>
      <w:sz w:val="24"/>
      <w:szCs w:val="24"/>
    </w:rPr>
  </w:style>
  <w:style w:type="character" w:customStyle="1" w:styleId="SidebarHeading1Char">
    <w:name w:val="Sidebar Heading 1 Char"/>
    <w:basedOn w:val="DefaultParagraphFont"/>
    <w:link w:val="SidebarHeading1"/>
    <w:rsid w:val="007E4CE3"/>
    <w:rPr>
      <w:rFonts w:cstheme="minorHAnsi"/>
      <w:b/>
      <w:color w:val="93579C" w:themeColor="accent6"/>
      <w:kern w:val="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F335B"/>
    <w:rPr>
      <w:rFonts w:ascii="Arial" w:hAnsi="Arial" w:cs="Source Sans Pro"/>
      <w:b/>
      <w:bCs/>
      <w:color w:val="FFFFFF" w:themeColor="background1"/>
      <w:kern w:val="0"/>
      <w:sz w:val="22"/>
      <w:szCs w:val="22"/>
      <w14:ligatures w14:val="none"/>
    </w:rPr>
  </w:style>
  <w:style w:type="paragraph" w:customStyle="1" w:styleId="SidebarListBullet">
    <w:name w:val="Sidebar List Bullet"/>
    <w:basedOn w:val="Normal"/>
    <w:next w:val="Normal"/>
    <w:link w:val="SidebarListBulletChar"/>
    <w:qFormat/>
    <w:rsid w:val="000C317D"/>
    <w:pPr>
      <w:framePr w:hSpace="180" w:wrap="around" w:vAnchor="text" w:hAnchor="text" w:x="6840" w:y="1"/>
      <w:numPr>
        <w:numId w:val="3"/>
      </w:numPr>
      <w:spacing w:before="80" w:after="80" w:line="200" w:lineRule="atLeast"/>
      <w:ind w:left="540" w:hanging="180"/>
      <w:contextualSpacing/>
      <w:suppressOverlap/>
    </w:pPr>
    <w:rPr>
      <w:rFonts w:eastAsiaTheme="minorHAnsi"/>
      <w:bCs/>
      <w:color w:val="93579C" w:themeColor="accent6"/>
      <w:kern w:val="0"/>
      <w:sz w:val="18"/>
      <w:szCs w:val="20"/>
      <w14:ligatures w14:val="none"/>
    </w:rPr>
  </w:style>
  <w:style w:type="character" w:customStyle="1" w:styleId="SidebarListBulletChar">
    <w:name w:val="Sidebar List Bullet Char"/>
    <w:basedOn w:val="DefaultParagraphFont"/>
    <w:link w:val="SidebarListBullet"/>
    <w:rsid w:val="000C317D"/>
    <w:rPr>
      <w:bCs/>
      <w:color w:val="93579C" w:themeColor="accent6"/>
      <w:kern w:val="0"/>
      <w:sz w:val="18"/>
      <w:szCs w:val="20"/>
      <w14:ligatures w14:val="none"/>
    </w:rPr>
  </w:style>
  <w:style w:type="paragraph" w:customStyle="1" w:styleId="SidebarHeading2">
    <w:name w:val="Sidebar Heading 2"/>
    <w:basedOn w:val="SidebarHeading1"/>
    <w:qFormat/>
    <w:rsid w:val="000C317D"/>
    <w:pPr>
      <w:framePr w:wrap="around"/>
      <w:spacing w:before="180" w:after="120"/>
    </w:pPr>
    <w:rPr>
      <w:sz w:val="18"/>
      <w:szCs w:val="18"/>
    </w:rPr>
  </w:style>
  <w:style w:type="paragraph" w:customStyle="1" w:styleId="SidebarQuote">
    <w:name w:val="Sidebar Quote"/>
    <w:basedOn w:val="SidebarBody"/>
    <w:qFormat/>
    <w:rsid w:val="000C317D"/>
    <w:pPr>
      <w:framePr w:wrap="around"/>
      <w:spacing w:after="0" w:line="360" w:lineRule="auto"/>
      <w:ind w:hanging="14"/>
    </w:pPr>
    <w:rPr>
      <w:color w:val="10CFC9" w:themeColor="accent2"/>
      <w:sz w:val="24"/>
      <w:szCs w:val="24"/>
    </w:rPr>
  </w:style>
  <w:style w:type="paragraph" w:customStyle="1" w:styleId="BasicParagraph">
    <w:name w:val="[Basic Paragraph]"/>
    <w:basedOn w:val="Normal"/>
    <w:uiPriority w:val="99"/>
    <w:rsid w:val="0063694C"/>
    <w:pPr>
      <w:suppressAutoHyphens/>
      <w:autoSpaceDE w:val="0"/>
      <w:autoSpaceDN w:val="0"/>
      <w:adjustRightInd w:val="0"/>
      <w:spacing w:line="384" w:lineRule="atLeast"/>
      <w:textAlignment w:val="center"/>
    </w:pPr>
    <w:rPr>
      <w:rFonts w:ascii="Source Sans Pro" w:eastAsiaTheme="minorHAnsi" w:hAnsi="Source Sans Pro" w:cs="Source Sans Pro"/>
      <w:color w:val="0C2332"/>
      <w:kern w:val="0"/>
      <w:sz w:val="22"/>
      <w:lang w:bidi="gu-IN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63694C"/>
    <w:pPr>
      <w:widowControl w:val="0"/>
      <w:autoSpaceDE w:val="0"/>
      <w:autoSpaceDN w:val="0"/>
    </w:pPr>
    <w:rPr>
      <w:rFonts w:eastAsia="Inter" w:cs="Inter"/>
      <w:color w:val="auto"/>
      <w:kern w:val="0"/>
      <w:sz w:val="20"/>
      <w:szCs w:val="2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63694C"/>
    <w:rPr>
      <w:rFonts w:ascii="Inter" w:eastAsia="Inter" w:hAnsi="Inter" w:cs="Inter"/>
      <w:kern w:val="0"/>
      <w:sz w:val="20"/>
      <w:szCs w:val="20"/>
      <w14:ligatures w14:val="none"/>
    </w:rPr>
  </w:style>
  <w:style w:type="character" w:customStyle="1" w:styleId="CopySmall">
    <w:name w:val="Copy Small"/>
    <w:basedOn w:val="DefaultParagraphFont"/>
    <w:uiPriority w:val="99"/>
    <w:rsid w:val="0063694C"/>
    <w:rPr>
      <w:rFonts w:ascii="Inter" w:hAnsi="Inter" w:cs="Inter"/>
      <w:outline/>
      <w:spacing w:val="-2"/>
      <w:sz w:val="18"/>
      <w:szCs w:val="18"/>
    </w:rPr>
  </w:style>
  <w:style w:type="character" w:customStyle="1" w:styleId="Footnotes">
    <w:name w:val="Footnotes"/>
    <w:basedOn w:val="DefaultParagraphFont"/>
    <w:uiPriority w:val="99"/>
    <w:rsid w:val="0063694C"/>
    <w:rPr>
      <w:rFonts w:ascii="Inter" w:hAnsi="Inter" w:cs="Inter"/>
      <w:outline/>
      <w:spacing w:val="0"/>
      <w:sz w:val="10"/>
      <w:szCs w:val="10"/>
    </w:rPr>
  </w:style>
  <w:style w:type="character" w:styleId="Hyperlink">
    <w:name w:val="Hyperlink"/>
    <w:basedOn w:val="DefaultParagraphFont"/>
    <w:uiPriority w:val="99"/>
    <w:unhideWhenUsed/>
    <w:rsid w:val="001D12C4"/>
    <w:rPr>
      <w:color w:val="009845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12C4"/>
    <w:rPr>
      <w:color w:val="605E5C"/>
      <w:shd w:val="clear" w:color="auto" w:fill="E1DFDD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df9435ca988fd40276d8768db82a6e2917dd79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2026-02-27T20:58:22.319Z</dcterms:created>
  <dcterms:modified xsi:type="dcterms:W3CDTF">2026-02-27T20:58:22.319Z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