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p>
      <w:pPr>
        <w:spacing w:after="40" w:before="1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rFonts w:ascii="Inter" w:cs="Inter" w:eastAsia="Inter" w:hAnsi="Inter"/>
          <w:i/>
          <w:iCs/>
          <w:color w:val="6B7280"/>
          <w:sz w:val="17"/>
          <w:szCs w:val="17"/>
        </w:rPr>
        <w:t xml:space="preserve">The MCG deploy console — 11 setup steps, Stewardship at step 11</w:t>
      </w:r>
    </w:p>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or OAuth,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 Stack &amp; Gateway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Off-rail, its own mode: start the local Kafka/PostgreSQL/simulator containers and the optional Data Movement Gateway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shared, managed and data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MySQL, Kafka, S3 and Athena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two gold data products with dataset attachment and marketplace publish toggles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the analytics apps and apply the MCG theme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templates and Teams webhook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AutoML experiment, deployment and prediction 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Import the business glossary terms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Address Cleanup sprint, edit its 12-column record schema, and author the automation block graphs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p>
      <w:pPr>
        <w:spacing w:after="120" w:before="280"/>
      </w:pPr>
      <w:r>
        <w:rPr>
          <w:rFonts w:ascii="Inter" w:cs="Inter" w:eastAsia="Inter" w:hAnsi="Inter"/>
          <w:b/>
          <w:bCs/>
          <w:color w:val="006580"/>
          <w:sz w:val="26"/>
          <w:szCs w:val="26"/>
        </w:rPr>
        <w:t xml:space="preserve">2.4 Task-Specific Commands</w:t>
      </w:r>
    </w:p>
    <w:p>
      <w:pPr>
        <w:spacing w:after="120"/>
        <w:jc w:val="left"/>
      </w:pPr>
      <w:r>
        <w:rPr>
          <w:rFonts w:ascii="Inter" w:cs="Inter" w:eastAsia="Inter" w:hAnsi="Inter"/>
          <w:b w:val="false"/>
          <w:bCs w:val="false"/>
          <w:i w:val="false"/>
          <w:iCs w:val="false"/>
          <w:color w:val="454659"/>
          <w:sz w:val="21"/>
          <w:szCs w:val="21"/>
        </w:rPr>
        <w:t xml:space="preserve">Individual pieces of the stack can be run on their own — useful when re-deploying one part rather than the whole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Command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What it does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stewardship:sprint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Address Cleanup stewardship sprint. Must target a DATA space; add --dry-run to print the payload, or --list to see what exists.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automations:workspaces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Author the real block graphs for all five automations and push them to the tenant, creating the API Key connection they need.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talend:zip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Package the Talend address job — routines, context group, build spec and Iceberg DDL — into a Studio import bundle.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pipeline:zip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the declarative pipeline projects for manual import.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 generators/capture-tenant-screenshots.js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Refresh the live-tenant screenshots embedded in this guide.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pPr>
        <w:spacing w:after="120" w:before="280"/>
      </w:pPr>
      <w:r>
        <w:rPr>
          <w:rFonts w:ascii="Inter" w:cs="Inter" w:eastAsia="Inter" w:hAnsi="Inter"/>
          <w:b/>
          <w:bCs/>
          <w:color w:val="006580"/>
          <w:sz w:val="26"/>
          <w:szCs w:val="26"/>
        </w:rPr>
        <w:t xml:space="preserve">3.7 Register the Data Movement Gateway in Qlik Cloud</w:t>
      </w:r>
    </w:p>
    <w:p>
      <w:pPr>
        <w:spacing w:after="120"/>
        <w:jc w:val="left"/>
      </w:pPr>
      <w:r>
        <w:rPr>
          <w:rFonts w:ascii="Inter" w:cs="Inter" w:eastAsia="Inter" w:hAnsi="Inter"/>
          <w:b w:val="false"/>
          <w:bCs w:val="false"/>
          <w:i w:val="false"/>
          <w:iCs w:val="false"/>
          <w:color w:val="454659"/>
          <w:sz w:val="21"/>
          <w:szCs w:val="21"/>
        </w:rPr>
        <w:t xml:space="preserve">The Data Movement Gateway runs inside the local container but must be registered to your Qlik Cloud tenant before any Postgres, MySQL, SQL Server, or Kafka source connection can bind to it. Registration is a one-time, token-based step. Qlik Cloud generates nothing automatically — you retrieve a registration token from the running container and paste it into the tenant's admin console.</w:t>
      </w:r>
    </w:p>
    <w:p>
      <w:pPr>
        <w:spacing w:after="120"/>
        <w:jc w:val="left"/>
      </w:pPr>
      <w:r>
        <w:rPr>
          <w:rFonts w:ascii="Inter" w:cs="Inter" w:eastAsia="Inter" w:hAnsi="Inter"/>
          <w:b w:val="false"/>
          <w:bCs w:val="false"/>
          <w:i w:val="false"/>
          <w:iCs w:val="false"/>
          <w:color w:val="454659"/>
          <w:sz w:val="21"/>
          <w:szCs w:val="21"/>
        </w:rPr>
        <w:t xml:space="preserve">Easiest path — use the deploy UI (recommended):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MCG Deploy UI and switch to the Local Stack &amp; Gateway view.</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Under Data Movement Gateway, click Register Gateway / Get Token.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The console prints the registration token directly — copy the entire JSON token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Register Gateway / Get Token button lives in Local Stack &amp; Gateway, not in the Tenant Deployment wizard. It targets the running mcg-qlik-dmg container and prints the token to the local console. If the gateway is still initializing, wait a few seconds and click again.</w:t>
            </w:r>
          </w:p>
        </w:tc>
      </w:tr>
    </w:tbl>
    <w:p>
      <w:pPr>
        <w:spacing w:after="120"/>
        <w:jc w:val="left"/>
      </w:pPr>
      <w:r>
        <w:rPr>
          <w:rFonts w:ascii="Inter" w:cs="Inter" w:eastAsia="Inter" w:hAnsi="Inter"/>
          <w:b w:val="false"/>
          <w:bCs w:val="false"/>
          <w:i w:val="false"/>
          <w:iCs w:val="false"/>
          <w:color w:val="454659"/>
          <w:sz w:val="21"/>
          <w:szCs w:val="21"/>
        </w:rPr>
        <w:t xml:space="preserve">Manual path — retrieve the token from the container terminal: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Docker Desktop and locate the gateway container (it appears as mcg-qlik-dmg).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that container's terminal (Docker Desktop → Containers → mcg-qlik-dmg → Exec / Terminal tab), or run the command below from any shell.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Run the registration command to print the token:</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Copy the JSON token string it outputs (it begins with {"agentType"...}).</w:t>
      </w:r>
    </w:p>
    <w:p>
      <w:pPr>
        <w:spacing w:after="120"/>
        <w:jc w:val="left"/>
      </w:pPr>
      <w:r>
        <w:rPr>
          <w:rFonts w:ascii="Inter" w:cs="Inter" w:eastAsia="Inter" w:hAnsi="Inter"/>
          <w:b w:val="false"/>
          <w:bCs w:val="false"/>
          <w:i w:val="false"/>
          <w:iCs w:val="false"/>
          <w:color w:val="454659"/>
          <w:sz w:val="21"/>
          <w:szCs w:val="21"/>
        </w:rPr>
        <w:t xml:space="preserve">Register the token in your tenant: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go to Administration → Data Gateways.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paste the token, give the gateway a name, and confirm.</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the gateway status to change to Connected (it may take a minute).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Connected, your database source connections (PostgreSQL, MySQL, SQL Server) can select this gateway to reach the local databases — see section 3.8.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step-by-step gateway setup documentation: https://help.qlik.com/en-US/cloud-services/Subsystems/Hub/Content/Sense_Hub/Gateways/dm-gateway-setting-up.htm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Administration → Data Gateways page showing the registered gateway with a 'Connected' status]</w:t>
            </w:r>
          </w:p>
        </w:tc>
      </w:tr>
    </w:tbl>
    <w:p>
      <w:pPr>
        <w:spacing w:after="120" w:before="280"/>
      </w:pPr>
      <w:r>
        <w:rPr>
          <w:rFonts w:ascii="Inter" w:cs="Inter" w:eastAsia="Inter" w:hAnsi="Inter"/>
          <w:b/>
          <w:bCs/>
          <w:color w:val="006580"/>
          <w:sz w:val="26"/>
          <w:szCs w:val="26"/>
        </w:rPr>
        <w:t xml:space="preserve">3.8 Create the Source Connections (Data Integration project)</w:t>
      </w:r>
    </w:p>
    <w:p>
      <w:pPr>
        <w:spacing w:after="120"/>
        <w:jc w:val="left"/>
      </w:pPr>
      <w:r>
        <w:rPr>
          <w:rFonts w:ascii="Inter" w:cs="Inter" w:eastAsia="Inter" w:hAnsi="Inter"/>
          <w:b w:val="false"/>
          <w:bCs w:val="false"/>
          <w:i w:val="false"/>
          <w:iCs w:val="false"/>
          <w:color w:val="454659"/>
          <w:sz w:val="21"/>
          <w:szCs w:val="21"/>
        </w:rPr>
        <w:t xml:space="preserve">With the gateway Connected, create the database source connections inside a Qlik Talend Data Integration project. The connection selects the gateway so Qlik Cloud can reach the databases running locally in the mcg-qlik-dmg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Important: a Data Movement gateway connection cannot be created through the public REST API — it is created here in the Data Integration UI by selecting the gateway. The MCG deploy script intentionally skips these database/Kafka sources and prints this same guidance instead of creating a non-functional connection.</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open Data Integration and create (or open) a data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connection and choose the source type: PostgreSQL, MySQL, or SQL Server.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the Data gateway field, select the registered gateway (mcg-qlik-dmg).</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Enter the host, port, database, and credentials for the source (see section 3.3 Default Credentials). Inside the gateway container the databases are reachable on localhost at their standard ports (PostgreSQL 5432, MySQL 3306, SQL Server 1433).</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Test the connection, then save it. Repeat for each database source you want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Integration → Create connection dialog with PostgreSQL selected and the mcg-qlik-dmg Data Movement gateway chosen in the Data gateway dropdown]</w:t>
            </w:r>
          </w:p>
        </w:tc>
      </w:tr>
    </w:tbl>
    <w:p>
      <w:pPr>
        <w:spacing w:after="120"/>
        <w:jc w:val="left"/>
      </w:pPr>
      <w:r>
        <w:rPr>
          <w:rFonts w:ascii="Inter" w:cs="Inter" w:eastAsia="Inter" w:hAnsi="Inter"/>
          <w:b w:val="false"/>
          <w:bCs w:val="false"/>
          <w:i w:val="false"/>
          <w:iCs w:val="false"/>
          <w:color w:val="454659"/>
          <w:sz w:val="21"/>
          <w:szCs w:val="21"/>
        </w:rPr>
        <w:t xml:space="preserve">Kafka and credentialed cloud connectors are set up separately: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Kafka (IoT telemetry) as a source requires a Data Gateway - Streaming — a different gateway type from Data Movement. Register a Streaming gateway, then create the Kafka source in the Data Integration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Amazon S3 and Amazon Athena are credentialed connectors — create them in Qlik Cloud (Data → Create connection) and supply their OAuth/IAM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Gateway types overview (Direct Access vs. Data Movement vs. Streaming): https://help.qlik.com/en-US/cloud-services/Subsystems/Hub/Content/Sense_Hub/Gateways/setting-up-gateways.htm</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Meridian CRM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Meridian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MySQL as the connection type (a replication source, bound to the Data Movement gateway)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MCG-CRM-Database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qlik_cdc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MYSQL_PASSWORD value from infrastructure/.env</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CRM tables: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crm_orders (table)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crm_products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MySQL CDC connector configuration in Qlik Cloud showing the table selection screen with Contact, crm_orders, and crm_products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crm_contacts, crm_orders and crm_products tables must exist in the Meridian CRM database. The seeder creates them and loads the demo population: npm run db:seed</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Meridian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CRM Pipelines (MySQL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Meridian CRM data on a schedule. A rename rule maps the CRM tables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crm_orders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Read the Address Cleanup sprint summary via the API Key connector and title the run with 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07:00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Sprints</w:t>
      </w:r>
    </w:p>
    <w:p>
      <w:pPr>
        <w:spacing w:after="120"/>
        <w:jc w:val="left"/>
      </w:pPr>
      <w:r>
        <w:rPr>
          <w:rFonts w:ascii="Inter" w:cs="Inter" w:eastAsia="Inter" w:hAnsi="Inter"/>
          <w:b w:val="false"/>
          <w:bCs w:val="false"/>
          <w:i w:val="false"/>
          <w:iCs w:val="false"/>
          <w:color w:val="454659"/>
          <w:sz w:val="21"/>
          <w:szCs w:val="21"/>
        </w:rPr>
        <w:t xml:space="preserve">Stewardship sprints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Sprints</w:t>
      </w:r>
    </w:p>
    <w:p>
      <w:pPr>
        <w:spacing w:after="120"/>
        <w:jc w:val="left"/>
      </w:pPr>
      <w:r>
        <w:rPr>
          <w:rFonts w:ascii="Inter" w:cs="Inter" w:eastAsia="Inter" w:hAnsi="Inter"/>
          <w:b w:val="false"/>
          <w:bCs w:val="false"/>
          <w:i w:val="false"/>
          <w:iCs w:val="false"/>
          <w:color w:val="454659"/>
          <w:sz w:val="21"/>
          <w:szCs w:val="21"/>
        </w:rPr>
        <w:t xml:space="preserve">Create four stewardship sprints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Sprint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Sprint Setup Steps</w:t>
      </w:r>
    </w:p>
    <w:p>
      <w:pPr>
        <w:spacing w:after="120"/>
        <w:jc w:val="left"/>
      </w:pPr>
      <w:r>
        <w:rPr>
          <w:rFonts w:ascii="Inter" w:cs="Inter" w:eastAsia="Inter" w:hAnsi="Inter"/>
          <w:b w:val="false"/>
          <w:bCs w:val="false"/>
          <w:i w:val="false"/>
          <w:iCs w:val="false"/>
          <w:color w:val="454659"/>
          <w:sz w:val="21"/>
          <w:szCs w:val="21"/>
        </w:rPr>
        <w:t xml:space="preserve">For each sprint: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Sprint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sprint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sprint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sprint before the demo to show the workflow. Aim for 5-10 resolved records per sprint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sprints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sprints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476b8ca08a8d71dfbf8a56ffafeb64a47b83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2026-09-21T20:26:54.694Z</dcterms:created>
  <dcterms:modified xsi:type="dcterms:W3CDTF">2026-09-21T20:26:54.696Z</dcterms:modified>
</cp:coreProperties>
</file>

<file path=docProps/custom.xml><?xml version="1.0" encoding="utf-8"?>
<Properties xmlns="http://schemas.openxmlformats.org/officeDocument/2006/custom-properties" xmlns:vt="http://schemas.openxmlformats.org/officeDocument/2006/docPropsVTypes"/>
</file>